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方正小标宋简体" w:cs="黑体"/>
          <w:color w:val="000000" w:themeColor="text1"/>
          <w:spacing w:val="-23"/>
          <w:sz w:val="44"/>
          <w:szCs w:val="4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9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《关于加快</w:t>
      </w:r>
      <w:r>
        <w:rPr>
          <w:rFonts w:ascii="方正小标宋简体" w:hAnsi="方正小标宋简体" w:eastAsia="方正小标宋简体" w:cs="方正小标宋简体"/>
          <w:color w:val="000000" w:themeColor="text1"/>
          <w:spacing w:val="9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生产性服务业</w:t>
      </w:r>
      <w:r>
        <w:rPr>
          <w:rFonts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高质量发展的若干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政策意见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9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》起草说明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起草背景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为加快我区生产性服务业发展，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深化二三产融合联动，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重点领域和关键环节改革突破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优化服务业结构，从而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服务业高质量发展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。同时进一步贯彻落实《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衢州市促进生产性服务业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高质量发展的若干政策措施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结合我区实际，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形成本政策意见。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pacing w:val="5"/>
          <w:kern w:val="0"/>
          <w:sz w:val="32"/>
          <w:szCs w:val="32"/>
          <w:shd w:val="clear" w:color="auto" w:fill="auto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《政策意见》分为四个部分，分别是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强化主体培育，推动行业规模化发展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7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夯实功能支撑，增强要素资源集聚能力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强化创新驱动，促进新兴动能加速涌现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pacing w:val="5"/>
          <w:kern w:val="0"/>
          <w:sz w:val="32"/>
          <w:szCs w:val="32"/>
          <w:shd w:val="clear" w:color="auto" w:fill="auto"/>
          <w:lang w:eastAsia="zh-CN" w:bidi="ar"/>
          <w14:textFill>
            <w14:solidFill>
              <w14:schemeClr w14:val="tx1"/>
            </w14:solidFill>
          </w14:textFill>
        </w:rPr>
        <w:t>其他。</w:t>
      </w:r>
    </w:p>
    <w:p>
      <w:pPr>
        <w:numPr>
          <w:ilvl w:val="0"/>
          <w:numId w:val="0"/>
        </w:numPr>
        <w:ind w:firstLine="668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7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（一）强化主体培育，推动行业规模化发展。一是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支持两业深度融合发展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打造特色产业集聚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eastAsia="zh-CN" w:bidi="ar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firstLine="640" w:firstLineChars="200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夯实功能支撑，增强要素资源集聚能力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现代物流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领域，从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引导上下游产业联动发展、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000000" w:themeColor="text1"/>
          <w:spacing w:val="7"/>
          <w:kern w:val="0"/>
          <w:position w:val="1"/>
          <w:sz w:val="32"/>
          <w:szCs w:val="32"/>
          <w:shd w:val="clear" w:color="auto" w:fill="auto"/>
          <w:lang w:eastAsia="zh-CN" w:bidi="ar"/>
          <w14:textFill>
            <w14:solidFill>
              <w14:schemeClr w14:val="tx1"/>
            </w14:solidFill>
          </w14:textFill>
        </w:rPr>
        <w:t>鼓励物流企业管理提升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pacing w:val="7"/>
          <w:kern w:val="0"/>
          <w:position w:val="1"/>
          <w:sz w:val="32"/>
          <w:szCs w:val="32"/>
          <w:shd w:val="clear" w:color="auto" w:fill="auto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鼓励物流企业集约发展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000000" w:themeColor="text1"/>
          <w:spacing w:val="7"/>
          <w:kern w:val="0"/>
          <w:position w:val="1"/>
          <w:sz w:val="32"/>
          <w:szCs w:val="32"/>
          <w:shd w:val="clear" w:color="auto" w:fill="auto"/>
          <w:lang w:eastAsia="zh-CN" w:bidi="ar"/>
          <w14:textFill>
            <w14:solidFill>
              <w14:schemeClr w14:val="tx1"/>
            </w14:solidFill>
          </w14:textFill>
        </w:rPr>
        <w:t>鼓励交通运输企业购置车船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pacing w:val="7"/>
          <w:kern w:val="0"/>
          <w:position w:val="1"/>
          <w:sz w:val="32"/>
          <w:szCs w:val="32"/>
          <w:shd w:val="clear" w:color="auto" w:fill="auto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支持企业购置新型装备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支持企业提还箱、支持船务功能前移、鼓励拓展新航线、培育保税业务新业态、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鼓励稳定运输服务、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pacing w:val="7"/>
          <w:kern w:val="0"/>
          <w:position w:val="1"/>
          <w:sz w:val="32"/>
          <w:szCs w:val="32"/>
          <w:shd w:val="clear" w:color="auto" w:fill="auto"/>
          <w:lang w:eastAsia="zh-CN" w:bidi="ar"/>
          <w14:textFill>
            <w14:solidFill>
              <w14:schemeClr w14:val="tx1"/>
            </w14:solidFill>
          </w14:textFill>
        </w:rPr>
        <w:t>鼓励发展多式联运业务、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支持标准化建设、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加大信贷融资支持力度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pacing w:val="7"/>
          <w:kern w:val="0"/>
          <w:position w:val="1"/>
          <w:sz w:val="32"/>
          <w:szCs w:val="32"/>
          <w:shd w:val="clear" w:color="auto" w:fill="auto"/>
          <w:lang w:eastAsia="zh-CN" w:bidi="ar"/>
          <w14:textFill>
            <w14:solidFill>
              <w14:schemeClr w14:val="tx1"/>
            </w14:solidFill>
          </w14:textFill>
        </w:rPr>
        <w:t>等十三个方面进行扶持；二是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商务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领域，主要包括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扩大咨询服务机构规模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pacing w:val="9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丰富展会展览活动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；三是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人力资源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领域，主要内容是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pacing w:val="9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高质量打造人力资源产业园和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9"/>
          <w:kern w:val="0"/>
          <w:sz w:val="32"/>
          <w:szCs w:val="32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鼓励拓展高级人才寻访服务；四是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金融服务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领域，主要包括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鼓励引进金融机构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金融机构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集聚发展。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pacing w:val="6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强化创新驱动，促进新兴动能加速涌现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。一是产业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研发设计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领域，包含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pacing w:val="12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提升工业设计水平和专业技术服务水平；二是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检验检测认证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领域，包括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pacing w:val="9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支持专业化高端化发展和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pacing w:val="13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促进重点平台提质升级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5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；三是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pacing w:val="9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科技和软件信息服务领域，具体包括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pacing w:val="12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加大企业引培力度和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pacing w:val="6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加快“四化”平台建设。</w:t>
      </w:r>
    </w:p>
    <w:p>
      <w:pPr>
        <w:numPr>
          <w:ilvl w:val="0"/>
          <w:numId w:val="0"/>
        </w:numPr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pacing w:val="6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 w:themeColor="text1"/>
          <w:spacing w:val="6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（四）其他。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明确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同一企业奖补原则、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政策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申报程序、负面清单、有效期限等内容。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AAB7F"/>
    <w:multiLevelType w:val="singleLevel"/>
    <w:tmpl w:val="3FBAAB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E0B3F"/>
    <w:rsid w:val="3AC56810"/>
    <w:rsid w:val="3E9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2025-06-23T01:21:00Z</dcterms:created>
  <dc:creator>Administrator</dc:creator>
  <cp:lastModifiedBy>Administrator</cp:lastModifiedBy>
  <dcterms:modified xsi:type="dcterms:W3CDTF">2025-06-23T09:30:24Z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