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30CFC">
      <w:pPr>
        <w:adjustRightInd w:val="0"/>
        <w:snapToGrid w:val="0"/>
        <w:jc w:val="center"/>
        <w:rPr>
          <w:rFonts w:ascii="方正小标宋简体" w:hAnsi="Times New Roman" w:eastAsia="方正小标宋简体" w:cs="Times New Roman"/>
          <w:sz w:val="44"/>
          <w:szCs w:val="44"/>
        </w:rPr>
      </w:pPr>
      <w:bookmarkStart w:id="0" w:name="_Hlk142643834"/>
      <w:bookmarkEnd w:id="0"/>
    </w:p>
    <w:p w14:paraId="4CC439D1">
      <w:pPr>
        <w:adjustRightInd w:val="0"/>
        <w:snapToGrid w:val="0"/>
        <w:jc w:val="center"/>
        <w:rPr>
          <w:rFonts w:ascii="方正小标宋简体" w:hAnsi="Times New Roman" w:eastAsia="方正小标宋简体" w:cs="Times New Roman"/>
          <w:sz w:val="44"/>
          <w:szCs w:val="44"/>
        </w:rPr>
      </w:pPr>
    </w:p>
    <w:p w14:paraId="299D58BA">
      <w:pPr>
        <w:adjustRightInd w:val="0"/>
        <w:snapToGrid w:val="0"/>
        <w:jc w:val="center"/>
        <w:rPr>
          <w:rFonts w:ascii="方正小标宋简体" w:hAnsi="Times New Roman" w:eastAsia="方正小标宋简体" w:cs="Times New Roman"/>
          <w:sz w:val="44"/>
          <w:szCs w:val="44"/>
        </w:rPr>
      </w:pPr>
    </w:p>
    <w:p w14:paraId="501ADFBC">
      <w:pPr>
        <w:adjustRightInd w:val="0"/>
        <w:snapToGrid w:val="0"/>
        <w:jc w:val="center"/>
        <w:rPr>
          <w:rFonts w:ascii="方正小标宋简体" w:hAnsi="Times New Roman" w:eastAsia="方正小标宋简体" w:cs="Times New Roman"/>
          <w:sz w:val="44"/>
          <w:szCs w:val="44"/>
        </w:rPr>
      </w:pPr>
    </w:p>
    <w:p w14:paraId="5BC5BB08">
      <w:pPr>
        <w:adjustRightInd w:val="0"/>
        <w:snapToGrid w:val="0"/>
        <w:spacing w:line="360" w:lineRule="auto"/>
        <w:jc w:val="center"/>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桐乡市生态环境分区管控</w:t>
      </w:r>
    </w:p>
    <w:p w14:paraId="42863EC0">
      <w:pPr>
        <w:adjustRightInd w:val="0"/>
        <w:snapToGrid w:val="0"/>
        <w:spacing w:line="360" w:lineRule="auto"/>
        <w:jc w:val="center"/>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动态更新方案</w:t>
      </w:r>
    </w:p>
    <w:p w14:paraId="70F36D64">
      <w:pPr>
        <w:adjustRightInd w:val="0"/>
        <w:snapToGrid w:val="0"/>
        <w:jc w:val="center"/>
        <w:rPr>
          <w:rFonts w:hint="default" w:ascii="方正小标宋简体" w:hAnsi="Times New Roman" w:eastAsia="方正小标宋简体" w:cs="Times New Roman"/>
          <w:color w:val="auto"/>
          <w:sz w:val="44"/>
          <w:szCs w:val="44"/>
          <w:lang w:val="en-US" w:eastAsia="zh-CN"/>
        </w:rPr>
      </w:pPr>
      <w:r>
        <w:rPr>
          <w:rFonts w:hint="eastAsia" w:ascii="方正小标宋简体" w:hAnsi="Times New Roman" w:eastAsia="方正小标宋简体" w:cs="Times New Roman"/>
          <w:color w:val="auto"/>
          <w:sz w:val="44"/>
          <w:szCs w:val="44"/>
          <w:lang w:val="en-US" w:eastAsia="zh-CN"/>
        </w:rPr>
        <w:t>(征求意见稿)</w:t>
      </w:r>
    </w:p>
    <w:p w14:paraId="5EDC7465">
      <w:pPr>
        <w:widowControl/>
        <w:jc w:val="center"/>
        <w:rPr>
          <w:rFonts w:ascii="方正小标宋简体" w:hAnsi="Times New Roman" w:eastAsia="方正小标宋简体" w:cs="Times New Roman"/>
          <w:color w:val="auto"/>
          <w:sz w:val="44"/>
          <w:szCs w:val="44"/>
        </w:rPr>
      </w:pPr>
    </w:p>
    <w:p w14:paraId="5979F059">
      <w:pPr>
        <w:widowControl/>
        <w:jc w:val="center"/>
        <w:rPr>
          <w:rFonts w:ascii="方正小标宋简体" w:hAnsi="Times New Roman" w:eastAsia="方正小标宋简体" w:cs="Times New Roman"/>
          <w:color w:val="auto"/>
          <w:sz w:val="44"/>
          <w:szCs w:val="44"/>
        </w:rPr>
      </w:pPr>
    </w:p>
    <w:p w14:paraId="29B2D7E7">
      <w:pPr>
        <w:widowControl/>
        <w:jc w:val="center"/>
        <w:rPr>
          <w:rFonts w:ascii="方正小标宋简体" w:hAnsi="Times New Roman" w:eastAsia="方正小标宋简体" w:cs="Times New Roman"/>
          <w:color w:val="auto"/>
          <w:sz w:val="44"/>
          <w:szCs w:val="44"/>
        </w:rPr>
      </w:pPr>
    </w:p>
    <w:p w14:paraId="19329430">
      <w:pPr>
        <w:widowControl/>
        <w:jc w:val="center"/>
        <w:rPr>
          <w:rFonts w:ascii="方正小标宋简体" w:hAnsi="Times New Roman" w:eastAsia="方正小标宋简体" w:cs="Times New Roman"/>
          <w:color w:val="auto"/>
          <w:sz w:val="44"/>
          <w:szCs w:val="44"/>
        </w:rPr>
      </w:pPr>
    </w:p>
    <w:p w14:paraId="59724D49">
      <w:pPr>
        <w:widowControl/>
        <w:jc w:val="center"/>
        <w:rPr>
          <w:rFonts w:ascii="方正小标宋简体" w:hAnsi="Times New Roman" w:eastAsia="方正小标宋简体" w:cs="Times New Roman"/>
          <w:color w:val="auto"/>
          <w:sz w:val="44"/>
          <w:szCs w:val="44"/>
        </w:rPr>
      </w:pPr>
    </w:p>
    <w:p w14:paraId="0521AD0B">
      <w:pPr>
        <w:widowControl/>
        <w:spacing w:line="720" w:lineRule="auto"/>
        <w:jc w:val="center"/>
        <w:rPr>
          <w:rFonts w:ascii="楷体" w:hAnsi="楷体" w:eastAsia="楷体" w:cs="Times New Roman"/>
          <w:color w:val="auto"/>
          <w:sz w:val="40"/>
          <w:szCs w:val="40"/>
        </w:rPr>
      </w:pPr>
      <w:r>
        <w:rPr>
          <w:rFonts w:hint="eastAsia" w:ascii="楷体" w:hAnsi="楷体" w:eastAsia="楷体" w:cs="Times New Roman"/>
          <w:color w:val="auto"/>
          <w:sz w:val="40"/>
          <w:szCs w:val="40"/>
        </w:rPr>
        <w:t>嘉兴市生态环境局桐乡分局</w:t>
      </w:r>
    </w:p>
    <w:p w14:paraId="45CE633D">
      <w:pPr>
        <w:widowControl/>
        <w:spacing w:line="720" w:lineRule="auto"/>
        <w:jc w:val="center"/>
        <w:rPr>
          <w:rFonts w:ascii="楷体" w:hAnsi="楷体" w:eastAsia="楷体" w:cs="Times New Roman"/>
          <w:color w:val="auto"/>
          <w:sz w:val="40"/>
          <w:szCs w:val="40"/>
        </w:rPr>
      </w:pPr>
      <w:r>
        <w:rPr>
          <w:rFonts w:hint="eastAsia" w:ascii="楷体" w:hAnsi="楷体" w:eastAsia="楷体" w:cs="Times New Roman"/>
          <w:color w:val="auto"/>
          <w:sz w:val="40"/>
          <w:szCs w:val="40"/>
        </w:rPr>
        <w:t>二〇二四年四月</w:t>
      </w:r>
    </w:p>
    <w:p w14:paraId="345EB565">
      <w:pPr>
        <w:widowControl/>
        <w:jc w:val="center"/>
        <w:rPr>
          <w:rFonts w:ascii="楷体" w:hAnsi="楷体" w:eastAsia="楷体" w:cs="Times New Roman"/>
          <w:color w:val="auto"/>
          <w:sz w:val="44"/>
          <w:szCs w:val="44"/>
        </w:rPr>
        <w:sectPr>
          <w:footerReference r:id="rId3" w:type="default"/>
          <w:pgSz w:w="11906" w:h="16838"/>
          <w:pgMar w:top="1440" w:right="1800" w:bottom="1440" w:left="1800" w:header="851" w:footer="992" w:gutter="0"/>
          <w:cols w:space="425" w:num="1"/>
          <w:titlePg/>
          <w:docGrid w:type="lines" w:linePitch="312" w:charSpace="0"/>
        </w:sectPr>
      </w:pPr>
    </w:p>
    <w:p w14:paraId="5DC0B845">
      <w:pPr>
        <w:spacing w:line="560" w:lineRule="exact"/>
        <w:ind w:firstLine="640" w:firstLineChars="200"/>
        <w:rPr>
          <w:rFonts w:ascii="仿宋_GB2312" w:hAnsi="Times New Roman" w:eastAsia="仿宋_GB2312" w:cs="Times New Roman"/>
          <w:color w:val="auto"/>
          <w:sz w:val="32"/>
          <w:szCs w:val="20"/>
        </w:rPr>
      </w:pPr>
      <w:r>
        <w:rPr>
          <w:rFonts w:hint="eastAsia" w:ascii="仿宋_GB2312" w:hAnsi="Times New Roman" w:eastAsia="仿宋_GB2312" w:cs="Times New Roman"/>
          <w:color w:val="auto"/>
          <w:sz w:val="32"/>
          <w:szCs w:val="20"/>
        </w:rPr>
        <w:t>为深入贯彻党的二十大精神，落实浙江省第十五次党代会部署要求，推进生态环境分区管控制度建设，加强统筹衔接和联动实施，做好生态环境分区管控与国土空间规划分区和用途管制、能源资源管理、生态环境要素管理、碳排放控制、环境国际公约履约等工作的协调联动，实施生态环境分区管控方案动态更新，强化生态环境分区管控落地应用，为战略和规划环评落地、项目环评审批提供硬约束，为其他环境管理工作提供空间管控依据，促进形成绿色发展方式和生产生活方式，更新桐乡市生态环境分区管控方案。</w:t>
      </w:r>
    </w:p>
    <w:p w14:paraId="58B47757">
      <w:pPr>
        <w:spacing w:line="560" w:lineRule="exact"/>
        <w:outlineLvl w:val="0"/>
        <w:rPr>
          <w:rFonts w:ascii="黑体" w:hAnsi="Times New Roman" w:eastAsia="黑体" w:cs="Times New Roman"/>
          <w:color w:val="auto"/>
          <w:sz w:val="32"/>
          <w:szCs w:val="20"/>
        </w:rPr>
      </w:pPr>
      <w:r>
        <w:rPr>
          <w:rFonts w:hint="eastAsia" w:ascii="黑体" w:hAnsi="Times New Roman" w:eastAsia="黑体" w:cs="Times New Roman"/>
          <w:color w:val="auto"/>
          <w:sz w:val="32"/>
          <w:szCs w:val="20"/>
        </w:rPr>
        <w:t>一、</w:t>
      </w:r>
      <w:r>
        <w:rPr>
          <w:rFonts w:ascii="黑体" w:hAnsi="Times New Roman" w:eastAsia="黑体" w:cs="Times New Roman"/>
          <w:color w:val="auto"/>
          <w:sz w:val="32"/>
          <w:szCs w:val="20"/>
        </w:rPr>
        <w:t xml:space="preserve"> </w:t>
      </w:r>
      <w:r>
        <w:rPr>
          <w:rFonts w:hint="eastAsia" w:ascii="黑体" w:hAnsi="Times New Roman" w:eastAsia="黑体" w:cs="Times New Roman"/>
          <w:color w:val="auto"/>
          <w:sz w:val="32"/>
          <w:szCs w:val="20"/>
        </w:rPr>
        <w:t>生态环境管控单元划定</w:t>
      </w:r>
    </w:p>
    <w:p w14:paraId="690DEB01">
      <w:pPr>
        <w:spacing w:line="560" w:lineRule="exact"/>
        <w:ind w:firstLine="640" w:firstLineChars="200"/>
        <w:rPr>
          <w:rFonts w:ascii="仿宋_GB2312" w:hAnsi="Times New Roman" w:eastAsia="仿宋_GB2312" w:cs="Times New Roman"/>
          <w:color w:val="auto"/>
          <w:sz w:val="32"/>
          <w:szCs w:val="20"/>
        </w:rPr>
      </w:pPr>
      <w:r>
        <w:rPr>
          <w:rFonts w:hint="eastAsia" w:ascii="仿宋_GB2312" w:hAnsi="Times New Roman" w:eastAsia="仿宋_GB2312" w:cs="Times New Roman"/>
          <w:color w:val="auto"/>
          <w:sz w:val="32"/>
          <w:szCs w:val="20"/>
        </w:rPr>
        <w:t>桐乡市结合“三区三线”划定、生态保护红线评估调整、集中式饮用水水源保护区调整、国土空间规划等最新成果，依法依规进行生态环境分区管控成果调整。更新后，桐乡市共划定环境管控单元</w:t>
      </w:r>
      <w:r>
        <w:rPr>
          <w:rFonts w:ascii="仿宋_GB2312" w:hAnsi="Times New Roman" w:eastAsia="仿宋_GB2312" w:cs="Times New Roman"/>
          <w:color w:val="auto"/>
          <w:sz w:val="32"/>
          <w:szCs w:val="20"/>
        </w:rPr>
        <w:t>24</w:t>
      </w:r>
      <w:r>
        <w:rPr>
          <w:rFonts w:hint="eastAsia" w:ascii="仿宋_GB2312" w:hAnsi="Times New Roman" w:eastAsia="仿宋_GB2312" w:cs="Times New Roman"/>
          <w:color w:val="auto"/>
          <w:sz w:val="32"/>
          <w:szCs w:val="20"/>
        </w:rPr>
        <w:t>个，其中优先保护单元</w:t>
      </w:r>
      <w:r>
        <w:rPr>
          <w:rFonts w:ascii="仿宋_GB2312" w:hAnsi="Times New Roman" w:eastAsia="仿宋_GB2312" w:cs="Times New Roman"/>
          <w:color w:val="auto"/>
          <w:sz w:val="32"/>
          <w:szCs w:val="20"/>
        </w:rPr>
        <w:t>3</w:t>
      </w:r>
      <w:r>
        <w:rPr>
          <w:rFonts w:hint="eastAsia" w:ascii="仿宋_GB2312" w:hAnsi="Times New Roman" w:eastAsia="仿宋_GB2312" w:cs="Times New Roman"/>
          <w:color w:val="auto"/>
          <w:sz w:val="32"/>
          <w:szCs w:val="20"/>
        </w:rPr>
        <w:t>个，总面积为</w:t>
      </w:r>
      <w:r>
        <w:rPr>
          <w:rFonts w:ascii="仿宋_GB2312" w:hAnsi="Times New Roman" w:eastAsia="仿宋_GB2312" w:cs="Times New Roman"/>
          <w:color w:val="auto"/>
          <w:sz w:val="32"/>
          <w:szCs w:val="20"/>
        </w:rPr>
        <w:t>44.05</w:t>
      </w:r>
      <w:r>
        <w:rPr>
          <w:rFonts w:hint="eastAsia" w:ascii="仿宋_GB2312" w:hAnsi="Times New Roman" w:eastAsia="仿宋_GB2312" w:cs="Times New Roman"/>
          <w:color w:val="auto"/>
          <w:sz w:val="32"/>
          <w:szCs w:val="20"/>
        </w:rPr>
        <w:t>平方公里，占桐乡国土面积的</w:t>
      </w:r>
      <w:r>
        <w:rPr>
          <w:rFonts w:ascii="仿宋_GB2312" w:hAnsi="Times New Roman" w:eastAsia="仿宋_GB2312" w:cs="Times New Roman"/>
          <w:color w:val="auto"/>
          <w:sz w:val="32"/>
          <w:szCs w:val="20"/>
        </w:rPr>
        <w:t>6.06</w:t>
      </w:r>
      <w:r>
        <w:rPr>
          <w:rFonts w:hint="eastAsia" w:ascii="仿宋_GB2312" w:hAnsi="Times New Roman" w:eastAsia="仿宋_GB2312" w:cs="Times New Roman"/>
          <w:color w:val="auto"/>
          <w:sz w:val="32"/>
          <w:szCs w:val="20"/>
        </w:rPr>
        <w:t>%；重点管控单元</w:t>
      </w:r>
      <w:r>
        <w:rPr>
          <w:rFonts w:ascii="仿宋_GB2312" w:hAnsi="Times New Roman" w:eastAsia="仿宋_GB2312" w:cs="Times New Roman"/>
          <w:color w:val="auto"/>
          <w:sz w:val="32"/>
          <w:szCs w:val="20"/>
        </w:rPr>
        <w:t>20</w:t>
      </w:r>
      <w:r>
        <w:rPr>
          <w:rFonts w:hint="eastAsia" w:ascii="仿宋_GB2312" w:hAnsi="Times New Roman" w:eastAsia="仿宋_GB2312" w:cs="Times New Roman"/>
          <w:color w:val="auto"/>
          <w:sz w:val="32"/>
          <w:szCs w:val="20"/>
        </w:rPr>
        <w:t>个，总面积为</w:t>
      </w:r>
      <w:r>
        <w:rPr>
          <w:rFonts w:ascii="仿宋_GB2312" w:hAnsi="Times New Roman" w:eastAsia="仿宋_GB2312" w:cs="Times New Roman"/>
          <w:color w:val="auto"/>
          <w:sz w:val="32"/>
          <w:szCs w:val="20"/>
        </w:rPr>
        <w:t>227.40</w:t>
      </w:r>
      <w:r>
        <w:rPr>
          <w:rFonts w:hint="eastAsia" w:ascii="仿宋_GB2312" w:hAnsi="Times New Roman" w:eastAsia="仿宋_GB2312" w:cs="Times New Roman"/>
          <w:color w:val="auto"/>
          <w:sz w:val="32"/>
          <w:szCs w:val="20"/>
        </w:rPr>
        <w:t>平方公里，占桐乡国土面积的</w:t>
      </w:r>
      <w:r>
        <w:rPr>
          <w:rFonts w:ascii="仿宋_GB2312" w:hAnsi="Times New Roman" w:eastAsia="仿宋_GB2312" w:cs="Times New Roman"/>
          <w:color w:val="auto"/>
          <w:sz w:val="32"/>
          <w:szCs w:val="20"/>
        </w:rPr>
        <w:t>31.26</w:t>
      </w:r>
      <w:r>
        <w:rPr>
          <w:rFonts w:hint="eastAsia" w:ascii="仿宋_GB2312" w:hAnsi="Times New Roman" w:eastAsia="仿宋_GB2312" w:cs="Times New Roman"/>
          <w:color w:val="auto"/>
          <w:sz w:val="32"/>
          <w:szCs w:val="20"/>
        </w:rPr>
        <w:t>%；一般管控单元</w:t>
      </w:r>
      <w:r>
        <w:rPr>
          <w:rFonts w:ascii="仿宋_GB2312" w:hAnsi="Times New Roman" w:eastAsia="仿宋_GB2312" w:cs="Times New Roman"/>
          <w:color w:val="auto"/>
          <w:sz w:val="32"/>
          <w:szCs w:val="20"/>
        </w:rPr>
        <w:t>1</w:t>
      </w:r>
      <w:r>
        <w:rPr>
          <w:rFonts w:hint="eastAsia" w:ascii="仿宋_GB2312" w:hAnsi="Times New Roman" w:eastAsia="仿宋_GB2312" w:cs="Times New Roman"/>
          <w:color w:val="auto"/>
          <w:sz w:val="32"/>
          <w:szCs w:val="20"/>
        </w:rPr>
        <w:t>个，总面积</w:t>
      </w:r>
      <w:r>
        <w:rPr>
          <w:rFonts w:ascii="仿宋_GB2312" w:hAnsi="Times New Roman" w:eastAsia="仿宋_GB2312" w:cs="Times New Roman"/>
          <w:color w:val="auto"/>
          <w:sz w:val="32"/>
          <w:szCs w:val="20"/>
        </w:rPr>
        <w:t>456.03</w:t>
      </w:r>
      <w:r>
        <w:rPr>
          <w:rFonts w:hint="eastAsia" w:ascii="仿宋_GB2312" w:hAnsi="Times New Roman" w:eastAsia="仿宋_GB2312" w:cs="Times New Roman"/>
          <w:color w:val="auto"/>
          <w:sz w:val="32"/>
          <w:szCs w:val="20"/>
        </w:rPr>
        <w:t>平方公里，占桐乡国土面积的</w:t>
      </w:r>
      <w:r>
        <w:rPr>
          <w:rFonts w:ascii="仿宋_GB2312" w:hAnsi="Times New Roman" w:eastAsia="仿宋_GB2312" w:cs="Times New Roman"/>
          <w:color w:val="auto"/>
          <w:sz w:val="32"/>
          <w:szCs w:val="20"/>
        </w:rPr>
        <w:t>62.69</w:t>
      </w:r>
      <w:r>
        <w:rPr>
          <w:rFonts w:hint="eastAsia" w:ascii="仿宋_GB2312" w:hAnsi="Times New Roman" w:eastAsia="仿宋_GB2312" w:cs="Times New Roman"/>
          <w:color w:val="auto"/>
          <w:sz w:val="32"/>
          <w:szCs w:val="20"/>
        </w:rPr>
        <w:t>%。</w:t>
      </w:r>
    </w:p>
    <w:p w14:paraId="2DB991E8">
      <w:pPr>
        <w:spacing w:line="560" w:lineRule="exact"/>
        <w:outlineLvl w:val="1"/>
        <w:rPr>
          <w:rFonts w:ascii="楷体" w:hAnsi="Times New Roman" w:eastAsia="楷体" w:cs="Times New Roman"/>
          <w:color w:val="auto"/>
          <w:sz w:val="32"/>
          <w:szCs w:val="20"/>
        </w:rPr>
      </w:pPr>
      <w:r>
        <w:rPr>
          <w:rFonts w:hint="eastAsia" w:ascii="楷体" w:hAnsi="Times New Roman" w:eastAsia="楷体" w:cs="Times New Roman"/>
          <w:color w:val="auto"/>
          <w:sz w:val="32"/>
          <w:szCs w:val="20"/>
        </w:rPr>
        <w:t>（一）优先保护单元</w:t>
      </w:r>
    </w:p>
    <w:p w14:paraId="4E8A59E2">
      <w:pPr>
        <w:spacing w:line="560" w:lineRule="exact"/>
        <w:ind w:firstLine="640" w:firstLineChars="200"/>
        <w:rPr>
          <w:rFonts w:ascii="仿宋_GB2312" w:hAnsi="Times New Roman" w:eastAsia="仿宋_GB2312" w:cs="Times New Roman"/>
          <w:color w:val="auto"/>
          <w:sz w:val="32"/>
          <w:szCs w:val="20"/>
        </w:rPr>
      </w:pPr>
      <w:r>
        <w:rPr>
          <w:rFonts w:hint="eastAsia" w:ascii="仿宋_GB2312" w:hAnsi="Times New Roman" w:eastAsia="仿宋_GB2312" w:cs="Times New Roman"/>
          <w:color w:val="auto"/>
          <w:sz w:val="32"/>
          <w:szCs w:val="20"/>
        </w:rPr>
        <w:t>桐乡市优先保护单元共划定</w:t>
      </w:r>
      <w:r>
        <w:rPr>
          <w:rFonts w:ascii="仿宋_GB2312" w:hAnsi="Times New Roman" w:eastAsia="仿宋_GB2312" w:cs="Times New Roman"/>
          <w:color w:val="auto"/>
          <w:sz w:val="32"/>
          <w:szCs w:val="20"/>
        </w:rPr>
        <w:t>3</w:t>
      </w:r>
      <w:r>
        <w:rPr>
          <w:rFonts w:hint="eastAsia" w:ascii="仿宋_GB2312" w:hAnsi="Times New Roman" w:eastAsia="仿宋_GB2312" w:cs="Times New Roman"/>
          <w:color w:val="auto"/>
          <w:sz w:val="32"/>
          <w:szCs w:val="20"/>
        </w:rPr>
        <w:t>个，总面积为</w:t>
      </w:r>
      <w:r>
        <w:rPr>
          <w:rFonts w:ascii="仿宋_GB2312" w:hAnsi="Times New Roman" w:eastAsia="仿宋_GB2312" w:cs="Times New Roman"/>
          <w:color w:val="auto"/>
          <w:sz w:val="32"/>
          <w:szCs w:val="20"/>
        </w:rPr>
        <w:t>44.05</w:t>
      </w:r>
      <w:r>
        <w:rPr>
          <w:rFonts w:hint="eastAsia" w:ascii="仿宋_GB2312" w:hAnsi="Times New Roman" w:eastAsia="仿宋_GB2312" w:cs="Times New Roman"/>
          <w:color w:val="auto"/>
          <w:sz w:val="32"/>
          <w:szCs w:val="20"/>
        </w:rPr>
        <w:t>平方公里。主要为饮用水源保护区、饮用水源涵养区、浙东北水网平原生态功能保障区等区域。</w:t>
      </w:r>
    </w:p>
    <w:p w14:paraId="09E8A679">
      <w:pPr>
        <w:spacing w:line="560" w:lineRule="exact"/>
        <w:outlineLvl w:val="1"/>
        <w:rPr>
          <w:rFonts w:ascii="楷体" w:hAnsi="Times New Roman" w:eastAsia="楷体" w:cs="Times New Roman"/>
          <w:color w:val="auto"/>
          <w:sz w:val="32"/>
          <w:szCs w:val="20"/>
        </w:rPr>
      </w:pPr>
      <w:r>
        <w:rPr>
          <w:rFonts w:hint="eastAsia" w:ascii="楷体" w:hAnsi="Times New Roman" w:eastAsia="楷体" w:cs="Times New Roman"/>
          <w:color w:val="auto"/>
          <w:sz w:val="32"/>
          <w:szCs w:val="20"/>
        </w:rPr>
        <w:t>（二）重点管控单元</w:t>
      </w:r>
    </w:p>
    <w:p w14:paraId="1444E68F">
      <w:pPr>
        <w:spacing w:line="560" w:lineRule="exact"/>
        <w:ind w:firstLine="640" w:firstLineChars="200"/>
        <w:rPr>
          <w:rFonts w:ascii="仿宋_GB2312" w:hAnsi="Times New Roman" w:eastAsia="仿宋_GB2312" w:cs="Times New Roman"/>
          <w:color w:val="auto"/>
          <w:sz w:val="32"/>
          <w:szCs w:val="20"/>
        </w:rPr>
      </w:pPr>
      <w:r>
        <w:rPr>
          <w:rFonts w:hint="eastAsia" w:ascii="仿宋_GB2312" w:hAnsi="Times New Roman" w:eastAsia="仿宋_GB2312" w:cs="Times New Roman"/>
          <w:color w:val="auto"/>
          <w:sz w:val="32"/>
          <w:szCs w:val="20"/>
        </w:rPr>
        <w:t>桐乡市重点管控单元共划定</w:t>
      </w:r>
      <w:r>
        <w:rPr>
          <w:rFonts w:ascii="仿宋_GB2312" w:hAnsi="Times New Roman" w:eastAsia="仿宋_GB2312" w:cs="Times New Roman"/>
          <w:color w:val="auto"/>
          <w:sz w:val="32"/>
          <w:szCs w:val="20"/>
        </w:rPr>
        <w:t>20</w:t>
      </w:r>
      <w:r>
        <w:rPr>
          <w:rFonts w:hint="eastAsia" w:ascii="仿宋_GB2312" w:hAnsi="Times New Roman" w:eastAsia="仿宋_GB2312" w:cs="Times New Roman"/>
          <w:color w:val="auto"/>
          <w:sz w:val="32"/>
          <w:szCs w:val="20"/>
        </w:rPr>
        <w:t>个，主要为工业发展集中区域和城镇建设集中区域。其中，产业集聚重点管控单元</w:t>
      </w:r>
      <w:r>
        <w:rPr>
          <w:rFonts w:ascii="仿宋_GB2312" w:hAnsi="Times New Roman" w:eastAsia="仿宋_GB2312" w:cs="Times New Roman"/>
          <w:color w:val="auto"/>
          <w:sz w:val="32"/>
          <w:szCs w:val="20"/>
        </w:rPr>
        <w:t>10</w:t>
      </w:r>
      <w:r>
        <w:rPr>
          <w:rFonts w:hint="eastAsia" w:ascii="仿宋_GB2312" w:hAnsi="Times New Roman" w:eastAsia="仿宋_GB2312" w:cs="Times New Roman"/>
          <w:color w:val="auto"/>
          <w:sz w:val="32"/>
          <w:szCs w:val="20"/>
        </w:rPr>
        <w:t>个，面积为</w:t>
      </w:r>
      <w:r>
        <w:rPr>
          <w:rFonts w:ascii="仿宋_GB2312" w:hAnsi="Times New Roman" w:eastAsia="仿宋_GB2312" w:cs="Times New Roman"/>
          <w:color w:val="auto"/>
          <w:sz w:val="32"/>
          <w:szCs w:val="20"/>
        </w:rPr>
        <w:t>129.47</w:t>
      </w:r>
      <w:r>
        <w:rPr>
          <w:rFonts w:hint="eastAsia" w:ascii="仿宋_GB2312" w:hAnsi="Times New Roman" w:eastAsia="仿宋_GB2312" w:cs="Times New Roman"/>
          <w:color w:val="auto"/>
          <w:sz w:val="32"/>
          <w:szCs w:val="20"/>
        </w:rPr>
        <w:t>平方公里；城镇集聚重点管控单元</w:t>
      </w:r>
      <w:r>
        <w:rPr>
          <w:rFonts w:ascii="仿宋_GB2312" w:hAnsi="Times New Roman" w:eastAsia="仿宋_GB2312" w:cs="Times New Roman"/>
          <w:color w:val="auto"/>
          <w:sz w:val="32"/>
          <w:szCs w:val="20"/>
        </w:rPr>
        <w:t>10</w:t>
      </w:r>
      <w:r>
        <w:rPr>
          <w:rFonts w:hint="eastAsia" w:ascii="仿宋_GB2312" w:hAnsi="Times New Roman" w:eastAsia="仿宋_GB2312" w:cs="Times New Roman"/>
          <w:color w:val="auto"/>
          <w:sz w:val="32"/>
          <w:szCs w:val="20"/>
        </w:rPr>
        <w:t>个，面积为</w:t>
      </w:r>
      <w:r>
        <w:rPr>
          <w:rFonts w:ascii="仿宋_GB2312" w:hAnsi="Times New Roman" w:eastAsia="仿宋_GB2312" w:cs="Times New Roman"/>
          <w:color w:val="auto"/>
          <w:sz w:val="32"/>
          <w:szCs w:val="20"/>
        </w:rPr>
        <w:t>97.93</w:t>
      </w:r>
      <w:r>
        <w:rPr>
          <w:rFonts w:hint="eastAsia" w:ascii="仿宋_GB2312" w:hAnsi="Times New Roman" w:eastAsia="仿宋_GB2312" w:cs="Times New Roman"/>
          <w:color w:val="auto"/>
          <w:sz w:val="32"/>
          <w:szCs w:val="20"/>
        </w:rPr>
        <w:t>平方公里。</w:t>
      </w:r>
    </w:p>
    <w:p w14:paraId="66CA7190">
      <w:pPr>
        <w:spacing w:line="560" w:lineRule="exact"/>
        <w:outlineLvl w:val="1"/>
        <w:rPr>
          <w:rFonts w:ascii="楷体" w:hAnsi="Times New Roman" w:eastAsia="楷体" w:cs="Times New Roman"/>
          <w:color w:val="auto"/>
          <w:sz w:val="32"/>
          <w:szCs w:val="20"/>
        </w:rPr>
      </w:pPr>
      <w:r>
        <w:rPr>
          <w:rFonts w:hint="eastAsia" w:ascii="楷体" w:hAnsi="Times New Roman" w:eastAsia="楷体" w:cs="Times New Roman"/>
          <w:color w:val="auto"/>
          <w:sz w:val="32"/>
          <w:szCs w:val="20"/>
        </w:rPr>
        <w:t>（三）一般管控单元</w:t>
      </w:r>
    </w:p>
    <w:p w14:paraId="094A591C">
      <w:pPr>
        <w:spacing w:line="560" w:lineRule="exact"/>
        <w:ind w:firstLine="640" w:firstLineChars="200"/>
        <w:rPr>
          <w:rFonts w:ascii="仿宋_GB2312" w:hAnsi="Times New Roman" w:eastAsia="仿宋_GB2312" w:cs="Times New Roman"/>
          <w:color w:val="auto"/>
          <w:sz w:val="32"/>
          <w:szCs w:val="20"/>
        </w:rPr>
      </w:pPr>
      <w:r>
        <w:rPr>
          <w:rFonts w:hint="eastAsia" w:ascii="仿宋_GB2312" w:hAnsi="Times New Roman" w:eastAsia="仿宋_GB2312" w:cs="Times New Roman"/>
          <w:color w:val="auto"/>
          <w:sz w:val="32"/>
          <w:szCs w:val="20"/>
        </w:rPr>
        <w:t>桐乡市一般管控单元共划定</w:t>
      </w:r>
      <w:r>
        <w:rPr>
          <w:rFonts w:ascii="仿宋_GB2312" w:hAnsi="Times New Roman" w:eastAsia="仿宋_GB2312" w:cs="Times New Roman"/>
          <w:color w:val="auto"/>
          <w:sz w:val="32"/>
          <w:szCs w:val="20"/>
        </w:rPr>
        <w:t>1</w:t>
      </w:r>
      <w:r>
        <w:rPr>
          <w:rFonts w:hint="eastAsia" w:ascii="仿宋_GB2312" w:hAnsi="Times New Roman" w:eastAsia="仿宋_GB2312" w:cs="Times New Roman"/>
          <w:color w:val="auto"/>
          <w:sz w:val="32"/>
          <w:szCs w:val="20"/>
        </w:rPr>
        <w:t>个，总面积为</w:t>
      </w:r>
      <w:r>
        <w:rPr>
          <w:rFonts w:ascii="仿宋_GB2312" w:hAnsi="Times New Roman" w:eastAsia="仿宋_GB2312" w:cs="Times New Roman"/>
          <w:color w:val="auto"/>
          <w:sz w:val="32"/>
          <w:szCs w:val="20"/>
        </w:rPr>
        <w:t>456.03</w:t>
      </w:r>
      <w:r>
        <w:rPr>
          <w:rFonts w:hint="eastAsia" w:ascii="仿宋_GB2312" w:hAnsi="Times New Roman" w:eastAsia="仿宋_GB2312" w:cs="Times New Roman"/>
          <w:color w:val="auto"/>
          <w:sz w:val="32"/>
          <w:szCs w:val="20"/>
        </w:rPr>
        <w:t>平方公里，该区域以农居和农业为主导。</w:t>
      </w:r>
    </w:p>
    <w:p w14:paraId="5A7FE4A0">
      <w:pPr>
        <w:spacing w:line="560" w:lineRule="exact"/>
        <w:outlineLvl w:val="0"/>
        <w:rPr>
          <w:rFonts w:ascii="黑体" w:hAnsi="Times New Roman" w:eastAsia="黑体" w:cs="Times New Roman"/>
          <w:color w:val="auto"/>
          <w:sz w:val="32"/>
          <w:szCs w:val="20"/>
        </w:rPr>
      </w:pPr>
      <w:r>
        <w:rPr>
          <w:rFonts w:hint="eastAsia" w:ascii="黑体" w:hAnsi="Times New Roman" w:eastAsia="黑体" w:cs="Times New Roman"/>
          <w:color w:val="auto"/>
          <w:sz w:val="32"/>
          <w:szCs w:val="20"/>
        </w:rPr>
        <w:t>二、生态环境准入清单</w:t>
      </w:r>
    </w:p>
    <w:p w14:paraId="6967C607">
      <w:pPr>
        <w:spacing w:line="560" w:lineRule="exact"/>
        <w:outlineLvl w:val="1"/>
        <w:rPr>
          <w:rFonts w:ascii="楷体" w:hAnsi="Times New Roman" w:eastAsia="楷体" w:cs="Times New Roman"/>
          <w:color w:val="auto"/>
          <w:sz w:val="32"/>
          <w:szCs w:val="20"/>
        </w:rPr>
      </w:pPr>
      <w:r>
        <w:rPr>
          <w:rFonts w:hint="eastAsia" w:ascii="楷体" w:hAnsi="Times New Roman" w:eastAsia="楷体" w:cs="Times New Roman"/>
          <w:color w:val="auto"/>
          <w:sz w:val="32"/>
          <w:szCs w:val="20"/>
        </w:rPr>
        <w:t>（一）总体准入清单</w:t>
      </w:r>
    </w:p>
    <w:p w14:paraId="01470520">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环境质量不达标区域和流域，新建项目需符合环境质量改善要求。严格执行长江经济带发展负面清单要求。</w:t>
      </w:r>
    </w:p>
    <w:p w14:paraId="5719B3DD">
      <w:pPr>
        <w:spacing w:line="560" w:lineRule="exact"/>
        <w:ind w:firstLine="640" w:firstLineChars="200"/>
        <w:rPr>
          <w:rFonts w:ascii="Times New Roman" w:hAnsi="Times New Roman" w:eastAsia="仿宋_GB2312" w:cs="Times New Roman"/>
          <w:b w:val="0"/>
          <w:bCs w:val="0"/>
          <w:color w:val="auto"/>
          <w:sz w:val="32"/>
          <w:szCs w:val="32"/>
        </w:rPr>
      </w:pPr>
      <w:r>
        <w:rPr>
          <w:rFonts w:hint="eastAsia" w:ascii="Times New Roman" w:hAnsi="Times New Roman" w:eastAsia="仿宋_GB2312" w:cs="Times New Roman"/>
          <w:color w:val="auto"/>
          <w:sz w:val="32"/>
          <w:szCs w:val="32"/>
        </w:rPr>
        <w:t>加强湿地保护和修复，强化河流、湖库水域保护及管理。最大限度保留区内原有自然生态系统，保护好河湖湿地生境，禁止未经法定许可占用水域和建设影响河道自然</w:t>
      </w:r>
      <w:r>
        <w:rPr>
          <w:rFonts w:hint="eastAsia" w:ascii="Times New Roman" w:hAnsi="Times New Roman" w:eastAsia="仿宋_GB2312" w:cs="Times New Roman"/>
          <w:b w:val="0"/>
          <w:bCs w:val="0"/>
          <w:color w:val="auto"/>
          <w:sz w:val="32"/>
          <w:szCs w:val="32"/>
        </w:rPr>
        <w:t>形态和水生态（环境）功能的项目；除防御洪水、航道整治等需求外，不应新建非生态型护岸。长江流域重要湖泊上游的水利水电、航运枢纽等工程应当将生态用水调度纳入日常运行调度规程，建立常规生态调度机制，保证河湖生态流量。水电工程建设应保证合理的下泄生态流量，并实施生态流量在线监控。按照国务院加强滨海湿地保护、严格管控围填海的相关要求，加强围填海管控。</w:t>
      </w:r>
    </w:p>
    <w:p w14:paraId="0CB7E4E0">
      <w:pPr>
        <w:spacing w:line="560" w:lineRule="exact"/>
        <w:ind w:firstLine="640" w:firstLineChars="200"/>
        <w:rPr>
          <w:rFonts w:ascii="Times New Roman" w:hAnsi="Times New Roman" w:eastAsia="仿宋_GB2312" w:cs="Times New Roman"/>
          <w:b w:val="0"/>
          <w:bCs w:val="0"/>
          <w:color w:val="auto"/>
          <w:sz w:val="32"/>
          <w:szCs w:val="32"/>
          <w:u w:val="none"/>
        </w:rPr>
      </w:pPr>
      <w:r>
        <w:rPr>
          <w:rFonts w:hint="eastAsia" w:ascii="Times New Roman" w:hAnsi="Times New Roman" w:eastAsia="仿宋_GB2312" w:cs="Times New Roman"/>
          <w:b w:val="0"/>
          <w:bCs w:val="0"/>
          <w:color w:val="auto"/>
          <w:sz w:val="32"/>
          <w:szCs w:val="32"/>
        </w:rPr>
        <w:t>落实省市水污染物总量控制制度，严格执行地区削减</w:t>
      </w:r>
      <w:r>
        <w:rPr>
          <w:rFonts w:hint="eastAsia" w:ascii="Times New Roman" w:hAnsi="Times New Roman" w:eastAsia="仿宋_GB2312" w:cs="Times New Roman"/>
          <w:color w:val="auto"/>
          <w:sz w:val="32"/>
          <w:szCs w:val="32"/>
        </w:rPr>
        <w:t>目标。优化产业空间布局，严格按照区域水环境承载能力设置环境准入门槛，严格限制在饮用</w:t>
      </w:r>
      <w:r>
        <w:rPr>
          <w:rFonts w:ascii="Times New Roman" w:hAnsi="Times New Roman" w:eastAsia="仿宋_GB2312" w:cs="Times New Roman"/>
          <w:color w:val="auto"/>
          <w:sz w:val="32"/>
          <w:szCs w:val="32"/>
        </w:rPr>
        <w:t>水水源保护区等重要</w:t>
      </w:r>
      <w:r>
        <w:rPr>
          <w:rFonts w:ascii="Times New Roman" w:hAnsi="Times New Roman" w:eastAsia="仿宋_GB2312" w:cs="Times New Roman"/>
          <w:b w:val="0"/>
          <w:bCs w:val="0"/>
          <w:color w:val="auto"/>
          <w:sz w:val="32"/>
          <w:szCs w:val="32"/>
          <w:u w:val="none"/>
        </w:rPr>
        <w:t>水体</w:t>
      </w:r>
      <w:r>
        <w:rPr>
          <w:rFonts w:hint="eastAsia" w:ascii="Times New Roman" w:hAnsi="Times New Roman" w:eastAsia="仿宋_GB2312" w:cs="Times New Roman"/>
          <w:b w:val="0"/>
          <w:bCs w:val="0"/>
          <w:color w:val="auto"/>
          <w:sz w:val="32"/>
          <w:szCs w:val="32"/>
          <w:u w:val="none"/>
        </w:rPr>
        <w:t>上游建设水污染较大、水环境风险较高的项目；严格限制在重要湖库和太湖流域建设氮磷污染物排放较高的项目。针对大运河主河道两岸1000米滨河生态空间、2000米核心监控区，严格执行浙江省大运河核心监控区</w:t>
      </w:r>
      <w:r>
        <w:rPr>
          <w:rFonts w:hint="eastAsia" w:ascii="Times New Roman" w:hAnsi="Times New Roman" w:eastAsia="仿宋_GB2312" w:cs="Times New Roman"/>
          <w:b w:val="0"/>
          <w:bCs w:val="0"/>
          <w:color w:val="auto"/>
          <w:sz w:val="32"/>
          <w:szCs w:val="32"/>
          <w:u w:val="none"/>
          <w:lang w:eastAsia="zh-CN"/>
        </w:rPr>
        <w:t>国土</w:t>
      </w:r>
      <w:r>
        <w:rPr>
          <w:rFonts w:hint="eastAsia" w:ascii="Times New Roman" w:hAnsi="Times New Roman" w:eastAsia="仿宋_GB2312" w:cs="Times New Roman"/>
          <w:b w:val="0"/>
          <w:bCs w:val="0"/>
          <w:color w:val="auto"/>
          <w:sz w:val="32"/>
          <w:szCs w:val="32"/>
          <w:u w:val="none"/>
        </w:rPr>
        <w:t>空间管控通则和管控细则各项规定，严格落实浙江省大运河核心监控区建设项目准入负面清单。加快城乡污水处理设施建设与提标改造，深化城镇“污水零直排区”建设</w:t>
      </w:r>
      <w:bookmarkStart w:id="2" w:name="_GoBack"/>
      <w:bookmarkEnd w:id="2"/>
      <w:r>
        <w:rPr>
          <w:rFonts w:hint="eastAsia" w:ascii="Times New Roman" w:hAnsi="Times New Roman" w:eastAsia="仿宋_GB2312" w:cs="Times New Roman"/>
          <w:b w:val="0"/>
          <w:bCs w:val="0"/>
          <w:color w:val="auto"/>
          <w:sz w:val="32"/>
          <w:szCs w:val="32"/>
          <w:u w:val="none"/>
        </w:rPr>
        <w:t>。加强对纳管企业总氮、总磷、重金属和其他有毒有害污染物的管控。加大农业面源污染防治，严格执行畜禽养殖禁养区规定，深入实施化肥农药减量增效行动，加强水产养殖分区分类管理，控制水产养殖污染。</w:t>
      </w:r>
    </w:p>
    <w:p w14:paraId="3DC6DFCC">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val="0"/>
          <w:bCs w:val="0"/>
          <w:color w:val="auto"/>
          <w:sz w:val="32"/>
          <w:szCs w:val="32"/>
          <w:u w:val="none"/>
        </w:rPr>
        <w:t>严格控制新增燃煤项目建设，</w:t>
      </w:r>
      <w:r>
        <w:rPr>
          <w:rFonts w:hint="eastAsia" w:eastAsia="仿宋_GB2312"/>
          <w:b w:val="0"/>
          <w:bCs w:val="0"/>
          <w:color w:val="auto"/>
          <w:sz w:val="32"/>
          <w:szCs w:val="32"/>
          <w:u w:val="none"/>
        </w:rPr>
        <w:t>重点区域新改扩建用煤项目，依法实行煤炭等量或减量替代，不得将使用石油焦、焦炭、兰炭等高污染燃料作为煤炭减量替代措施。全面淘汰35蒸吨/小时及以下燃煤锅炉，不再建设国家禁止的使用高污染燃料的其他设施。推进环杭州湾地区大气污染联防联控。</w:t>
      </w:r>
      <w:r>
        <w:rPr>
          <w:rFonts w:hint="eastAsia" w:ascii="Times New Roman" w:hAnsi="Times New Roman" w:eastAsia="仿宋_GB2312" w:cs="Times New Roman"/>
          <w:b w:val="0"/>
          <w:bCs w:val="0"/>
          <w:color w:val="auto"/>
          <w:sz w:val="32"/>
          <w:szCs w:val="32"/>
          <w:u w:val="none"/>
        </w:rPr>
        <w:t>落实夏秋季臭氧污染削峰和冬季颗粒物污染控制，加强重点区域、重点行业、重点领域引导和管理。</w:t>
      </w:r>
      <w:r>
        <w:rPr>
          <w:rFonts w:hint="eastAsia" w:eastAsia="仿宋_GB2312"/>
          <w:b w:val="0"/>
          <w:bCs w:val="0"/>
          <w:color w:val="auto"/>
          <w:sz w:val="32"/>
          <w:szCs w:val="32"/>
          <w:u w:val="none"/>
        </w:rPr>
        <w:t>按照国家要求落实钢铁、水泥、平板玻璃行业产能置换，禁止新增焦化、电解铝产能。</w:t>
      </w:r>
      <w:r>
        <w:rPr>
          <w:rFonts w:hint="eastAsia" w:ascii="Times New Roman" w:hAnsi="Times New Roman" w:eastAsia="仿宋_GB2312" w:cs="Times New Roman"/>
          <w:b w:val="0"/>
          <w:bCs w:val="0"/>
          <w:color w:val="auto"/>
          <w:sz w:val="32"/>
          <w:szCs w:val="32"/>
          <w:u w:val="none"/>
        </w:rPr>
        <w:t>加大现有化工园区整治力度。禁止建设生产挥发性有机物含量限值不符合国家标准的涂料、油墨、胶粘剂、清洗剂等项目。未纳入《石化产业规划布局方案》的新建炼化项目一律不得建设。加快城市建成区重污染企业搬迁改造、兼并重组，引导石化、化工、钢铁、建材、有色金属等重点行业合理布局。严格落实《关于执行国家排放标准大气污染物特别排放限值的通告》要求，全面实施国家大气污染物排放标准中的二氧化硫、氮氧化物、颗粒物和挥发性有机物特别排放限值。加强机动车污染防治，强化非道路移动机械污染防治，优先控制城市建成区内非道路移动机械的污染物排放，严格管理禁止使用高排放非道路移动机械的区域。对新、改、扩建有绩效提级要求的重点行业企业需按B级及以上要求建设。严格控</w:t>
      </w:r>
      <w:r>
        <w:rPr>
          <w:rFonts w:hint="eastAsia" w:ascii="Times New Roman" w:hAnsi="Times New Roman" w:eastAsia="仿宋_GB2312" w:cs="Times New Roman"/>
          <w:color w:val="auto"/>
          <w:sz w:val="32"/>
          <w:szCs w:val="32"/>
        </w:rPr>
        <w:t>制</w:t>
      </w:r>
      <w:r>
        <w:rPr>
          <w:rFonts w:ascii="Times New Roman" w:hAnsi="Times New Roman" w:eastAsia="仿宋_GB2312" w:cs="Times New Roman"/>
          <w:color w:val="auto"/>
          <w:sz w:val="32"/>
          <w:szCs w:val="32"/>
        </w:rPr>
        <w:t>新建高污染、高</w:t>
      </w:r>
      <w:r>
        <w:rPr>
          <w:rFonts w:hint="eastAsia" w:ascii="Times New Roman" w:hAnsi="Times New Roman" w:eastAsia="仿宋_GB2312" w:cs="Times New Roman"/>
          <w:b/>
          <w:bCs/>
          <w:color w:val="auto"/>
          <w:sz w:val="32"/>
          <w:szCs w:val="32"/>
        </w:rPr>
        <w:t>环境</w:t>
      </w:r>
      <w:r>
        <w:rPr>
          <w:rFonts w:ascii="Times New Roman" w:hAnsi="Times New Roman" w:eastAsia="仿宋_GB2312" w:cs="Times New Roman"/>
          <w:color w:val="auto"/>
          <w:sz w:val="32"/>
          <w:szCs w:val="32"/>
        </w:rPr>
        <w:t>风险</w:t>
      </w:r>
      <w:r>
        <w:rPr>
          <w:rFonts w:hint="eastAsia" w:ascii="Times New Roman" w:hAnsi="Times New Roman" w:eastAsia="仿宋_GB2312" w:cs="Times New Roman"/>
          <w:color w:val="auto"/>
          <w:sz w:val="32"/>
          <w:szCs w:val="32"/>
        </w:rPr>
        <w:t>的</w:t>
      </w:r>
      <w:r>
        <w:rPr>
          <w:rFonts w:ascii="Times New Roman" w:hAnsi="Times New Roman" w:eastAsia="仿宋_GB2312" w:cs="Times New Roman"/>
          <w:color w:val="auto"/>
          <w:sz w:val="32"/>
          <w:szCs w:val="32"/>
        </w:rPr>
        <w:t>涉气</w:t>
      </w:r>
      <w:r>
        <w:rPr>
          <w:rFonts w:hint="eastAsia" w:ascii="Times New Roman" w:hAnsi="Times New Roman" w:eastAsia="仿宋_GB2312" w:cs="Times New Roman"/>
          <w:color w:val="auto"/>
          <w:sz w:val="32"/>
          <w:szCs w:val="32"/>
        </w:rPr>
        <w:t>项目，强化源头管控，逐步削减大气污染物排放总量。新建“两高”项目应按照《关于加强重点行业建设项目区域削减措施监督管理的通知》要求，依据区域环境质量改善目标，制定配套区域污染物削减方案，采取有效的污染物区域削减措施，腾出足够的环境容量。所在区域、流域控制单元环境质量未达到国家或者地方环境质量标准的，建设项目应提出有效的区域削减方案，主要污染物实行区域倍量削减，确保项目投产后区域环境质量有改善。</w:t>
      </w:r>
    </w:p>
    <w:p w14:paraId="6D5F397C">
      <w:pPr>
        <w:spacing w:line="560" w:lineRule="exact"/>
        <w:ind w:firstLine="640" w:firstLineChars="200"/>
        <w:rPr>
          <w:rFonts w:ascii="Times New Roman" w:hAnsi="Times New Roman" w:eastAsia="仿宋_GB2312" w:cs="Times New Roman"/>
          <w:b w:val="0"/>
          <w:bCs w:val="0"/>
          <w:color w:val="auto"/>
          <w:sz w:val="32"/>
          <w:szCs w:val="32"/>
        </w:rPr>
      </w:pPr>
      <w:r>
        <w:rPr>
          <w:rFonts w:hint="eastAsia" w:ascii="Times New Roman" w:hAnsi="Times New Roman" w:eastAsia="仿宋_GB2312" w:cs="Times New Roman"/>
          <w:color w:val="auto"/>
          <w:sz w:val="32"/>
          <w:szCs w:val="32"/>
        </w:rPr>
        <w:t>严格土壤污染风险管控。严格按照土壤污染防治相关法律法规实施分类管控。在永久基本农田集中区域，不得新建可能造成土壤污染的建设项目；已经建成的，应当限期关闭拆除。对安全利用类农用地地块应当结合主要作物品种和种植习惯等情况，制定并实施安全利用方案；对严格管控类农用地地块应当采取相应的风险管控措施。对安全利用类农用地和严格管控类农用地区域周边原有的工业企业，应严格控制环境风险，逐步削减具有土壤污染风险</w:t>
      </w:r>
      <w:r>
        <w:rPr>
          <w:rFonts w:hint="eastAsia" w:ascii="Times New Roman" w:hAnsi="Times New Roman" w:eastAsia="仿宋_GB2312" w:cs="Times New Roman"/>
          <w:b w:val="0"/>
          <w:bCs w:val="0"/>
          <w:color w:val="auto"/>
          <w:sz w:val="32"/>
          <w:szCs w:val="32"/>
        </w:rPr>
        <w:t>的污染物排放总量；农用地资源紧缺或耕地保有量不足的区域，应做好企业关闭搬迁计划和农用地土壤修复规划。</w:t>
      </w:r>
    </w:p>
    <w:p w14:paraId="299AD78E">
      <w:pPr>
        <w:spacing w:line="560" w:lineRule="exact"/>
        <w:ind w:firstLine="640" w:firstLineChars="200"/>
        <w:rPr>
          <w:rFonts w:eastAsia="仿宋_GB2312"/>
          <w:b w:val="0"/>
          <w:bCs w:val="0"/>
          <w:color w:val="auto"/>
          <w:sz w:val="32"/>
          <w:szCs w:val="32"/>
        </w:rPr>
      </w:pPr>
      <w:r>
        <w:rPr>
          <w:rFonts w:hint="eastAsia" w:eastAsia="仿宋_GB2312"/>
          <w:b w:val="0"/>
          <w:bCs w:val="0"/>
          <w:color w:val="auto"/>
          <w:sz w:val="32"/>
          <w:szCs w:val="32"/>
        </w:rPr>
        <w:t>污染地块的开发利用实行联动监管。污染地块经治理与修复，达到修复目标且可以安全利用的地块可进入供地程序。未达到土壤污染风险评估报告确定的风险管控、修复目标的建设用地地块，禁止开工建设任何与风险管控、修复无关的项目。对暂不开发利用的污染地块，实施以防止污染扩散为目的的风险管控。</w:t>
      </w:r>
    </w:p>
    <w:p w14:paraId="13E992B4">
      <w:pPr>
        <w:spacing w:line="560" w:lineRule="exact"/>
        <w:ind w:firstLine="640" w:firstLineChars="200"/>
        <w:rPr>
          <w:rFonts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rPr>
        <w:t>严格执行相关行业企业布局选址要求，</w:t>
      </w:r>
      <w:r>
        <w:rPr>
          <w:rFonts w:hint="eastAsia" w:eastAsia="仿宋_GB2312"/>
          <w:b w:val="0"/>
          <w:bCs w:val="0"/>
          <w:color w:val="auto"/>
          <w:sz w:val="32"/>
          <w:szCs w:val="32"/>
        </w:rPr>
        <w:t>禁止在居民区、学校、幼儿园、医院、养老院、疗养院等周边新建、改建、扩建土壤污染防治重点行业项目以及其他可能造成土壤污染的建设项目。</w:t>
      </w:r>
      <w:r>
        <w:rPr>
          <w:rFonts w:hint="eastAsia" w:ascii="Times New Roman" w:hAnsi="Times New Roman" w:eastAsia="仿宋_GB2312" w:cs="Times New Roman"/>
          <w:b w:val="0"/>
          <w:bCs w:val="0"/>
          <w:color w:val="auto"/>
          <w:sz w:val="32"/>
          <w:szCs w:val="32"/>
        </w:rPr>
        <w:t>土壤污染重点监管单位新（改、扩）建项目用地应当符合国家或地方有关建设用地土壤风险管控标准。支持电镀、制革、电池等涉重企业向工业园区集聚发展。涉重产业园区应严格准入管控，严控污染增量，实施</w:t>
      </w:r>
      <w:r>
        <w:rPr>
          <w:rFonts w:hint="eastAsia" w:eastAsia="仿宋_GB2312"/>
          <w:b w:val="0"/>
          <w:bCs w:val="0"/>
          <w:color w:val="auto"/>
          <w:sz w:val="32"/>
          <w:szCs w:val="32"/>
        </w:rPr>
        <w:t>重点行业重点重金属污染物总量替代，</w:t>
      </w:r>
      <w:r>
        <w:rPr>
          <w:rFonts w:hint="eastAsia" w:ascii="Times New Roman" w:hAnsi="Times New Roman" w:eastAsia="仿宋_GB2312" w:cs="Times New Roman"/>
          <w:b w:val="0"/>
          <w:bCs w:val="0"/>
          <w:color w:val="auto"/>
          <w:sz w:val="32"/>
          <w:szCs w:val="32"/>
        </w:rPr>
        <w:t>新建项目清洁生产水平达到国内先进水平；建立土壤和地下水污染隐患排查治理制度、风险防控体系和长效监管机制。建立土壤和大气、水、固体废物污染防治联防联控机制，落实源头防控要求。对土壤污染防治重点行业企业、开发区（园区）、关停退出工业企业原址用地、固体废物填埋场、主要食用农产品主产区、地下水污染防治重点区、饮用水水源地、水源涵养区等区域的土壤、地下水环境质量实施重点监管。</w:t>
      </w:r>
    </w:p>
    <w:p w14:paraId="711DA10C">
      <w:pPr>
        <w:spacing w:line="560" w:lineRule="exact"/>
        <w:ind w:firstLine="640" w:firstLineChars="200"/>
        <w:rPr>
          <w:rFonts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rPr>
        <w:t>完善能源消耗总量和强度“双控”，逐步转向碳排放总量和强度“双控”，深化“亩均论英雄”改革。全面开展节水型社会建设，推进工业集聚区生态化改造，推进农业节水，提高用水效率。优化能源结构，加强能源清洁利用，落实煤炭消费减量替代要求，提高能源利用效率，加快构建清洁低碳、安全高效的能源体系。</w:t>
      </w:r>
    </w:p>
    <w:p w14:paraId="56DC3ACB">
      <w:pPr>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推进减污降碳协同增效，建立资源循环利用体系，推进重点行业绿色低碳发展。推动工业源、移动源、农业源、城镇生活源等途径大气污染物与温室气体协同控制。推进水环境治理、水处理、水资源利用与温室气体的协同控制。</w:t>
      </w:r>
    </w:p>
    <w:p w14:paraId="5919BB1F">
      <w:pPr>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建立新污染物风险评估体系，对重点管控新污染物实施禁止、限制、限排等环境风险管控措施，统筹推进新污染物治理。</w:t>
      </w:r>
    </w:p>
    <w:p w14:paraId="595BD369">
      <w:pPr>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落实环杭州湾城市群环境管控要求。优化区域发展与资源环境承载力之间的关系，从布局上严格产业准入，引导重大平台实现绿色低碳循环发展。统筹水、气、固废、温室气体等多领域减排要求，优化治理目标、治理工艺和技术路线，强化多污染物与温室气体协同控制，增强污染防治与碳排放治理的协调性。实施大运河文化带建设战略，推进河道水系治理管护，加强生态环境保护修复，实现大运河科学保护与合理利用。加强太湖流域控氮控磷，提升太湖流域水生态功能。加强对环杭州湾挥发性有机物和持久性有机物的管控。深入实施细颗粒物和臭氧“双控双减”，大力推进挥发性有机物和氮氧化物协同减排。推进区域大气污染联防联控，加强重污染天气应急联动，统一区域重污染天气应急启动标准，降低污染预警启动门槛。</w:t>
      </w:r>
    </w:p>
    <w:p w14:paraId="5896BE0F">
      <w:pPr>
        <w:spacing w:line="560" w:lineRule="exact"/>
        <w:outlineLvl w:val="1"/>
        <w:rPr>
          <w:rFonts w:ascii="楷体" w:hAnsi="Times New Roman" w:eastAsia="楷体" w:cs="Times New Roman"/>
          <w:color w:val="auto"/>
          <w:sz w:val="32"/>
          <w:szCs w:val="20"/>
        </w:rPr>
      </w:pPr>
      <w:r>
        <w:rPr>
          <w:rFonts w:hint="eastAsia" w:ascii="楷体" w:hAnsi="Times New Roman" w:eastAsia="楷体" w:cs="Times New Roman"/>
          <w:color w:val="auto"/>
          <w:sz w:val="32"/>
          <w:szCs w:val="20"/>
        </w:rPr>
        <w:t>（二）生态环境管控单元准入清单</w:t>
      </w:r>
    </w:p>
    <w:p w14:paraId="613DF250">
      <w:pPr>
        <w:ind w:firstLine="640" w:firstLineChars="200"/>
        <w:rPr>
          <w:rFonts w:ascii="仿宋_GB2312" w:hAnsi="Times New Roman" w:eastAsia="仿宋_GB2312" w:cs="Times New Roman"/>
          <w:color w:val="auto"/>
          <w:sz w:val="32"/>
          <w:szCs w:val="20"/>
        </w:rPr>
        <w:sectPr>
          <w:pgSz w:w="11906" w:h="16838"/>
          <w:pgMar w:top="1440" w:right="1800" w:bottom="1440" w:left="1800" w:header="851" w:footer="992" w:gutter="0"/>
          <w:pgNumType w:start="1"/>
          <w:cols w:space="425" w:num="1"/>
          <w:docGrid w:type="lines" w:linePitch="312" w:charSpace="0"/>
        </w:sectPr>
      </w:pPr>
      <w:r>
        <w:rPr>
          <w:rFonts w:hint="eastAsia" w:ascii="仿宋_GB2312" w:hAnsi="Times New Roman" w:eastAsia="仿宋_GB2312" w:cs="Times New Roman"/>
          <w:color w:val="auto"/>
          <w:sz w:val="32"/>
          <w:szCs w:val="20"/>
        </w:rPr>
        <w:t>根据区域生态环境功能定位及环境质量目标，建立桐乡市2</w:t>
      </w:r>
      <w:r>
        <w:rPr>
          <w:rFonts w:ascii="仿宋_GB2312" w:hAnsi="Times New Roman" w:eastAsia="仿宋_GB2312" w:cs="Times New Roman"/>
          <w:color w:val="auto"/>
          <w:sz w:val="32"/>
          <w:szCs w:val="20"/>
        </w:rPr>
        <w:t>4</w:t>
      </w:r>
      <w:r>
        <w:rPr>
          <w:rFonts w:hint="eastAsia" w:ascii="仿宋_GB2312" w:hAnsi="Times New Roman" w:eastAsia="仿宋_GB2312" w:cs="Times New Roman"/>
          <w:color w:val="auto"/>
          <w:sz w:val="32"/>
          <w:szCs w:val="20"/>
        </w:rPr>
        <w:t>个环境管控单元的准入清单，详见如下表。</w:t>
      </w:r>
    </w:p>
    <w:p w14:paraId="394D552B">
      <w:pPr>
        <w:jc w:val="left"/>
        <w:outlineLvl w:val="0"/>
        <w:rPr>
          <w:rFonts w:ascii="黑体" w:hAnsi="黑体" w:eastAsia="黑体" w:cs="Times New Roman"/>
          <w:color w:val="auto"/>
          <w:sz w:val="32"/>
          <w:szCs w:val="20"/>
        </w:rPr>
      </w:pPr>
      <w:bookmarkStart w:id="1" w:name="_Hlk141775768"/>
      <w:r>
        <w:rPr>
          <w:rFonts w:hint="eastAsia" w:ascii="黑体" w:hAnsi="黑体" w:eastAsia="黑体" w:cs="Times New Roman"/>
          <w:color w:val="auto"/>
          <w:sz w:val="32"/>
          <w:szCs w:val="20"/>
        </w:rPr>
        <w:t>附表：桐乡市生态环境管控单元准入清单</w:t>
      </w:r>
    </w:p>
    <w:tbl>
      <w:tblPr>
        <w:tblStyle w:val="5"/>
        <w:tblW w:w="1406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214"/>
        <w:gridCol w:w="709"/>
        <w:gridCol w:w="1134"/>
        <w:gridCol w:w="3543"/>
        <w:gridCol w:w="1985"/>
        <w:gridCol w:w="2268"/>
        <w:gridCol w:w="1559"/>
      </w:tblGrid>
      <w:tr w14:paraId="2D3E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51" w:type="dxa"/>
            <w:vAlign w:val="center"/>
          </w:tcPr>
          <w:p w14:paraId="78242F06">
            <w:pPr>
              <w:spacing w:line="280" w:lineRule="exact"/>
              <w:jc w:val="center"/>
              <w:rPr>
                <w:rFonts w:ascii="Times New Roman" w:hAnsi="Times New Roman" w:eastAsia="宋体" w:cs="Times New Roman"/>
                <w:b/>
                <w:bCs/>
                <w:color w:val="auto"/>
                <w:sz w:val="20"/>
                <w:szCs w:val="24"/>
              </w:rPr>
            </w:pPr>
            <w:r>
              <w:rPr>
                <w:rFonts w:hint="eastAsia" w:ascii="Times New Roman" w:hAnsi="Times New Roman" w:eastAsia="宋体" w:cs="Times New Roman"/>
                <w:b/>
                <w:bCs/>
                <w:color w:val="auto"/>
                <w:sz w:val="20"/>
                <w:szCs w:val="24"/>
              </w:rPr>
              <w:t>环境管控单元编码</w:t>
            </w:r>
          </w:p>
        </w:tc>
        <w:tc>
          <w:tcPr>
            <w:tcW w:w="1214" w:type="dxa"/>
            <w:vAlign w:val="center"/>
          </w:tcPr>
          <w:p w14:paraId="146DBED1">
            <w:pPr>
              <w:spacing w:line="280" w:lineRule="exact"/>
              <w:jc w:val="center"/>
              <w:rPr>
                <w:rFonts w:ascii="Times New Roman" w:hAnsi="Times New Roman" w:eastAsia="宋体" w:cs="Times New Roman"/>
                <w:b/>
                <w:bCs/>
                <w:color w:val="auto"/>
                <w:sz w:val="20"/>
                <w:szCs w:val="24"/>
              </w:rPr>
            </w:pPr>
            <w:r>
              <w:rPr>
                <w:rFonts w:hint="eastAsia" w:ascii="Times New Roman" w:hAnsi="Times New Roman" w:eastAsia="宋体" w:cs="Times New Roman"/>
                <w:b/>
                <w:bCs/>
                <w:color w:val="auto"/>
                <w:sz w:val="20"/>
                <w:szCs w:val="24"/>
              </w:rPr>
              <w:t>环境管控单元名称</w:t>
            </w:r>
          </w:p>
        </w:tc>
        <w:tc>
          <w:tcPr>
            <w:tcW w:w="709" w:type="dxa"/>
            <w:vAlign w:val="center"/>
          </w:tcPr>
          <w:p w14:paraId="3319F652">
            <w:pPr>
              <w:spacing w:line="280" w:lineRule="exact"/>
              <w:jc w:val="center"/>
              <w:rPr>
                <w:rFonts w:ascii="Times New Roman" w:hAnsi="Times New Roman" w:eastAsia="宋体" w:cs="Times New Roman"/>
                <w:b/>
                <w:bCs/>
                <w:color w:val="auto"/>
                <w:sz w:val="20"/>
                <w:szCs w:val="24"/>
              </w:rPr>
            </w:pPr>
            <w:r>
              <w:rPr>
                <w:rFonts w:hint="eastAsia" w:ascii="Times New Roman" w:hAnsi="Times New Roman" w:eastAsia="宋体" w:cs="Times New Roman"/>
                <w:b/>
                <w:bCs/>
                <w:color w:val="auto"/>
                <w:sz w:val="20"/>
                <w:szCs w:val="24"/>
              </w:rPr>
              <w:t>行政区划</w:t>
            </w:r>
          </w:p>
        </w:tc>
        <w:tc>
          <w:tcPr>
            <w:tcW w:w="1134" w:type="dxa"/>
            <w:vAlign w:val="center"/>
          </w:tcPr>
          <w:p w14:paraId="34FB1CC9">
            <w:pPr>
              <w:spacing w:line="280" w:lineRule="exact"/>
              <w:jc w:val="center"/>
              <w:rPr>
                <w:rFonts w:ascii="Times New Roman" w:hAnsi="Times New Roman" w:eastAsia="宋体" w:cs="Times New Roman"/>
                <w:b/>
                <w:bCs/>
                <w:color w:val="auto"/>
                <w:sz w:val="20"/>
                <w:szCs w:val="24"/>
              </w:rPr>
            </w:pPr>
            <w:r>
              <w:rPr>
                <w:rFonts w:hint="eastAsia" w:ascii="Times New Roman" w:hAnsi="Times New Roman" w:eastAsia="宋体" w:cs="Times New Roman"/>
                <w:b/>
                <w:bCs/>
                <w:color w:val="auto"/>
                <w:sz w:val="20"/>
                <w:szCs w:val="24"/>
              </w:rPr>
              <w:t>单元面积（k</w:t>
            </w:r>
            <w:r>
              <w:rPr>
                <w:rFonts w:ascii="Times New Roman" w:hAnsi="Times New Roman" w:eastAsia="宋体" w:cs="Times New Roman"/>
                <w:b/>
                <w:bCs/>
                <w:color w:val="auto"/>
                <w:sz w:val="20"/>
                <w:szCs w:val="24"/>
              </w:rPr>
              <w:t>m</w:t>
            </w:r>
            <w:r>
              <w:rPr>
                <w:rFonts w:ascii="Times New Roman" w:hAnsi="Times New Roman" w:eastAsia="宋体" w:cs="Times New Roman"/>
                <w:b/>
                <w:bCs/>
                <w:color w:val="auto"/>
                <w:sz w:val="20"/>
                <w:szCs w:val="24"/>
                <w:vertAlign w:val="superscript"/>
              </w:rPr>
              <w:t>2</w:t>
            </w:r>
            <w:r>
              <w:rPr>
                <w:rFonts w:hint="eastAsia" w:ascii="Times New Roman" w:hAnsi="Times New Roman" w:eastAsia="宋体" w:cs="Times New Roman"/>
                <w:b/>
                <w:bCs/>
                <w:color w:val="auto"/>
                <w:sz w:val="20"/>
                <w:szCs w:val="24"/>
              </w:rPr>
              <w:t>）</w:t>
            </w:r>
          </w:p>
        </w:tc>
        <w:tc>
          <w:tcPr>
            <w:tcW w:w="3543" w:type="dxa"/>
            <w:vAlign w:val="center"/>
          </w:tcPr>
          <w:p w14:paraId="53A6BD0F">
            <w:pPr>
              <w:spacing w:line="280" w:lineRule="exact"/>
              <w:jc w:val="center"/>
              <w:rPr>
                <w:rFonts w:ascii="Times New Roman" w:hAnsi="Times New Roman" w:eastAsia="宋体" w:cs="Times New Roman"/>
                <w:b/>
                <w:bCs/>
                <w:color w:val="auto"/>
                <w:sz w:val="20"/>
                <w:szCs w:val="24"/>
              </w:rPr>
            </w:pPr>
            <w:r>
              <w:rPr>
                <w:rFonts w:hint="eastAsia" w:ascii="Times New Roman" w:hAnsi="Times New Roman" w:eastAsia="宋体" w:cs="Times New Roman"/>
                <w:b/>
                <w:bCs/>
                <w:color w:val="auto"/>
                <w:sz w:val="20"/>
                <w:szCs w:val="24"/>
              </w:rPr>
              <w:t>空间布局约束</w:t>
            </w:r>
          </w:p>
        </w:tc>
        <w:tc>
          <w:tcPr>
            <w:tcW w:w="1985" w:type="dxa"/>
            <w:vAlign w:val="center"/>
          </w:tcPr>
          <w:p w14:paraId="0BAC53F6">
            <w:pPr>
              <w:spacing w:line="280" w:lineRule="exact"/>
              <w:jc w:val="center"/>
              <w:rPr>
                <w:rFonts w:ascii="Times New Roman" w:hAnsi="Times New Roman" w:eastAsia="宋体" w:cs="Times New Roman"/>
                <w:b/>
                <w:bCs/>
                <w:color w:val="auto"/>
                <w:sz w:val="20"/>
                <w:szCs w:val="24"/>
              </w:rPr>
            </w:pPr>
            <w:r>
              <w:rPr>
                <w:rFonts w:hint="eastAsia" w:ascii="Times New Roman" w:hAnsi="Times New Roman" w:eastAsia="宋体" w:cs="Times New Roman"/>
                <w:b/>
                <w:bCs/>
                <w:color w:val="auto"/>
                <w:sz w:val="20"/>
                <w:szCs w:val="24"/>
              </w:rPr>
              <w:t>污染物排放管控</w:t>
            </w:r>
          </w:p>
        </w:tc>
        <w:tc>
          <w:tcPr>
            <w:tcW w:w="2268" w:type="dxa"/>
            <w:vAlign w:val="center"/>
          </w:tcPr>
          <w:p w14:paraId="5949A1FB">
            <w:pPr>
              <w:spacing w:line="280" w:lineRule="exact"/>
              <w:jc w:val="center"/>
              <w:rPr>
                <w:rFonts w:ascii="Times New Roman" w:hAnsi="Times New Roman" w:eastAsia="宋体" w:cs="Times New Roman"/>
                <w:b/>
                <w:bCs/>
                <w:color w:val="auto"/>
                <w:sz w:val="20"/>
                <w:szCs w:val="24"/>
              </w:rPr>
            </w:pPr>
            <w:r>
              <w:rPr>
                <w:rFonts w:hint="eastAsia" w:ascii="Times New Roman" w:hAnsi="Times New Roman" w:eastAsia="宋体" w:cs="Times New Roman"/>
                <w:b/>
                <w:bCs/>
                <w:color w:val="auto"/>
                <w:sz w:val="20"/>
                <w:szCs w:val="24"/>
              </w:rPr>
              <w:t>环境风险防控</w:t>
            </w:r>
          </w:p>
        </w:tc>
        <w:tc>
          <w:tcPr>
            <w:tcW w:w="1559" w:type="dxa"/>
            <w:vAlign w:val="center"/>
          </w:tcPr>
          <w:p w14:paraId="4FBF575C">
            <w:pPr>
              <w:spacing w:line="280" w:lineRule="exact"/>
              <w:jc w:val="center"/>
              <w:rPr>
                <w:rFonts w:ascii="Times New Roman" w:hAnsi="Times New Roman" w:eastAsia="宋体" w:cs="Times New Roman"/>
                <w:b/>
                <w:bCs/>
                <w:color w:val="auto"/>
                <w:sz w:val="20"/>
                <w:szCs w:val="24"/>
              </w:rPr>
            </w:pPr>
            <w:r>
              <w:rPr>
                <w:rFonts w:hint="eastAsia" w:ascii="Times New Roman" w:hAnsi="Times New Roman" w:eastAsia="宋体" w:cs="Times New Roman"/>
                <w:b/>
                <w:bCs/>
                <w:color w:val="auto"/>
                <w:sz w:val="20"/>
                <w:szCs w:val="24"/>
              </w:rPr>
              <w:t>资源开发效率要求</w:t>
            </w:r>
          </w:p>
        </w:tc>
      </w:tr>
      <w:tr w14:paraId="7823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7EAB3045">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ZH33048310001</w:t>
            </w:r>
          </w:p>
        </w:tc>
        <w:tc>
          <w:tcPr>
            <w:tcW w:w="1214" w:type="dxa"/>
            <w:vAlign w:val="center"/>
          </w:tcPr>
          <w:p w14:paraId="17B8DA7D">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浙江省嘉兴市桐乡市运河西部饮用水源保护区优先保护单元</w:t>
            </w:r>
          </w:p>
        </w:tc>
        <w:tc>
          <w:tcPr>
            <w:tcW w:w="709" w:type="dxa"/>
            <w:vAlign w:val="center"/>
          </w:tcPr>
          <w:p w14:paraId="04900F8A">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086FBC81">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8.5634</w:t>
            </w:r>
          </w:p>
        </w:tc>
        <w:tc>
          <w:tcPr>
            <w:tcW w:w="3543" w:type="dxa"/>
            <w:shd w:val="clear" w:color="auto" w:fill="auto"/>
            <w:vAlign w:val="center"/>
          </w:tcPr>
          <w:p w14:paraId="426CB876">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涉及的生态保护红线，严格按照国家和省生态保护红线管理相关规定进行管控，确保生态保护红线内“生态功能不降低，面积不减少，性质不改变”。生态保护红线内自然保护地核心保护区内，原则上禁止人为活动；生态保护红线内自然保护地核心保护区外，禁止开发性、生产性建设活动，在符合法律法规的前提下，仅允许部分对生态功能不造成破坏的有限人为活动。</w:t>
            </w:r>
            <w:r>
              <w:rPr>
                <w:rFonts w:hint="eastAsia" w:ascii="Times New Roman" w:hAnsi="Times New Roman" w:eastAsia="宋体"/>
                <w:color w:val="auto"/>
                <w:sz w:val="20"/>
              </w:rPr>
              <w:br w:type="textWrapping"/>
            </w:r>
            <w:r>
              <w:rPr>
                <w:rFonts w:hint="eastAsia" w:ascii="Times New Roman" w:hAnsi="Times New Roman" w:eastAsia="宋体"/>
                <w:color w:val="auto"/>
                <w:sz w:val="20"/>
              </w:rPr>
              <w:t>2、饮用水水源保护区按照《中华人民共和国水污染防治法》、《浙江省饮用水水源保护条例》、《饮用水水源保护区污染防治管理规定》等相关法律法规实施管理。</w:t>
            </w:r>
            <w:r>
              <w:rPr>
                <w:rFonts w:hint="eastAsia" w:ascii="Times New Roman" w:hAnsi="Times New Roman" w:eastAsia="宋体"/>
                <w:color w:val="auto"/>
                <w:sz w:val="20"/>
              </w:rPr>
              <w:br w:type="textWrapping"/>
            </w:r>
            <w:r>
              <w:rPr>
                <w:rFonts w:hint="eastAsia" w:ascii="Times New Roman" w:hAnsi="Times New Roman" w:eastAsia="宋体"/>
                <w:color w:val="auto"/>
                <w:sz w:val="20"/>
              </w:rPr>
              <w:t>3、禁止未经法定许可在河流两岸、干线公路两侧规划控制范围内进行采石、取土、采砂等活动。严格限制矿产资源开发项目，确需开采的矿产资源及必须就地开展矿产加工的新改扩建项目，应以点状开发为主，严格控制区域开发规模。</w:t>
            </w:r>
            <w:r>
              <w:rPr>
                <w:rFonts w:hint="eastAsia" w:ascii="Times New Roman" w:hAnsi="Times New Roman" w:eastAsia="宋体"/>
                <w:color w:val="auto"/>
                <w:sz w:val="20"/>
              </w:rPr>
              <w:br w:type="textWrapping"/>
            </w:r>
            <w:r>
              <w:rPr>
                <w:rFonts w:hint="eastAsia" w:ascii="Times New Roman" w:hAnsi="Times New Roman" w:eastAsia="宋体"/>
                <w:color w:val="auto"/>
                <w:sz w:val="20"/>
              </w:rPr>
              <w:t>4、严格执行畜禽养殖禁养区规定。</w:t>
            </w:r>
          </w:p>
        </w:tc>
        <w:tc>
          <w:tcPr>
            <w:tcW w:w="1985" w:type="dxa"/>
            <w:shd w:val="clear" w:color="auto" w:fill="auto"/>
            <w:vAlign w:val="center"/>
          </w:tcPr>
          <w:p w14:paraId="117BBA15">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严禁水功能在Ⅱ类及以上河流设置排污口。</w:t>
            </w:r>
          </w:p>
        </w:tc>
        <w:tc>
          <w:tcPr>
            <w:tcW w:w="2268" w:type="dxa"/>
            <w:shd w:val="clear" w:color="auto" w:fill="auto"/>
            <w:vAlign w:val="center"/>
          </w:tcPr>
          <w:p w14:paraId="40F4C4A4">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1、加强区域内环境风险防控，不得损害生物多样性维持与生境保护、水源涵养与饮用水源保护、营养物质保持等生态服务功能。</w:t>
            </w:r>
            <w:r>
              <w:rPr>
                <w:rFonts w:hint="eastAsia" w:ascii="Times New Roman" w:hAnsi="Times New Roman" w:eastAsia="宋体"/>
                <w:color w:val="auto"/>
                <w:sz w:val="20"/>
              </w:rPr>
              <w:br w:type="textWrapping"/>
            </w:r>
            <w:r>
              <w:rPr>
                <w:rFonts w:hint="eastAsia" w:ascii="Times New Roman" w:hAnsi="Times New Roman" w:eastAsia="宋体"/>
                <w:color w:val="auto"/>
                <w:sz w:val="20"/>
              </w:rPr>
              <w:t>2、在进行各类建设开发活动前，应加强对生物多样性影响的评估，任何开发建设活动不得破坏野生动物的重要栖息地，不得阻隔野生动物的迁徙通道。开展农林业有害生物防控，强化生物多样性保护优先区域和重点生态功能区等重点区域外来物种入侵管控。</w:t>
            </w:r>
            <w:r>
              <w:rPr>
                <w:rFonts w:hint="eastAsia" w:ascii="Times New Roman" w:hAnsi="Times New Roman" w:eastAsia="宋体"/>
                <w:color w:val="auto"/>
                <w:sz w:val="20"/>
              </w:rPr>
              <w:br w:type="textWrapping"/>
            </w:r>
            <w:r>
              <w:rPr>
                <w:rFonts w:hint="eastAsia" w:ascii="Times New Roman" w:hAnsi="Times New Roman" w:eastAsia="宋体"/>
                <w:color w:val="auto"/>
                <w:sz w:val="20"/>
              </w:rPr>
              <w:t>3、落实饮用水水源保护区隔离和防护设施建设，提升饮用水水源保护区应急管理水平。</w:t>
            </w:r>
            <w:r>
              <w:rPr>
                <w:rFonts w:hint="eastAsia" w:ascii="Times New Roman" w:hAnsi="Times New Roman" w:eastAsia="宋体"/>
                <w:color w:val="auto"/>
                <w:sz w:val="20"/>
              </w:rPr>
              <w:br w:type="textWrapping"/>
            </w:r>
            <w:r>
              <w:rPr>
                <w:rFonts w:hint="eastAsia" w:ascii="Times New Roman" w:hAnsi="Times New Roman" w:eastAsia="宋体"/>
                <w:color w:val="auto"/>
                <w:sz w:val="20"/>
              </w:rPr>
              <w:t>4、完善环境突发事故应急预案，加强环境风险防控体系建设。</w:t>
            </w:r>
          </w:p>
        </w:tc>
        <w:tc>
          <w:tcPr>
            <w:tcW w:w="1559" w:type="dxa"/>
            <w:shd w:val="clear" w:color="auto" w:fill="auto"/>
            <w:vAlign w:val="center"/>
          </w:tcPr>
          <w:p w14:paraId="1197DA08">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1、加强水资源优化配置，合理控制水资源开发强度。</w:t>
            </w:r>
          </w:p>
          <w:p w14:paraId="1FC8EE8B">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2、提升森林公园、湿地等重要生态系统固碳能力，强化固碳增汇措施，科学推进区域碳汇能力稳步提升。</w:t>
            </w:r>
          </w:p>
        </w:tc>
      </w:tr>
      <w:tr w14:paraId="4B44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6EAEC089">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ZH33048310002</w:t>
            </w:r>
          </w:p>
        </w:tc>
        <w:tc>
          <w:tcPr>
            <w:tcW w:w="1214" w:type="dxa"/>
            <w:vAlign w:val="center"/>
          </w:tcPr>
          <w:p w14:paraId="792DC32A">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浙江省嘉兴市桐乡市运河水源涵养功能重要区优先保护单元</w:t>
            </w:r>
          </w:p>
        </w:tc>
        <w:tc>
          <w:tcPr>
            <w:tcW w:w="709" w:type="dxa"/>
            <w:vAlign w:val="center"/>
          </w:tcPr>
          <w:p w14:paraId="23101F29">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006CE745">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7.0065</w:t>
            </w:r>
          </w:p>
        </w:tc>
        <w:tc>
          <w:tcPr>
            <w:tcW w:w="3543" w:type="dxa"/>
            <w:shd w:val="clear" w:color="auto" w:fill="auto"/>
            <w:vAlign w:val="center"/>
          </w:tcPr>
          <w:p w14:paraId="2CC763FC">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涉及的生态保护红线，严格按照国家和省生态保护红线管理相关规定进行管控，确保生态保护红线内“生态功能不降低，面积不减少，性质不改变”。生态保护红线内自然保护地核心保护区内，原则上禁止人为活动；生态保护红线内自然保护地核心保护区外，禁止开发性、生产性建设活动，在符合法律法规的前提下，仅允许部分对生态功能不造成破坏的有限人为活动。</w:t>
            </w:r>
            <w:r>
              <w:rPr>
                <w:rFonts w:hint="eastAsia" w:ascii="Times New Roman" w:hAnsi="Times New Roman" w:eastAsia="宋体"/>
                <w:color w:val="auto"/>
                <w:sz w:val="20"/>
              </w:rPr>
              <w:br w:type="textWrapping"/>
            </w:r>
            <w:r>
              <w:rPr>
                <w:rFonts w:hint="eastAsia" w:ascii="Times New Roman" w:hAnsi="Times New Roman" w:eastAsia="宋体"/>
                <w:color w:val="auto"/>
                <w:sz w:val="20"/>
              </w:rPr>
              <w:t>2、饮用水水源保护区按照《中华人民共和国水污染防治法》、《浙江省饮用水水源保护条例》、《饮用水水源保护区污染防治管理规定》等相关法律法规实施管理。</w:t>
            </w:r>
            <w:r>
              <w:rPr>
                <w:rFonts w:hint="eastAsia" w:ascii="Times New Roman" w:hAnsi="Times New Roman" w:eastAsia="宋体"/>
                <w:color w:val="auto"/>
                <w:sz w:val="20"/>
              </w:rPr>
              <w:br w:type="textWrapping"/>
            </w:r>
            <w:r>
              <w:rPr>
                <w:rFonts w:hint="eastAsia" w:ascii="Times New Roman" w:hAnsi="Times New Roman" w:eastAsia="宋体"/>
                <w:color w:val="auto"/>
                <w:sz w:val="20"/>
              </w:rPr>
              <w:t>3、禁止未经法定许可在河流两岸、干线公路两侧规划控制范围内进行采石、取土、采砂等活动。严格限制矿产资源开发项目，确需开采的矿产资源及必须就地开展矿产加工的新改扩建项目，应以点状开发为主，严格控制区域开发规模。</w:t>
            </w:r>
            <w:r>
              <w:rPr>
                <w:rFonts w:hint="eastAsia" w:ascii="Times New Roman" w:hAnsi="Times New Roman" w:eastAsia="宋体"/>
                <w:color w:val="auto"/>
                <w:sz w:val="20"/>
              </w:rPr>
              <w:br w:type="textWrapping"/>
            </w:r>
            <w:r>
              <w:rPr>
                <w:rFonts w:hint="eastAsia" w:ascii="Times New Roman" w:hAnsi="Times New Roman" w:eastAsia="宋体"/>
                <w:color w:val="auto"/>
                <w:sz w:val="20"/>
              </w:rPr>
              <w:t>4、严格执行畜禽养殖禁养区规定。</w:t>
            </w:r>
          </w:p>
        </w:tc>
        <w:tc>
          <w:tcPr>
            <w:tcW w:w="1985" w:type="dxa"/>
            <w:shd w:val="clear" w:color="auto" w:fill="auto"/>
            <w:vAlign w:val="center"/>
          </w:tcPr>
          <w:p w14:paraId="362A98D0">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严禁水功能在Ⅱ类及以上河流设置排污口。</w:t>
            </w:r>
          </w:p>
        </w:tc>
        <w:tc>
          <w:tcPr>
            <w:tcW w:w="2268" w:type="dxa"/>
            <w:shd w:val="clear" w:color="auto" w:fill="auto"/>
            <w:vAlign w:val="center"/>
          </w:tcPr>
          <w:p w14:paraId="059DEBFB">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1、加强区域内环境风险防控，不得损害生物多样性维持与生境保护、水源涵养与饮用水源保护、营养物质保持等生态服务功能。</w:t>
            </w:r>
            <w:r>
              <w:rPr>
                <w:rFonts w:hint="eastAsia" w:ascii="Times New Roman" w:hAnsi="Times New Roman" w:eastAsia="宋体"/>
                <w:color w:val="auto"/>
                <w:sz w:val="20"/>
              </w:rPr>
              <w:br w:type="textWrapping"/>
            </w:r>
            <w:r>
              <w:rPr>
                <w:rFonts w:hint="eastAsia" w:ascii="Times New Roman" w:hAnsi="Times New Roman" w:eastAsia="宋体"/>
                <w:color w:val="auto"/>
                <w:sz w:val="20"/>
              </w:rPr>
              <w:t>2、在进行各类建设开发活动前，应加强对生物多样性影响的评估，任何开发建设活动不得破坏野生动物的重要栖息地，不得阻隔野生动物的迁徙通道。开展农林业有害生物防控，强化生物多样性保护优先区域和重点生态功能区等重点区域外来物种入侵管控。</w:t>
            </w:r>
            <w:r>
              <w:rPr>
                <w:rFonts w:hint="eastAsia" w:ascii="Times New Roman" w:hAnsi="Times New Roman" w:eastAsia="宋体"/>
                <w:color w:val="auto"/>
                <w:sz w:val="20"/>
              </w:rPr>
              <w:br w:type="textWrapping"/>
            </w:r>
            <w:r>
              <w:rPr>
                <w:rFonts w:hint="eastAsia" w:ascii="Times New Roman" w:hAnsi="Times New Roman" w:eastAsia="宋体"/>
                <w:color w:val="auto"/>
                <w:sz w:val="20"/>
              </w:rPr>
              <w:t>3、落实饮用水水源保护区隔离和防护设施建设，提升饮用水水源保护区应急管理水平。</w:t>
            </w:r>
            <w:r>
              <w:rPr>
                <w:rFonts w:hint="eastAsia" w:ascii="Times New Roman" w:hAnsi="Times New Roman" w:eastAsia="宋体"/>
                <w:color w:val="auto"/>
                <w:sz w:val="20"/>
              </w:rPr>
              <w:br w:type="textWrapping"/>
            </w:r>
            <w:r>
              <w:rPr>
                <w:rFonts w:hint="eastAsia" w:ascii="Times New Roman" w:hAnsi="Times New Roman" w:eastAsia="宋体"/>
                <w:color w:val="auto"/>
                <w:sz w:val="20"/>
              </w:rPr>
              <w:t>4、完善环境突发事故应急预案，加强环境风险防控体系建设。</w:t>
            </w:r>
          </w:p>
        </w:tc>
        <w:tc>
          <w:tcPr>
            <w:tcW w:w="1559" w:type="dxa"/>
            <w:shd w:val="clear" w:color="auto" w:fill="auto"/>
            <w:vAlign w:val="center"/>
          </w:tcPr>
          <w:p w14:paraId="30A9A853">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1、加强水资源优化配置，合理控制水资源开发强度。</w:t>
            </w:r>
          </w:p>
          <w:p w14:paraId="784A956A">
            <w:pPr>
              <w:spacing w:line="280" w:lineRule="exact"/>
              <w:jc w:val="left"/>
              <w:rPr>
                <w:rFonts w:ascii="Times New Roman" w:hAnsi="Times New Roman" w:eastAsia="宋体" w:cs="Times New Roman"/>
                <w:color w:val="auto"/>
                <w:sz w:val="20"/>
              </w:rPr>
            </w:pPr>
            <w:r>
              <w:rPr>
                <w:rFonts w:ascii="Times New Roman" w:hAnsi="Times New Roman" w:eastAsia="宋体"/>
                <w:color w:val="auto"/>
                <w:sz w:val="20"/>
              </w:rPr>
              <w:t>2</w:t>
            </w:r>
            <w:r>
              <w:rPr>
                <w:rFonts w:hint="eastAsia" w:ascii="Times New Roman" w:hAnsi="Times New Roman" w:eastAsia="宋体"/>
                <w:color w:val="auto"/>
                <w:sz w:val="20"/>
              </w:rPr>
              <w:t>、提升森林公园、湿地等重要生态系统固碳能力，强化固碳增汇措施，科学推进区域碳汇能力稳步提升。</w:t>
            </w:r>
          </w:p>
        </w:tc>
      </w:tr>
      <w:tr w14:paraId="3331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1C296ED9">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ZH33048310003</w:t>
            </w:r>
          </w:p>
        </w:tc>
        <w:tc>
          <w:tcPr>
            <w:tcW w:w="1214" w:type="dxa"/>
            <w:vAlign w:val="center"/>
          </w:tcPr>
          <w:p w14:paraId="00697A7B">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浙江省嘉兴市桐乡市浙东北水网平原生态功能保障区优先保护单元</w:t>
            </w:r>
          </w:p>
        </w:tc>
        <w:tc>
          <w:tcPr>
            <w:tcW w:w="709" w:type="dxa"/>
            <w:vAlign w:val="center"/>
          </w:tcPr>
          <w:p w14:paraId="76DF7348">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4C8E960D">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28.4810</w:t>
            </w:r>
          </w:p>
        </w:tc>
        <w:tc>
          <w:tcPr>
            <w:tcW w:w="3543" w:type="dxa"/>
            <w:shd w:val="clear" w:color="auto" w:fill="auto"/>
            <w:vAlign w:val="center"/>
          </w:tcPr>
          <w:p w14:paraId="23AC4D94">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1、按照限制开发区域进行管理。禁止新建、扩建三类工业项目，现有三类工业项目改建要削减污染物排放总量，涉及一类重金属</w:t>
            </w:r>
            <w:r>
              <w:rPr>
                <w:rFonts w:ascii="Times New Roman" w:hAnsi="Times New Roman" w:eastAsia="宋体"/>
                <w:color w:val="auto"/>
                <w:sz w:val="20"/>
              </w:rPr>
              <w:t>、重点行业重点重金属污染物、</w:t>
            </w:r>
            <w:r>
              <w:rPr>
                <w:rFonts w:hint="eastAsia" w:ascii="Times New Roman" w:hAnsi="Times New Roman" w:eastAsia="宋体"/>
                <w:color w:val="auto"/>
                <w:sz w:val="20"/>
              </w:rPr>
              <w:t>持久性有机污染物排放的现有三类工业项目原则上结合地方政府整治要求搬迁关闭，鼓励其他三类工业项目搬迁或关闭。禁止新建涉及一类重金属</w:t>
            </w:r>
            <w:r>
              <w:rPr>
                <w:rFonts w:ascii="Times New Roman" w:hAnsi="Times New Roman" w:eastAsia="宋体"/>
                <w:color w:val="auto"/>
                <w:sz w:val="20"/>
              </w:rPr>
              <w:t>、重点行业重点重金属污染物、</w:t>
            </w:r>
            <w:r>
              <w:rPr>
                <w:rFonts w:hint="eastAsia" w:ascii="Times New Roman" w:hAnsi="Times New Roman" w:eastAsia="宋体"/>
                <w:color w:val="auto"/>
                <w:sz w:val="20"/>
              </w:rPr>
              <w:t>持久性有机污染物排放的二类工业项目。禁止在工业功能区（包括小微园区、工业集聚点等）外新建其他二类工业项目。二类工业项目的新建、扩建、改建不得增加控制单元污染物排放总量。新建涉VOCs排放的工业企业全部进入工业功能区，严格执行相关污染物排放量削减替代管理要求。原有各种对生态环境有较大负面影响的生产、开发建设活动应逐步退出。</w:t>
            </w:r>
            <w:r>
              <w:rPr>
                <w:rFonts w:hint="eastAsia" w:ascii="Times New Roman" w:hAnsi="Times New Roman" w:eastAsia="宋体"/>
                <w:color w:val="auto"/>
                <w:sz w:val="20"/>
              </w:rPr>
              <w:br w:type="textWrapping"/>
            </w:r>
            <w:r>
              <w:rPr>
                <w:rFonts w:hint="eastAsia" w:ascii="Times New Roman" w:hAnsi="Times New Roman" w:eastAsia="宋体"/>
                <w:color w:val="auto"/>
                <w:sz w:val="20"/>
              </w:rPr>
              <w:t>2、禁止未经法定许可在河流两岸、干线公路两侧规划控制范围内进行采石、取土、采砂等活动。严格限制矿产资源开发项目，确需开采的矿产资源及必须就地开展矿产加工的新改扩建项目，应以点状开发为主，严格控制区域开发规模。</w:t>
            </w:r>
          </w:p>
          <w:p w14:paraId="3B3683CF">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3、严格执行畜禽养殖禁养区规定。</w:t>
            </w:r>
          </w:p>
        </w:tc>
        <w:tc>
          <w:tcPr>
            <w:tcW w:w="1985" w:type="dxa"/>
            <w:shd w:val="clear" w:color="auto" w:fill="auto"/>
            <w:vAlign w:val="center"/>
          </w:tcPr>
          <w:p w14:paraId="28986A47">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严禁水功能在Ⅱ类及以上河流设置排污口，</w:t>
            </w:r>
            <w:r>
              <w:rPr>
                <w:rFonts w:hint="eastAsia" w:ascii="Times New Roman" w:hAnsi="Times New Roman" w:eastAsia="宋体"/>
                <w:color w:val="auto"/>
                <w:sz w:val="20"/>
                <w:lang w:eastAsia="zh-Hans"/>
              </w:rPr>
              <w:t>管控单元内</w:t>
            </w:r>
            <w:r>
              <w:rPr>
                <w:rFonts w:hint="eastAsia" w:ascii="Times New Roman" w:hAnsi="Times New Roman" w:eastAsia="宋体"/>
                <w:color w:val="auto"/>
                <w:sz w:val="20"/>
              </w:rPr>
              <w:t>工业污染物排放总量不得增加。</w:t>
            </w:r>
          </w:p>
        </w:tc>
        <w:tc>
          <w:tcPr>
            <w:tcW w:w="2268" w:type="dxa"/>
            <w:shd w:val="clear" w:color="auto" w:fill="auto"/>
            <w:vAlign w:val="center"/>
          </w:tcPr>
          <w:p w14:paraId="571E5A45">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1、加强区域内环境风险防控，不得损害生物多样性维持与生境保护、水源涵养与饮用水源保护、营养物质保持等生态服务功能。</w:t>
            </w:r>
            <w:r>
              <w:rPr>
                <w:rFonts w:hint="eastAsia" w:ascii="Times New Roman" w:hAnsi="Times New Roman" w:eastAsia="宋体"/>
                <w:color w:val="auto"/>
                <w:sz w:val="20"/>
              </w:rPr>
              <w:br w:type="textWrapping"/>
            </w:r>
            <w:r>
              <w:rPr>
                <w:rFonts w:hint="eastAsia" w:ascii="Times New Roman" w:hAnsi="Times New Roman" w:eastAsia="宋体"/>
                <w:color w:val="auto"/>
                <w:sz w:val="20"/>
              </w:rPr>
              <w:t>2、在进行各类建设开发活动前，应加强对生物多样性影响的评估，任何开发建设活动不得破坏野生动物的重要栖息地，不得阻隔野生动物的迁徙通道。开展农林业有害生物防控，强化生物多样性保护优先区域和重点生态功能区等重点区域外来物种入侵管控。</w:t>
            </w:r>
            <w:r>
              <w:rPr>
                <w:rFonts w:hint="eastAsia" w:ascii="Times New Roman" w:hAnsi="Times New Roman" w:eastAsia="宋体"/>
                <w:color w:val="auto"/>
                <w:sz w:val="20"/>
              </w:rPr>
              <w:br w:type="textWrapping"/>
            </w:r>
            <w:r>
              <w:rPr>
                <w:rFonts w:hint="eastAsia" w:ascii="Times New Roman" w:hAnsi="Times New Roman" w:eastAsia="宋体"/>
                <w:color w:val="auto"/>
                <w:sz w:val="20"/>
              </w:rPr>
              <w:t>3、完善环境突发事故应急预案，加强环境风险防控体系建设。</w:t>
            </w:r>
          </w:p>
        </w:tc>
        <w:tc>
          <w:tcPr>
            <w:tcW w:w="1559" w:type="dxa"/>
            <w:shd w:val="clear" w:color="auto" w:fill="auto"/>
            <w:vAlign w:val="center"/>
          </w:tcPr>
          <w:p w14:paraId="10BA0315">
            <w:pPr>
              <w:spacing w:line="280" w:lineRule="exact"/>
              <w:rPr>
                <w:rFonts w:ascii="Times New Roman" w:hAnsi="Times New Roman" w:eastAsia="宋体" w:cs="Times New Roman"/>
                <w:color w:val="auto"/>
                <w:sz w:val="20"/>
              </w:rPr>
            </w:pPr>
            <w:r>
              <w:rPr>
                <w:rFonts w:hint="eastAsia" w:ascii="Times New Roman" w:hAnsi="Times New Roman" w:eastAsia="宋体"/>
                <w:color w:val="auto"/>
                <w:sz w:val="20"/>
              </w:rPr>
              <w:t>提升森林公园、湿地等重要生态系统固碳能力，强化固碳增汇措施，科学推进区域碳汇能力稳步提升。</w:t>
            </w:r>
          </w:p>
        </w:tc>
      </w:tr>
      <w:tr w14:paraId="1F76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7EAA71E7">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ZH33048320001</w:t>
            </w:r>
          </w:p>
        </w:tc>
        <w:tc>
          <w:tcPr>
            <w:tcW w:w="1214" w:type="dxa"/>
            <w:vAlign w:val="center"/>
          </w:tcPr>
          <w:p w14:paraId="69912B04">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浙江省嘉兴市桐乡市崇福镇产业集聚重点管控单元</w:t>
            </w:r>
          </w:p>
        </w:tc>
        <w:tc>
          <w:tcPr>
            <w:tcW w:w="709" w:type="dxa"/>
            <w:vAlign w:val="center"/>
          </w:tcPr>
          <w:p w14:paraId="4A6E1C3B">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05CE0D39">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12.0506</w:t>
            </w:r>
          </w:p>
        </w:tc>
        <w:tc>
          <w:tcPr>
            <w:tcW w:w="3543" w:type="dxa"/>
            <w:shd w:val="clear" w:color="auto" w:fill="auto"/>
            <w:vAlign w:val="center"/>
          </w:tcPr>
          <w:p w14:paraId="270CAB53">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1、优化产业布局和结构，实施分区差别化的产业准入条件。</w:t>
            </w:r>
            <w:r>
              <w:rPr>
                <w:rFonts w:hint="eastAsia" w:ascii="Times New Roman" w:hAnsi="Times New Roman" w:eastAsia="宋体"/>
                <w:color w:val="auto"/>
                <w:sz w:val="20"/>
              </w:rPr>
              <w:br w:type="textWrapping"/>
            </w:r>
            <w:r>
              <w:rPr>
                <w:rFonts w:hint="eastAsia" w:ascii="Times New Roman" w:hAnsi="Times New Roman" w:eastAsia="宋体"/>
                <w:color w:val="auto"/>
                <w:sz w:val="20"/>
              </w:rPr>
              <w:t>2、合理规划布局三类工业项目，控制三类工业项目布局范围和总体规模，对不符合桐乡市重点支持产业导向的三类工业项目禁止准入，鼓励对现有三类工业项目进行淘汰和提升。</w:t>
            </w:r>
            <w:r>
              <w:rPr>
                <w:rFonts w:hint="eastAsia" w:ascii="Times New Roman" w:hAnsi="Times New Roman" w:eastAsia="宋体"/>
                <w:color w:val="auto"/>
                <w:sz w:val="20"/>
              </w:rPr>
              <w:br w:type="textWrapping"/>
            </w:r>
            <w:r>
              <w:rPr>
                <w:rFonts w:hint="eastAsia" w:ascii="Times New Roman" w:hAnsi="Times New Roman" w:eastAsia="宋体"/>
                <w:color w:val="auto"/>
                <w:sz w:val="20"/>
              </w:rPr>
              <w:t>3、提高电力、化工、印染、造纸、化纤等重点行业环保准入门槛，控制新增污染物排放量。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4、新建涉VOCs排放的工业企业全部进入工业功能区，严格执行相关污染物排放量削减替代管理要求。</w:t>
            </w:r>
            <w:r>
              <w:rPr>
                <w:rFonts w:hint="eastAsia" w:ascii="Times New Roman" w:hAnsi="Times New Roman" w:eastAsia="宋体"/>
                <w:color w:val="auto"/>
                <w:sz w:val="20"/>
              </w:rPr>
              <w:br w:type="textWrapping"/>
            </w:r>
            <w:r>
              <w:rPr>
                <w:rFonts w:hint="eastAsia" w:ascii="Times New Roman" w:hAnsi="Times New Roman" w:eastAsia="宋体"/>
                <w:color w:val="auto"/>
                <w:sz w:val="20"/>
              </w:rPr>
              <w:t>5、合理规划布局居住、医疗卫生、文化教育等功能区块，与工业区块、有污染和干扰的工业企业之间设置防护绿地、生态绿地等隔离带。</w:t>
            </w:r>
          </w:p>
        </w:tc>
        <w:tc>
          <w:tcPr>
            <w:tcW w:w="1985" w:type="dxa"/>
            <w:shd w:val="clear" w:color="auto" w:fill="auto"/>
            <w:vAlign w:val="center"/>
          </w:tcPr>
          <w:p w14:paraId="7752436C">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1、严格实施污染物总量控制制度，根据区域环境质量改善目标，削减污染物排放总量。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2、新建二类、三类工业项目污染物排放水平要达到同行业国内先进水平，推动企业绿色低碳技术改造。</w:t>
            </w:r>
          </w:p>
          <w:p w14:paraId="6D4E4C02">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3、新建、改建、扩建高耗能、高排放项目须符合生态环境保护法律法规和相关法定规划，强化“两高”行业排污许可证管理，推进减污降碳协同控制。</w:t>
            </w:r>
          </w:p>
          <w:p w14:paraId="2A2A98E8">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4、加快落实污水处理厂建设及提升改造项目，</w:t>
            </w:r>
            <w:r>
              <w:rPr>
                <w:rFonts w:hint="eastAsia" w:ascii="Times New Roman" w:hAnsi="Times New Roman" w:eastAsia="宋体"/>
                <w:color w:val="auto"/>
                <w:sz w:val="20"/>
                <w:lang w:eastAsia="zh-Hans"/>
              </w:rPr>
              <w:t>深</w:t>
            </w:r>
            <w:r>
              <w:rPr>
                <w:rFonts w:ascii="Times New Roman" w:hAnsi="Times New Roman" w:eastAsia="宋体"/>
                <w:color w:val="auto"/>
                <w:sz w:val="20"/>
              </w:rPr>
              <w:t>化工业园区（工业企业）“污水零直排区”建设，</w:t>
            </w:r>
            <w:r>
              <w:rPr>
                <w:rFonts w:hint="eastAsia" w:ascii="Times New Roman" w:hAnsi="Times New Roman" w:eastAsia="宋体"/>
                <w:color w:val="auto"/>
                <w:sz w:val="20"/>
              </w:rPr>
              <w:t>所有企业实现雨污分流。</w:t>
            </w:r>
          </w:p>
          <w:p w14:paraId="38670F6B">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5、加强土壤和地下水污染防治与修复</w:t>
            </w:r>
          </w:p>
          <w:p w14:paraId="078499D4">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6、重点行业按照规范要求开展建设项目碳排放评价。</w:t>
            </w:r>
          </w:p>
        </w:tc>
        <w:tc>
          <w:tcPr>
            <w:tcW w:w="2268" w:type="dxa"/>
            <w:shd w:val="clear" w:color="auto" w:fill="auto"/>
            <w:vAlign w:val="center"/>
          </w:tcPr>
          <w:p w14:paraId="48551B64">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1、定期评估沿江河湖库工业企业、工业集聚区环境和健康风险。</w:t>
            </w:r>
            <w:r>
              <w:rPr>
                <w:rFonts w:hint="eastAsia" w:ascii="Times New Roman" w:hAnsi="Times New Roman" w:eastAsia="宋体"/>
                <w:color w:val="auto"/>
                <w:sz w:val="20"/>
              </w:rPr>
              <w:br w:type="textWrapping"/>
            </w:r>
            <w:r>
              <w:rPr>
                <w:rFonts w:hint="eastAsia" w:ascii="Times New Roman" w:hAnsi="Times New Roman" w:eastAsia="宋体"/>
                <w:color w:val="auto"/>
                <w:sz w:val="20"/>
              </w:rPr>
              <w:t>2、强化工业集聚区企业环境风险防范设施设备建设和正常运行监管，加强重点环境风险管控企业应急预案制定，建立常态化的企业隐患排查整治监管机制，加强风险防控体系建设。</w:t>
            </w:r>
          </w:p>
        </w:tc>
        <w:tc>
          <w:tcPr>
            <w:tcW w:w="1559" w:type="dxa"/>
            <w:shd w:val="clear" w:color="auto" w:fill="auto"/>
            <w:vAlign w:val="center"/>
          </w:tcPr>
          <w:p w14:paraId="5B8DFC76">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推进工业集聚区生态化改造，强化企业清洁生产改造，推进节水型企业、节水型工业园区建设，落实煤炭消费减量替代要求，提高资源能源利用效率。</w:t>
            </w:r>
          </w:p>
        </w:tc>
      </w:tr>
      <w:tr w14:paraId="09A8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20B664C3">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ZH33048320002</w:t>
            </w:r>
          </w:p>
        </w:tc>
        <w:tc>
          <w:tcPr>
            <w:tcW w:w="1214" w:type="dxa"/>
            <w:vAlign w:val="center"/>
          </w:tcPr>
          <w:p w14:paraId="3B305315">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浙江省嘉兴市桐乡市临杭经济区产业集聚重点管控单元</w:t>
            </w:r>
          </w:p>
        </w:tc>
        <w:tc>
          <w:tcPr>
            <w:tcW w:w="709" w:type="dxa"/>
            <w:vAlign w:val="center"/>
          </w:tcPr>
          <w:p w14:paraId="2B0E562E">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43844363">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15.4312</w:t>
            </w:r>
          </w:p>
        </w:tc>
        <w:tc>
          <w:tcPr>
            <w:tcW w:w="3543" w:type="dxa"/>
            <w:shd w:val="clear" w:color="auto" w:fill="auto"/>
            <w:vAlign w:val="center"/>
          </w:tcPr>
          <w:p w14:paraId="12BADDB5">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1、优化产业布局和结构，实施分区差别化的产业准入条件。</w:t>
            </w:r>
            <w:r>
              <w:rPr>
                <w:rFonts w:hint="eastAsia" w:ascii="Times New Roman" w:hAnsi="Times New Roman" w:eastAsia="宋体"/>
                <w:color w:val="auto"/>
                <w:sz w:val="20"/>
              </w:rPr>
              <w:br w:type="textWrapping"/>
            </w:r>
            <w:r>
              <w:rPr>
                <w:rFonts w:hint="eastAsia" w:ascii="Times New Roman" w:hAnsi="Times New Roman" w:eastAsia="宋体"/>
                <w:color w:val="auto"/>
                <w:sz w:val="20"/>
              </w:rPr>
              <w:t>2、合理规划布局三类工业项目，控制三类工业项目布局范围和总体规模，对不符合桐乡市重点支持产业导向的三类工业项目禁止准入，鼓励对现有三类工业项目进行淘汰和提升。</w:t>
            </w:r>
            <w:r>
              <w:rPr>
                <w:rFonts w:hint="eastAsia" w:ascii="Times New Roman" w:hAnsi="Times New Roman" w:eastAsia="宋体"/>
                <w:color w:val="auto"/>
                <w:sz w:val="20"/>
              </w:rPr>
              <w:br w:type="textWrapping"/>
            </w:r>
            <w:r>
              <w:rPr>
                <w:rFonts w:hint="eastAsia" w:ascii="Times New Roman" w:hAnsi="Times New Roman" w:eastAsia="宋体"/>
                <w:color w:val="auto"/>
                <w:sz w:val="20"/>
              </w:rPr>
              <w:t>3、提高电力、化工、印染、造纸、化纤等重点行业环保准入门槛，控制新增污染物排放量。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4、新建涉VOCs排放的工业企业全部进入工业功能区，严格执行相关污染物排放量削减替代管理要求。</w:t>
            </w:r>
            <w:r>
              <w:rPr>
                <w:rFonts w:hint="eastAsia" w:ascii="Times New Roman" w:hAnsi="Times New Roman" w:eastAsia="宋体"/>
                <w:color w:val="auto"/>
                <w:sz w:val="20"/>
              </w:rPr>
              <w:br w:type="textWrapping"/>
            </w:r>
            <w:r>
              <w:rPr>
                <w:rFonts w:hint="eastAsia" w:ascii="Times New Roman" w:hAnsi="Times New Roman" w:eastAsia="宋体"/>
                <w:color w:val="auto"/>
                <w:sz w:val="20"/>
              </w:rPr>
              <w:t>5、合理规划布局居住、医疗卫生、文化教育等功能区块，与工业区块、有污染和干扰的工业企业之间设置防护绿地、生态绿地等隔离带。</w:t>
            </w:r>
          </w:p>
        </w:tc>
        <w:tc>
          <w:tcPr>
            <w:tcW w:w="1985" w:type="dxa"/>
            <w:shd w:val="clear" w:color="auto" w:fill="auto"/>
            <w:vAlign w:val="center"/>
          </w:tcPr>
          <w:p w14:paraId="16622B6A">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1、严格实施污染物总量控制制度，根据区域环境质量改善目标，削减污染物排放总量。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2、新建二类、三类工业项目污染物排放水平要达到同行业国内先进水平，推动企业绿色低碳技术改造。</w:t>
            </w:r>
          </w:p>
          <w:p w14:paraId="05F61BAD">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3、新建、改建、扩建高耗能、高排放项目须符合生态环境保护法律法规和相关法定规划，强化“两高”行业排污许可证管理，推进减污降碳协同控制。</w:t>
            </w:r>
          </w:p>
          <w:p w14:paraId="6D43A211">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4、加快落实污水处理厂建设及提升改造项目，</w:t>
            </w:r>
            <w:r>
              <w:rPr>
                <w:rFonts w:hint="eastAsia" w:ascii="Times New Roman" w:hAnsi="Times New Roman" w:eastAsia="宋体"/>
                <w:color w:val="auto"/>
                <w:sz w:val="20"/>
                <w:lang w:eastAsia="zh-Hans"/>
              </w:rPr>
              <w:t>深</w:t>
            </w:r>
            <w:r>
              <w:rPr>
                <w:rFonts w:ascii="Times New Roman" w:hAnsi="Times New Roman" w:eastAsia="宋体"/>
                <w:color w:val="auto"/>
                <w:sz w:val="20"/>
              </w:rPr>
              <w:t>化工业园区（工业企业）“污水零直排区”建设，</w:t>
            </w:r>
            <w:r>
              <w:rPr>
                <w:rFonts w:hint="eastAsia" w:ascii="Times New Roman" w:hAnsi="Times New Roman" w:eastAsia="宋体"/>
                <w:color w:val="auto"/>
                <w:sz w:val="20"/>
              </w:rPr>
              <w:t>所有企业实现雨污分流。</w:t>
            </w:r>
          </w:p>
          <w:p w14:paraId="195050C1">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5、加强土壤和地下水污染防治与修复</w:t>
            </w:r>
          </w:p>
          <w:p w14:paraId="4530CB46">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6、重点行业按照规范要求开展建设项目碳排放评价。</w:t>
            </w:r>
          </w:p>
        </w:tc>
        <w:tc>
          <w:tcPr>
            <w:tcW w:w="2268" w:type="dxa"/>
            <w:shd w:val="clear" w:color="auto" w:fill="auto"/>
            <w:vAlign w:val="center"/>
          </w:tcPr>
          <w:p w14:paraId="2EC97922">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1、定期评估沿江河湖库工业企业、工业集聚区环境和健康风险。</w:t>
            </w:r>
            <w:r>
              <w:rPr>
                <w:rFonts w:hint="eastAsia" w:ascii="Times New Roman" w:hAnsi="Times New Roman" w:eastAsia="宋体"/>
                <w:color w:val="auto"/>
                <w:sz w:val="20"/>
              </w:rPr>
              <w:br w:type="textWrapping"/>
            </w:r>
            <w:r>
              <w:rPr>
                <w:rFonts w:ascii="Times New Roman" w:hAnsi="Times New Roman" w:eastAsia="宋体"/>
                <w:color w:val="auto"/>
                <w:sz w:val="20"/>
              </w:rPr>
              <w:t>2</w:t>
            </w:r>
            <w:r>
              <w:rPr>
                <w:rFonts w:hint="eastAsia" w:ascii="Times New Roman" w:hAnsi="Times New Roman" w:eastAsia="宋体"/>
                <w:color w:val="auto"/>
                <w:sz w:val="20"/>
              </w:rPr>
              <w:t>、强化工业集聚区企业环境风险防范设施设备建设和正常运行监管，加强重点环境风险管控企业应急预案制定，建立常态化的企业隐患排查整治监管机制，加强风险防控体系建设。</w:t>
            </w:r>
          </w:p>
        </w:tc>
        <w:tc>
          <w:tcPr>
            <w:tcW w:w="1559" w:type="dxa"/>
            <w:shd w:val="clear" w:color="auto" w:fill="auto"/>
            <w:vAlign w:val="center"/>
          </w:tcPr>
          <w:p w14:paraId="5BD1A9E8">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推进工业集聚区生态化改造，强化企业清洁生产改造，推进节水型企业、节水型工业园区建设，落实煤炭消费减量替代要求，提高资源能源利用效率。</w:t>
            </w:r>
          </w:p>
        </w:tc>
      </w:tr>
      <w:tr w14:paraId="2B90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3F965DAA">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ZH33048320003</w:t>
            </w:r>
          </w:p>
        </w:tc>
        <w:tc>
          <w:tcPr>
            <w:tcW w:w="1214" w:type="dxa"/>
            <w:vAlign w:val="center"/>
          </w:tcPr>
          <w:p w14:paraId="4D6EDD34">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浙江省嘉兴市桐乡市濮院镇产业集聚重点管控单元</w:t>
            </w:r>
          </w:p>
        </w:tc>
        <w:tc>
          <w:tcPr>
            <w:tcW w:w="709" w:type="dxa"/>
            <w:vAlign w:val="center"/>
          </w:tcPr>
          <w:p w14:paraId="7024B0E5">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10C19A69">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21.5306</w:t>
            </w:r>
          </w:p>
        </w:tc>
        <w:tc>
          <w:tcPr>
            <w:tcW w:w="3543" w:type="dxa"/>
            <w:shd w:val="clear" w:color="auto" w:fill="auto"/>
            <w:vAlign w:val="center"/>
          </w:tcPr>
          <w:p w14:paraId="4B2275A3">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1、优化产业布局和结构，实施分区差别化的产业准入条件。</w:t>
            </w:r>
            <w:r>
              <w:rPr>
                <w:rFonts w:hint="eastAsia" w:ascii="Times New Roman" w:hAnsi="Times New Roman" w:eastAsia="宋体"/>
                <w:color w:val="auto"/>
                <w:sz w:val="20"/>
              </w:rPr>
              <w:br w:type="textWrapping"/>
            </w:r>
            <w:r>
              <w:rPr>
                <w:rFonts w:hint="eastAsia" w:ascii="Times New Roman" w:hAnsi="Times New Roman" w:eastAsia="宋体"/>
                <w:color w:val="auto"/>
                <w:sz w:val="20"/>
              </w:rPr>
              <w:t>2、合理规划布局三类工业项目，控制三类工业项目布局范围和总体规模，对不符合桐乡市重点支持产业导向的三类工业项目禁止准入，鼓励对现有三类工业项目进行淘汰和提升。</w:t>
            </w:r>
            <w:r>
              <w:rPr>
                <w:rFonts w:hint="eastAsia" w:ascii="Times New Roman" w:hAnsi="Times New Roman" w:eastAsia="宋体"/>
                <w:color w:val="auto"/>
                <w:sz w:val="20"/>
              </w:rPr>
              <w:br w:type="textWrapping"/>
            </w:r>
            <w:r>
              <w:rPr>
                <w:rFonts w:hint="eastAsia" w:ascii="Times New Roman" w:hAnsi="Times New Roman" w:eastAsia="宋体"/>
                <w:color w:val="auto"/>
                <w:sz w:val="20"/>
              </w:rPr>
              <w:t>3、提高电力、化工、印染、造纸、化纤等重点行业环保准入门槛，控制新增污染物排放量。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4、新建涉VOCs排放的工业企业全部进入工业功能区，严格执行相关污染物排放量削减替代管理要求。</w:t>
            </w:r>
            <w:r>
              <w:rPr>
                <w:rFonts w:hint="eastAsia" w:ascii="Times New Roman" w:hAnsi="Times New Roman" w:eastAsia="宋体"/>
                <w:color w:val="auto"/>
                <w:sz w:val="20"/>
              </w:rPr>
              <w:br w:type="textWrapping"/>
            </w:r>
            <w:r>
              <w:rPr>
                <w:rFonts w:hint="eastAsia" w:ascii="Times New Roman" w:hAnsi="Times New Roman" w:eastAsia="宋体"/>
                <w:color w:val="auto"/>
                <w:sz w:val="20"/>
              </w:rPr>
              <w:t>5、</w:t>
            </w:r>
            <w:r>
              <w:rPr>
                <w:rFonts w:ascii="Times New Roman" w:hAnsi="Times New Roman" w:eastAsia="宋体"/>
                <w:color w:val="auto"/>
                <w:sz w:val="20"/>
              </w:rPr>
              <w:t>合理规划布局居住、医疗卫生、文化教育等功能区块，与工业区块、有污染和干扰的工业企业之间设置防护绿地、生态绿地等隔离带。</w:t>
            </w:r>
          </w:p>
        </w:tc>
        <w:tc>
          <w:tcPr>
            <w:tcW w:w="1985" w:type="dxa"/>
            <w:shd w:val="clear" w:color="auto" w:fill="auto"/>
            <w:vAlign w:val="center"/>
          </w:tcPr>
          <w:p w14:paraId="437ABA6E">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1、严格实施污染物总量控制制度，根据区域环境质量改善目标，削减污染物排放总量。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2、新建二类、三类工业项目污染物排放水平要达到同行业国内先进水平，推动企业绿色低碳技术改造。</w:t>
            </w:r>
          </w:p>
          <w:p w14:paraId="10708454">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3、新建、改建、扩建高耗能、高排放项目须符合生态环境保护法律法规和相关法定规划，强化“两高”行业排污许可证管理，推进减污降碳协同控制。</w:t>
            </w:r>
          </w:p>
          <w:p w14:paraId="43137516">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4、加快落实污水处理厂建设及提升改造项目，</w:t>
            </w:r>
            <w:r>
              <w:rPr>
                <w:rFonts w:hint="eastAsia" w:ascii="Times New Roman" w:hAnsi="Times New Roman" w:eastAsia="宋体"/>
                <w:color w:val="auto"/>
                <w:sz w:val="20"/>
                <w:lang w:eastAsia="zh-Hans"/>
              </w:rPr>
              <w:t>深</w:t>
            </w:r>
            <w:r>
              <w:rPr>
                <w:rFonts w:ascii="Times New Roman" w:hAnsi="Times New Roman" w:eastAsia="宋体"/>
                <w:color w:val="auto"/>
                <w:sz w:val="20"/>
              </w:rPr>
              <w:t>化工业园区（工业企业）“污水零直排区”建设，</w:t>
            </w:r>
            <w:r>
              <w:rPr>
                <w:rFonts w:hint="eastAsia" w:ascii="Times New Roman" w:hAnsi="Times New Roman" w:eastAsia="宋体"/>
                <w:color w:val="auto"/>
                <w:sz w:val="20"/>
              </w:rPr>
              <w:t>所有企业实现雨污分流。</w:t>
            </w:r>
          </w:p>
          <w:p w14:paraId="5480CA12">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5、加强土壤和地下水污染防治与修复</w:t>
            </w:r>
          </w:p>
          <w:p w14:paraId="4CF24369">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6、重点行业按照规范要求开展建设项目碳排放评价。</w:t>
            </w:r>
          </w:p>
        </w:tc>
        <w:tc>
          <w:tcPr>
            <w:tcW w:w="2268" w:type="dxa"/>
            <w:shd w:val="clear" w:color="auto" w:fill="auto"/>
            <w:vAlign w:val="center"/>
          </w:tcPr>
          <w:p w14:paraId="2DD43D3A">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1、定期评估沿江河湖库工业企业、工业集聚区环境和健康风险。</w:t>
            </w:r>
          </w:p>
          <w:p w14:paraId="39F4954A">
            <w:pPr>
              <w:spacing w:line="280" w:lineRule="exact"/>
              <w:jc w:val="left"/>
              <w:rPr>
                <w:rFonts w:ascii="Times New Roman" w:hAnsi="Times New Roman" w:eastAsia="宋体" w:cs="Times New Roman"/>
                <w:color w:val="auto"/>
                <w:sz w:val="20"/>
              </w:rPr>
            </w:pPr>
            <w:r>
              <w:rPr>
                <w:rFonts w:ascii="Times New Roman" w:hAnsi="Times New Roman" w:eastAsia="宋体"/>
                <w:color w:val="auto"/>
                <w:sz w:val="20"/>
              </w:rPr>
              <w:t>2.</w:t>
            </w:r>
            <w:r>
              <w:rPr>
                <w:rFonts w:hint="eastAsia" w:ascii="Times New Roman" w:hAnsi="Times New Roman" w:eastAsia="宋体"/>
                <w:color w:val="auto"/>
                <w:sz w:val="20"/>
              </w:rPr>
              <w:t>强化工业集聚区企业环境风险防范设施设备建设和正常运行监管，加强重点环境风险管控企业应急预案制定，建立常态化的企业隐患排查整治监管机制，加强风险防控体系建设。</w:t>
            </w:r>
          </w:p>
        </w:tc>
        <w:tc>
          <w:tcPr>
            <w:tcW w:w="1559" w:type="dxa"/>
            <w:shd w:val="clear" w:color="auto" w:fill="auto"/>
            <w:vAlign w:val="center"/>
          </w:tcPr>
          <w:p w14:paraId="122A7FAD">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推进工业集聚区生态化改造，强化企业清洁生产改造，推进节水型企业、节水型工业园区建设，落实煤炭消费减量替代要求，提高资源能源利用效率。</w:t>
            </w:r>
          </w:p>
        </w:tc>
      </w:tr>
      <w:tr w14:paraId="2011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005F7DA2">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ZH33048320004</w:t>
            </w:r>
          </w:p>
        </w:tc>
        <w:tc>
          <w:tcPr>
            <w:tcW w:w="1214" w:type="dxa"/>
            <w:vAlign w:val="center"/>
          </w:tcPr>
          <w:p w14:paraId="0A15B48B">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浙江省嘉兴市桐乡市高桥街道产业集聚重点管控单元</w:t>
            </w:r>
          </w:p>
        </w:tc>
        <w:tc>
          <w:tcPr>
            <w:tcW w:w="709" w:type="dxa"/>
            <w:vAlign w:val="center"/>
          </w:tcPr>
          <w:p w14:paraId="3080F43F">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7A86B9A2">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4.0152</w:t>
            </w:r>
          </w:p>
        </w:tc>
        <w:tc>
          <w:tcPr>
            <w:tcW w:w="3543" w:type="dxa"/>
            <w:shd w:val="clear" w:color="auto" w:fill="auto"/>
            <w:vAlign w:val="center"/>
          </w:tcPr>
          <w:p w14:paraId="793A4EBF">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1、优化产业布局和结构，实施分区差别化的产业准入条件。</w:t>
            </w:r>
            <w:r>
              <w:rPr>
                <w:rFonts w:hint="eastAsia" w:ascii="Times New Roman" w:hAnsi="Times New Roman" w:eastAsia="宋体"/>
                <w:color w:val="auto"/>
                <w:sz w:val="20"/>
              </w:rPr>
              <w:br w:type="textWrapping"/>
            </w:r>
            <w:r>
              <w:rPr>
                <w:rFonts w:hint="eastAsia" w:ascii="Times New Roman" w:hAnsi="Times New Roman" w:eastAsia="宋体"/>
                <w:color w:val="auto"/>
                <w:sz w:val="20"/>
              </w:rPr>
              <w:t>2、合理规划布局三类工业项目，控制三类工业项目布局范围和总体规模，对不符合桐乡市重点支持产业导向的三类工业项目禁止准入，鼓励对现有三类工业项目进行淘汰和提升。</w:t>
            </w:r>
            <w:r>
              <w:rPr>
                <w:rFonts w:hint="eastAsia" w:ascii="Times New Roman" w:hAnsi="Times New Roman" w:eastAsia="宋体"/>
                <w:color w:val="auto"/>
                <w:sz w:val="20"/>
              </w:rPr>
              <w:br w:type="textWrapping"/>
            </w:r>
            <w:r>
              <w:rPr>
                <w:rFonts w:hint="eastAsia" w:ascii="Times New Roman" w:hAnsi="Times New Roman" w:eastAsia="宋体"/>
                <w:color w:val="auto"/>
                <w:sz w:val="20"/>
              </w:rPr>
              <w:t>3、提高电力、化工、印染、造纸、化纤等重点行业环保准入门槛，控制新增污染物排放量。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4、新建涉VOCs排放的工业企业全部进入工业功能区，严格执行相关污染物排放量削减替代管理要求。</w:t>
            </w:r>
            <w:r>
              <w:rPr>
                <w:rFonts w:hint="eastAsia" w:ascii="Times New Roman" w:hAnsi="Times New Roman" w:eastAsia="宋体"/>
                <w:color w:val="auto"/>
                <w:sz w:val="20"/>
              </w:rPr>
              <w:br w:type="textWrapping"/>
            </w:r>
            <w:r>
              <w:rPr>
                <w:rFonts w:hint="eastAsia" w:ascii="Times New Roman" w:hAnsi="Times New Roman" w:eastAsia="宋体"/>
                <w:color w:val="auto"/>
                <w:sz w:val="20"/>
              </w:rPr>
              <w:t>5、</w:t>
            </w:r>
            <w:r>
              <w:rPr>
                <w:rFonts w:ascii="Times New Roman" w:hAnsi="Times New Roman" w:eastAsia="宋体"/>
                <w:color w:val="auto"/>
                <w:sz w:val="20"/>
              </w:rPr>
              <w:t>合理规划布局居住、医疗卫生、文化教育等功能区块，与工业区块、有污染和干扰的工业企业之间设置防护绿地、生态绿地等隔离带。</w:t>
            </w:r>
          </w:p>
        </w:tc>
        <w:tc>
          <w:tcPr>
            <w:tcW w:w="1985" w:type="dxa"/>
            <w:shd w:val="clear" w:color="auto" w:fill="auto"/>
            <w:vAlign w:val="center"/>
          </w:tcPr>
          <w:p w14:paraId="15AE6267">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1、严格实施污染物总量控制制度，根据区域环境质量改善目标，削减污染物排放总量。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2、新建二类、三类工业项目污染物排放水平要达到同行业国内先进水平，推动企业绿色低碳技术改造。</w:t>
            </w:r>
          </w:p>
          <w:p w14:paraId="687F8768">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3、新建、改建、扩建高耗能、高排放项目须符合生态环境保护法律法规和相关法定规划，强化“两高”行业排污许可证管理，推进减污降碳协同控制。</w:t>
            </w:r>
          </w:p>
          <w:p w14:paraId="040B8875">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4、加快落实污水处理厂建设及提升改造项目，</w:t>
            </w:r>
            <w:r>
              <w:rPr>
                <w:rFonts w:hint="eastAsia" w:ascii="Times New Roman" w:hAnsi="Times New Roman" w:eastAsia="宋体"/>
                <w:color w:val="auto"/>
                <w:sz w:val="20"/>
                <w:lang w:eastAsia="zh-Hans"/>
              </w:rPr>
              <w:t>深</w:t>
            </w:r>
            <w:r>
              <w:rPr>
                <w:rFonts w:ascii="Times New Roman" w:hAnsi="Times New Roman" w:eastAsia="宋体"/>
                <w:color w:val="auto"/>
                <w:sz w:val="20"/>
              </w:rPr>
              <w:t>化工业园区（工业企业）“污水零直排区”建设，</w:t>
            </w:r>
            <w:r>
              <w:rPr>
                <w:rFonts w:hint="eastAsia" w:ascii="Times New Roman" w:hAnsi="Times New Roman" w:eastAsia="宋体"/>
                <w:color w:val="auto"/>
                <w:sz w:val="20"/>
              </w:rPr>
              <w:t>所有企业实现雨污分流。</w:t>
            </w:r>
          </w:p>
          <w:p w14:paraId="6DBAF00A">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5、加强土壤和地下水污染防治与修复</w:t>
            </w:r>
          </w:p>
          <w:p w14:paraId="7AF90B12">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6、重点行业按照规范要求开展建设项目碳排放评价。</w:t>
            </w:r>
          </w:p>
        </w:tc>
        <w:tc>
          <w:tcPr>
            <w:tcW w:w="2268" w:type="dxa"/>
            <w:shd w:val="clear" w:color="auto" w:fill="auto"/>
            <w:vAlign w:val="center"/>
          </w:tcPr>
          <w:p w14:paraId="064B1587">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1、定期评估沿江河湖库工业企业、工业集聚区环境和健康风险。</w:t>
            </w:r>
            <w:r>
              <w:rPr>
                <w:rFonts w:hint="eastAsia" w:ascii="Times New Roman" w:hAnsi="Times New Roman" w:eastAsia="宋体"/>
                <w:color w:val="auto"/>
                <w:sz w:val="20"/>
              </w:rPr>
              <w:br w:type="textWrapping"/>
            </w:r>
            <w:r>
              <w:rPr>
                <w:rFonts w:ascii="Times New Roman" w:hAnsi="Times New Roman" w:eastAsia="宋体"/>
                <w:color w:val="auto"/>
                <w:sz w:val="20"/>
              </w:rPr>
              <w:t>2</w:t>
            </w:r>
            <w:r>
              <w:rPr>
                <w:rFonts w:hint="eastAsia" w:ascii="Times New Roman" w:hAnsi="Times New Roman" w:eastAsia="宋体"/>
                <w:color w:val="auto"/>
                <w:sz w:val="20"/>
              </w:rPr>
              <w:t>、强化工业集聚区企业环境风险防范设施设备建设和正常运行监管，加强重点环境风险管控企业应急预案制定，建立常态化的企业隐患排查整治监管机制，加强风险防控体系建设。</w:t>
            </w:r>
          </w:p>
        </w:tc>
        <w:tc>
          <w:tcPr>
            <w:tcW w:w="1559" w:type="dxa"/>
            <w:shd w:val="clear" w:color="auto" w:fill="auto"/>
            <w:vAlign w:val="center"/>
          </w:tcPr>
          <w:p w14:paraId="40D99281">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推进工业集聚区生态化改造，强化企业清洁生产改造，推进节水型企业、节水型工业园区建设，落实煤炭消费减量替代要求，提高资源能源利用效率。</w:t>
            </w:r>
          </w:p>
        </w:tc>
      </w:tr>
      <w:tr w14:paraId="7190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0A1388D2">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ZH33048320005</w:t>
            </w:r>
          </w:p>
        </w:tc>
        <w:tc>
          <w:tcPr>
            <w:tcW w:w="1214" w:type="dxa"/>
            <w:vAlign w:val="center"/>
          </w:tcPr>
          <w:p w14:paraId="3EF95668">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浙江省嘉兴市桐乡市桐乡经济开发区产业集聚重点管控单元</w:t>
            </w:r>
          </w:p>
        </w:tc>
        <w:tc>
          <w:tcPr>
            <w:tcW w:w="709" w:type="dxa"/>
            <w:vAlign w:val="center"/>
          </w:tcPr>
          <w:p w14:paraId="73B70744">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6909DF51">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47.7341</w:t>
            </w:r>
          </w:p>
        </w:tc>
        <w:tc>
          <w:tcPr>
            <w:tcW w:w="3543" w:type="dxa"/>
            <w:shd w:val="clear" w:color="auto" w:fill="auto"/>
            <w:vAlign w:val="center"/>
          </w:tcPr>
          <w:p w14:paraId="2CA20D7F">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1、优化产业布局和结构，实施分区差别化的产业准入条件。</w:t>
            </w:r>
            <w:r>
              <w:rPr>
                <w:rFonts w:hint="eastAsia" w:ascii="Times New Roman" w:hAnsi="Times New Roman" w:eastAsia="宋体"/>
                <w:color w:val="auto"/>
                <w:sz w:val="20"/>
              </w:rPr>
              <w:br w:type="textWrapping"/>
            </w:r>
            <w:r>
              <w:rPr>
                <w:rFonts w:hint="eastAsia" w:ascii="Times New Roman" w:hAnsi="Times New Roman" w:eastAsia="宋体"/>
                <w:color w:val="auto"/>
                <w:sz w:val="20"/>
              </w:rPr>
              <w:t>2、合理规划布局三类工业项目，控制三类工业项目布局范围和总体规模，对不符合桐乡市重点支持产业导向的三类工业项目禁止准入，鼓励对现有三类工业项目进行淘汰和提升。</w:t>
            </w:r>
            <w:r>
              <w:rPr>
                <w:rFonts w:hint="eastAsia" w:ascii="Times New Roman" w:hAnsi="Times New Roman" w:eastAsia="宋体"/>
                <w:color w:val="auto"/>
                <w:sz w:val="20"/>
              </w:rPr>
              <w:br w:type="textWrapping"/>
            </w:r>
            <w:r>
              <w:rPr>
                <w:rFonts w:hint="eastAsia" w:ascii="Times New Roman" w:hAnsi="Times New Roman" w:eastAsia="宋体"/>
                <w:color w:val="auto"/>
                <w:sz w:val="20"/>
              </w:rPr>
              <w:t>3、提高电力、化工、印染、造纸、化纤等重点行业环保准入门槛，控制新增污染物排放量。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4、新建涉VOCs排放的工业企业全部进入工业功能区，严格执行相关污染物排放量削减替代管理要求。</w:t>
            </w:r>
            <w:r>
              <w:rPr>
                <w:rFonts w:hint="eastAsia" w:ascii="Times New Roman" w:hAnsi="Times New Roman" w:eastAsia="宋体"/>
                <w:color w:val="auto"/>
                <w:sz w:val="20"/>
              </w:rPr>
              <w:br w:type="textWrapping"/>
            </w:r>
            <w:r>
              <w:rPr>
                <w:rFonts w:hint="eastAsia" w:ascii="Times New Roman" w:hAnsi="Times New Roman" w:eastAsia="宋体"/>
                <w:color w:val="auto"/>
                <w:sz w:val="20"/>
              </w:rPr>
              <w:t>5、</w:t>
            </w:r>
            <w:r>
              <w:rPr>
                <w:rFonts w:ascii="Times New Roman" w:hAnsi="Times New Roman" w:eastAsia="宋体"/>
                <w:color w:val="auto"/>
                <w:sz w:val="20"/>
              </w:rPr>
              <w:t>合理规划布局居住、医疗卫生、文化教育等功能区块，与工业区块、有污染和干扰的工业企业之间设置防护绿地、生态绿地等隔离带。</w:t>
            </w:r>
          </w:p>
        </w:tc>
        <w:tc>
          <w:tcPr>
            <w:tcW w:w="1985" w:type="dxa"/>
            <w:shd w:val="clear" w:color="auto" w:fill="auto"/>
            <w:vAlign w:val="center"/>
          </w:tcPr>
          <w:p w14:paraId="09C038D1">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1、严格实施污染物总量控制制度，根据区域环境质量改善目标，削减污染物排放总量。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2、新建二类、三类工业项目污染物排放水平要达到同行业国内先进水平，推动企业绿色低碳技术改造。</w:t>
            </w:r>
          </w:p>
          <w:p w14:paraId="43A6166E">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3、新建、改建、扩建高耗能、高排放项目须符合生态环境保护法律法规和相关法定规划，强化“两高”行业排污许可证管理，推进减污降碳协同控制。</w:t>
            </w:r>
          </w:p>
          <w:p w14:paraId="67896DBD">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4、加快落实污水处理厂建设及提升改造项目，</w:t>
            </w:r>
            <w:r>
              <w:rPr>
                <w:rFonts w:hint="eastAsia" w:ascii="Times New Roman" w:hAnsi="Times New Roman" w:eastAsia="宋体"/>
                <w:color w:val="auto"/>
                <w:sz w:val="20"/>
                <w:lang w:eastAsia="zh-Hans"/>
              </w:rPr>
              <w:t>深</w:t>
            </w:r>
            <w:r>
              <w:rPr>
                <w:rFonts w:ascii="Times New Roman" w:hAnsi="Times New Roman" w:eastAsia="宋体"/>
                <w:color w:val="auto"/>
                <w:sz w:val="20"/>
              </w:rPr>
              <w:t>化工业园区（工业企业）“污水零直排区”建设，</w:t>
            </w:r>
            <w:r>
              <w:rPr>
                <w:rFonts w:hint="eastAsia" w:ascii="Times New Roman" w:hAnsi="Times New Roman" w:eastAsia="宋体"/>
                <w:color w:val="auto"/>
                <w:sz w:val="20"/>
              </w:rPr>
              <w:t>所有企业实现雨污分流。</w:t>
            </w:r>
          </w:p>
          <w:p w14:paraId="7914DB62">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5、加强土壤和地下水污染防治与修复</w:t>
            </w:r>
          </w:p>
          <w:p w14:paraId="729AD24C">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6、重点行业按照规范要求开展建设项目碳排放评价。</w:t>
            </w:r>
          </w:p>
        </w:tc>
        <w:tc>
          <w:tcPr>
            <w:tcW w:w="2268" w:type="dxa"/>
            <w:shd w:val="clear" w:color="auto" w:fill="auto"/>
            <w:vAlign w:val="center"/>
          </w:tcPr>
          <w:p w14:paraId="031A7367">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1、定期评估沿江河湖库工业企业、工业集聚区环境和健康风险。</w:t>
            </w:r>
            <w:r>
              <w:rPr>
                <w:rFonts w:hint="eastAsia" w:ascii="Times New Roman" w:hAnsi="Times New Roman" w:eastAsia="宋体"/>
                <w:color w:val="auto"/>
                <w:sz w:val="20"/>
              </w:rPr>
              <w:br w:type="textWrapping"/>
            </w:r>
            <w:r>
              <w:rPr>
                <w:rFonts w:ascii="Times New Roman" w:hAnsi="Times New Roman" w:eastAsia="宋体"/>
                <w:color w:val="auto"/>
                <w:sz w:val="20"/>
              </w:rPr>
              <w:t>2</w:t>
            </w:r>
            <w:r>
              <w:rPr>
                <w:rFonts w:hint="eastAsia" w:ascii="Times New Roman" w:hAnsi="Times New Roman" w:eastAsia="宋体"/>
                <w:color w:val="auto"/>
                <w:sz w:val="20"/>
              </w:rPr>
              <w:t>、强化工业集聚区企业环境风险防范设施设备建设和正常运行监管，加强重点环境风险管控企业应急预案制定，建立常态化的企业隐患排查整治监管机制，加强风险防控体系建设。</w:t>
            </w:r>
          </w:p>
        </w:tc>
        <w:tc>
          <w:tcPr>
            <w:tcW w:w="1559" w:type="dxa"/>
            <w:shd w:val="clear" w:color="auto" w:fill="auto"/>
            <w:vAlign w:val="center"/>
          </w:tcPr>
          <w:p w14:paraId="3DF1F62C">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推进工业集聚区生态化改造，强化企业清洁生产改造，推进节水型企业、节水型工业园区建设，落实煤炭消费减量替代要求，提高资源能源利用效率。</w:t>
            </w:r>
          </w:p>
        </w:tc>
      </w:tr>
      <w:tr w14:paraId="4035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3407DE51">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ZH33048320006</w:t>
            </w:r>
          </w:p>
        </w:tc>
        <w:tc>
          <w:tcPr>
            <w:tcW w:w="1214" w:type="dxa"/>
            <w:vAlign w:val="center"/>
          </w:tcPr>
          <w:p w14:paraId="5DE026A2">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浙江省嘉兴市桐乡市互联网产业集聚重点管控单元</w:t>
            </w:r>
          </w:p>
        </w:tc>
        <w:tc>
          <w:tcPr>
            <w:tcW w:w="709" w:type="dxa"/>
            <w:vAlign w:val="center"/>
          </w:tcPr>
          <w:p w14:paraId="263BC93D">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10DDEDA6">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14.2506</w:t>
            </w:r>
          </w:p>
        </w:tc>
        <w:tc>
          <w:tcPr>
            <w:tcW w:w="3543" w:type="dxa"/>
            <w:shd w:val="clear" w:color="auto" w:fill="auto"/>
            <w:vAlign w:val="center"/>
          </w:tcPr>
          <w:p w14:paraId="4276F3AC">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1、优化产业布局和结构，实施分区差别化的产业准入条件。</w:t>
            </w:r>
            <w:r>
              <w:rPr>
                <w:rFonts w:hint="eastAsia" w:ascii="Times New Roman" w:hAnsi="Times New Roman" w:eastAsia="宋体"/>
                <w:color w:val="auto"/>
                <w:sz w:val="20"/>
              </w:rPr>
              <w:br w:type="textWrapping"/>
            </w:r>
            <w:r>
              <w:rPr>
                <w:rFonts w:hint="eastAsia" w:ascii="Times New Roman" w:hAnsi="Times New Roman" w:eastAsia="宋体"/>
                <w:color w:val="auto"/>
                <w:sz w:val="20"/>
              </w:rPr>
              <w:t>2、合理规划布局三类工业项目，控制三类工业项目布局范围和总体规模，对不符合桐乡市重点支持产业导向的三类工业项目禁止准入，鼓励对现有三类工业项目进行淘汰和提升。</w:t>
            </w:r>
            <w:r>
              <w:rPr>
                <w:rFonts w:hint="eastAsia" w:ascii="Times New Roman" w:hAnsi="Times New Roman" w:eastAsia="宋体"/>
                <w:color w:val="auto"/>
                <w:sz w:val="20"/>
              </w:rPr>
              <w:br w:type="textWrapping"/>
            </w:r>
            <w:r>
              <w:rPr>
                <w:rFonts w:hint="eastAsia" w:ascii="Times New Roman" w:hAnsi="Times New Roman" w:eastAsia="宋体"/>
                <w:color w:val="auto"/>
                <w:sz w:val="20"/>
              </w:rPr>
              <w:t>3、提高电力、化工、印染、造纸、化纤等重点行业环保准入门槛，控制新增污染物排放量。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4、新建涉VOCs排放的工业企业全部进入工业功能区，严格执行相关污染物排放量削减替代管理要求。</w:t>
            </w:r>
            <w:r>
              <w:rPr>
                <w:rFonts w:hint="eastAsia" w:ascii="Times New Roman" w:hAnsi="Times New Roman" w:eastAsia="宋体"/>
                <w:color w:val="auto"/>
                <w:sz w:val="20"/>
              </w:rPr>
              <w:br w:type="textWrapping"/>
            </w:r>
            <w:r>
              <w:rPr>
                <w:rFonts w:hint="eastAsia" w:ascii="Times New Roman" w:hAnsi="Times New Roman" w:eastAsia="宋体"/>
                <w:color w:val="auto"/>
                <w:sz w:val="20"/>
              </w:rPr>
              <w:t>5、</w:t>
            </w:r>
            <w:r>
              <w:rPr>
                <w:rFonts w:ascii="Times New Roman" w:hAnsi="Times New Roman" w:eastAsia="宋体"/>
                <w:color w:val="auto"/>
                <w:sz w:val="20"/>
              </w:rPr>
              <w:t>合理规划布局居住、医疗卫生、文化教育等功能区块，与工业区块、有污染和干扰的工业企业之间设置防护绿地、生态绿地等隔离带。</w:t>
            </w:r>
          </w:p>
        </w:tc>
        <w:tc>
          <w:tcPr>
            <w:tcW w:w="1985" w:type="dxa"/>
            <w:shd w:val="clear" w:color="auto" w:fill="auto"/>
            <w:vAlign w:val="center"/>
          </w:tcPr>
          <w:p w14:paraId="6AC1263A">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1、严格实施污染物总量控制制度，根据区域环境质量改善目标，削减污染物排放总量。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2、新建二类、三类工业项目污染物排放水平要达到同行业国内先进水平，推动企业绿色低碳技术改造。</w:t>
            </w:r>
          </w:p>
          <w:p w14:paraId="06017BE7">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3、新建、改建、扩建高耗能、高排放项目须符合生态环境保护法律法规和相关法定规划，强化“两高”行业排污许可证管理，推进减污降碳协同控制。</w:t>
            </w:r>
          </w:p>
          <w:p w14:paraId="254E410E">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4、加快落实污水处理厂建设及提升改造项目，</w:t>
            </w:r>
            <w:r>
              <w:rPr>
                <w:rFonts w:hint="eastAsia" w:ascii="Times New Roman" w:hAnsi="Times New Roman" w:eastAsia="宋体"/>
                <w:color w:val="auto"/>
                <w:sz w:val="20"/>
                <w:lang w:eastAsia="zh-Hans"/>
              </w:rPr>
              <w:t>深</w:t>
            </w:r>
            <w:r>
              <w:rPr>
                <w:rFonts w:ascii="Times New Roman" w:hAnsi="Times New Roman" w:eastAsia="宋体"/>
                <w:color w:val="auto"/>
                <w:sz w:val="20"/>
              </w:rPr>
              <w:t>化工业园区（工业企业）“污水零直排区”建设，</w:t>
            </w:r>
            <w:r>
              <w:rPr>
                <w:rFonts w:hint="eastAsia" w:ascii="Times New Roman" w:hAnsi="Times New Roman" w:eastAsia="宋体"/>
                <w:color w:val="auto"/>
                <w:sz w:val="20"/>
              </w:rPr>
              <w:t>所有企业实现雨污分流。</w:t>
            </w:r>
          </w:p>
          <w:p w14:paraId="3ACC26FF">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5、加强土壤和地下水污染防治与修复</w:t>
            </w:r>
          </w:p>
          <w:p w14:paraId="772FD123">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6、重点行业按照规范要求开展建设项目碳排放评价。</w:t>
            </w:r>
          </w:p>
        </w:tc>
        <w:tc>
          <w:tcPr>
            <w:tcW w:w="2268" w:type="dxa"/>
            <w:shd w:val="clear" w:color="auto" w:fill="auto"/>
            <w:vAlign w:val="center"/>
          </w:tcPr>
          <w:p w14:paraId="5EA8922C">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1、定期评估沿江河湖库工业企业、工业集聚区环境和健康风险。</w:t>
            </w:r>
            <w:r>
              <w:rPr>
                <w:rFonts w:hint="eastAsia" w:ascii="Times New Roman" w:hAnsi="Times New Roman" w:eastAsia="宋体"/>
                <w:color w:val="auto"/>
                <w:sz w:val="20"/>
              </w:rPr>
              <w:br w:type="textWrapping"/>
            </w:r>
            <w:r>
              <w:rPr>
                <w:rFonts w:ascii="Times New Roman" w:hAnsi="Times New Roman" w:eastAsia="宋体"/>
                <w:color w:val="auto"/>
                <w:sz w:val="20"/>
              </w:rPr>
              <w:t>2</w:t>
            </w:r>
            <w:r>
              <w:rPr>
                <w:rFonts w:hint="eastAsia" w:ascii="Times New Roman" w:hAnsi="Times New Roman" w:eastAsia="宋体"/>
                <w:color w:val="auto"/>
                <w:sz w:val="20"/>
              </w:rPr>
              <w:t>、强化工业集聚区企业环境风险防范设施设备建设和正常运行监管，加强重点环境风险管控企业应急预案制定，建立常态化的企业隐患排查整治监管机制，加强风险防控体系建设。</w:t>
            </w:r>
          </w:p>
        </w:tc>
        <w:tc>
          <w:tcPr>
            <w:tcW w:w="1559" w:type="dxa"/>
            <w:shd w:val="clear" w:color="auto" w:fill="auto"/>
            <w:vAlign w:val="center"/>
          </w:tcPr>
          <w:p w14:paraId="5B2AD3F5">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推进工业集聚区生态化改造，强化企业清洁生产改造，推进节水型企业、节水型工业园区建设，落实煤炭消费减量替代要求，提高资源能源利用效率。</w:t>
            </w:r>
          </w:p>
        </w:tc>
      </w:tr>
      <w:tr w14:paraId="329A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76B599F7">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ZH33048320007</w:t>
            </w:r>
          </w:p>
        </w:tc>
        <w:tc>
          <w:tcPr>
            <w:tcW w:w="1214" w:type="dxa"/>
            <w:vAlign w:val="center"/>
          </w:tcPr>
          <w:p w14:paraId="4A0506C7">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浙江省嘉兴市桐乡市屠甸镇产业集聚重点管控单元</w:t>
            </w:r>
          </w:p>
        </w:tc>
        <w:tc>
          <w:tcPr>
            <w:tcW w:w="709" w:type="dxa"/>
            <w:vAlign w:val="center"/>
          </w:tcPr>
          <w:p w14:paraId="5092A82E">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7D2D8030">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3.1396</w:t>
            </w:r>
          </w:p>
        </w:tc>
        <w:tc>
          <w:tcPr>
            <w:tcW w:w="3543" w:type="dxa"/>
            <w:shd w:val="clear" w:color="auto" w:fill="auto"/>
            <w:vAlign w:val="center"/>
          </w:tcPr>
          <w:p w14:paraId="1287F94E">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1、优化产业布局和结构，实施分区差别化的产业准入条件。</w:t>
            </w:r>
            <w:r>
              <w:rPr>
                <w:rFonts w:hint="eastAsia" w:ascii="Times New Roman" w:hAnsi="Times New Roman" w:eastAsia="宋体"/>
                <w:color w:val="auto"/>
                <w:sz w:val="20"/>
              </w:rPr>
              <w:br w:type="textWrapping"/>
            </w:r>
            <w:r>
              <w:rPr>
                <w:rFonts w:hint="eastAsia" w:ascii="Times New Roman" w:hAnsi="Times New Roman" w:eastAsia="宋体"/>
                <w:color w:val="auto"/>
                <w:sz w:val="20"/>
              </w:rPr>
              <w:t>2、合理规划布局三类工业项目，控制三类工业项目布局范围和总体规模，对不符合桐乡市重点支持产业导向的三类工业项目禁止准入，鼓励对现有三类工业项目进行淘汰和提升。</w:t>
            </w:r>
            <w:r>
              <w:rPr>
                <w:rFonts w:hint="eastAsia" w:ascii="Times New Roman" w:hAnsi="Times New Roman" w:eastAsia="宋体"/>
                <w:color w:val="auto"/>
                <w:sz w:val="20"/>
              </w:rPr>
              <w:br w:type="textWrapping"/>
            </w:r>
            <w:r>
              <w:rPr>
                <w:rFonts w:hint="eastAsia" w:ascii="Times New Roman" w:hAnsi="Times New Roman" w:eastAsia="宋体"/>
                <w:color w:val="auto"/>
                <w:sz w:val="20"/>
              </w:rPr>
              <w:t>3、提高电力、化工、印染、造纸、化纤等重点行业环保准入门槛，控制新增污染物排放量。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4、新建涉VOCs排放的工业企业全部进入工业功能区，严格执行相关污染物排放量削减替代管理要求。</w:t>
            </w:r>
            <w:r>
              <w:rPr>
                <w:rFonts w:hint="eastAsia" w:ascii="Times New Roman" w:hAnsi="Times New Roman" w:eastAsia="宋体"/>
                <w:color w:val="auto"/>
                <w:sz w:val="20"/>
              </w:rPr>
              <w:br w:type="textWrapping"/>
            </w:r>
            <w:r>
              <w:rPr>
                <w:rFonts w:hint="eastAsia" w:ascii="Times New Roman" w:hAnsi="Times New Roman" w:eastAsia="宋体"/>
                <w:color w:val="auto"/>
                <w:sz w:val="20"/>
              </w:rPr>
              <w:t>5、</w:t>
            </w:r>
            <w:r>
              <w:rPr>
                <w:rFonts w:ascii="Times New Roman" w:hAnsi="Times New Roman" w:eastAsia="宋体"/>
                <w:color w:val="auto"/>
                <w:sz w:val="20"/>
              </w:rPr>
              <w:t>合理规划布局居住、医疗卫生、文化教育等功能区块，与工业区块、有污染和干扰的工业企业之间设置防护绿地、生态绿地等隔离带。</w:t>
            </w:r>
          </w:p>
        </w:tc>
        <w:tc>
          <w:tcPr>
            <w:tcW w:w="1985" w:type="dxa"/>
            <w:shd w:val="clear" w:color="auto" w:fill="auto"/>
            <w:vAlign w:val="center"/>
          </w:tcPr>
          <w:p w14:paraId="488C30EB">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1、严格实施污染物总量控制制度，根据区域环境质量改善目标，削减污染物排放总量。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2、新建二类、三类工业项目污染物排放水平要达到同行业国内先进水平，推动企业绿色低碳技术改造。</w:t>
            </w:r>
          </w:p>
          <w:p w14:paraId="74305B9B">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3、新建、改建、扩建高耗能、高排放项目须符合生态环境保护法律法规和相关法定规划，强化“两高”行业排污许可证管理，推进减污降碳协同控制。</w:t>
            </w:r>
          </w:p>
          <w:p w14:paraId="5261B1B8">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4、加快落实污水处理厂建设及提升改造项目，</w:t>
            </w:r>
            <w:r>
              <w:rPr>
                <w:rFonts w:hint="eastAsia" w:ascii="Times New Roman" w:hAnsi="Times New Roman" w:eastAsia="宋体"/>
                <w:color w:val="auto"/>
                <w:sz w:val="20"/>
                <w:lang w:eastAsia="zh-Hans"/>
              </w:rPr>
              <w:t>深</w:t>
            </w:r>
            <w:r>
              <w:rPr>
                <w:rFonts w:ascii="Times New Roman" w:hAnsi="Times New Roman" w:eastAsia="宋体"/>
                <w:color w:val="auto"/>
                <w:sz w:val="20"/>
              </w:rPr>
              <w:t>化工业园区（工业企业）“污水零直排区”建设，</w:t>
            </w:r>
            <w:r>
              <w:rPr>
                <w:rFonts w:hint="eastAsia" w:ascii="Times New Roman" w:hAnsi="Times New Roman" w:eastAsia="宋体"/>
                <w:color w:val="auto"/>
                <w:sz w:val="20"/>
              </w:rPr>
              <w:t>所有企业实现雨污分流。</w:t>
            </w:r>
          </w:p>
          <w:p w14:paraId="5F93E244">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5、加强土壤和地下水污染防治与修复</w:t>
            </w:r>
          </w:p>
          <w:p w14:paraId="569B00BB">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6、重点行业按照规范要求开展建设项目碳排放评价。</w:t>
            </w:r>
          </w:p>
        </w:tc>
        <w:tc>
          <w:tcPr>
            <w:tcW w:w="2268" w:type="dxa"/>
            <w:shd w:val="clear" w:color="auto" w:fill="auto"/>
            <w:vAlign w:val="center"/>
          </w:tcPr>
          <w:p w14:paraId="46C96805">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1、定期评估沿江河湖库工业企业、工业集聚区环境和健康风险。</w:t>
            </w:r>
            <w:r>
              <w:rPr>
                <w:rFonts w:hint="eastAsia" w:ascii="Times New Roman" w:hAnsi="Times New Roman" w:eastAsia="宋体"/>
                <w:color w:val="auto"/>
                <w:sz w:val="20"/>
              </w:rPr>
              <w:br w:type="textWrapping"/>
            </w:r>
            <w:r>
              <w:rPr>
                <w:rFonts w:ascii="Times New Roman" w:hAnsi="Times New Roman" w:eastAsia="宋体"/>
                <w:color w:val="auto"/>
                <w:sz w:val="20"/>
              </w:rPr>
              <w:t>2</w:t>
            </w:r>
            <w:r>
              <w:rPr>
                <w:rFonts w:hint="eastAsia" w:ascii="Times New Roman" w:hAnsi="Times New Roman" w:eastAsia="宋体"/>
                <w:color w:val="auto"/>
                <w:sz w:val="20"/>
              </w:rPr>
              <w:t>、强化工业集聚区企业环境风险防范设施设备建设和正常运行监管，加强重点环境风险管控企业应急预案制定，建立常态化的企业隐患排查整治监管机制，加强风险防控体系建设。</w:t>
            </w:r>
          </w:p>
        </w:tc>
        <w:tc>
          <w:tcPr>
            <w:tcW w:w="1559" w:type="dxa"/>
            <w:shd w:val="clear" w:color="auto" w:fill="auto"/>
            <w:vAlign w:val="center"/>
          </w:tcPr>
          <w:p w14:paraId="1BDF74FE">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推进工业集聚区生态化改造，强化企业清洁生产改造，推进节水型企业、节水型工业园区建设，落实煤炭消费减量替代要求，提高资源能源利用效率。</w:t>
            </w:r>
          </w:p>
        </w:tc>
      </w:tr>
      <w:tr w14:paraId="31B1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6D27B096">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ZH33048320008</w:t>
            </w:r>
          </w:p>
        </w:tc>
        <w:tc>
          <w:tcPr>
            <w:tcW w:w="1214" w:type="dxa"/>
            <w:vAlign w:val="center"/>
          </w:tcPr>
          <w:p w14:paraId="2951D1BB">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浙江省嘉兴市桐乡市大麻镇产业集聚重点管控单元</w:t>
            </w:r>
          </w:p>
        </w:tc>
        <w:tc>
          <w:tcPr>
            <w:tcW w:w="709" w:type="dxa"/>
            <w:vAlign w:val="center"/>
          </w:tcPr>
          <w:p w14:paraId="088FD213">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50EA0213">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3.0856</w:t>
            </w:r>
          </w:p>
        </w:tc>
        <w:tc>
          <w:tcPr>
            <w:tcW w:w="3543" w:type="dxa"/>
            <w:shd w:val="clear" w:color="auto" w:fill="auto"/>
            <w:vAlign w:val="center"/>
          </w:tcPr>
          <w:p w14:paraId="2AAC9D6E">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1、优化产业布局和结构，实施分区差别化的产业准入条件。</w:t>
            </w:r>
            <w:r>
              <w:rPr>
                <w:rFonts w:hint="eastAsia" w:ascii="Times New Roman" w:hAnsi="Times New Roman" w:eastAsia="宋体"/>
                <w:color w:val="auto"/>
                <w:sz w:val="20"/>
              </w:rPr>
              <w:br w:type="textWrapping"/>
            </w:r>
            <w:r>
              <w:rPr>
                <w:rFonts w:hint="eastAsia" w:ascii="Times New Roman" w:hAnsi="Times New Roman" w:eastAsia="宋体"/>
                <w:color w:val="auto"/>
                <w:sz w:val="20"/>
              </w:rPr>
              <w:t>2、合理规划布局三类工业项目，控制三类工业项目布局范围和总体规模，对不符合桐乡市重点支持产业导向的三类工业项目禁止准入，鼓励对现有三类工业项目进行淘汰和提升。</w:t>
            </w:r>
            <w:r>
              <w:rPr>
                <w:rFonts w:hint="eastAsia" w:ascii="Times New Roman" w:hAnsi="Times New Roman" w:eastAsia="宋体"/>
                <w:color w:val="auto"/>
                <w:sz w:val="20"/>
              </w:rPr>
              <w:br w:type="textWrapping"/>
            </w:r>
            <w:r>
              <w:rPr>
                <w:rFonts w:hint="eastAsia" w:ascii="Times New Roman" w:hAnsi="Times New Roman" w:eastAsia="宋体"/>
                <w:color w:val="auto"/>
                <w:sz w:val="20"/>
              </w:rPr>
              <w:t>3、提高电力、化工、印染、造纸、化纤等重点行业环保准入门槛，控制新增污染物排放量。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4、新建涉VOCs排放的工业企业全部进入工业功能区，严格执行相关污染物排放量削减替代管理要求。</w:t>
            </w:r>
            <w:r>
              <w:rPr>
                <w:rFonts w:hint="eastAsia" w:ascii="Times New Roman" w:hAnsi="Times New Roman" w:eastAsia="宋体"/>
                <w:color w:val="auto"/>
                <w:sz w:val="20"/>
              </w:rPr>
              <w:br w:type="textWrapping"/>
            </w:r>
            <w:r>
              <w:rPr>
                <w:rFonts w:hint="eastAsia" w:ascii="Times New Roman" w:hAnsi="Times New Roman" w:eastAsia="宋体"/>
                <w:color w:val="auto"/>
                <w:sz w:val="20"/>
              </w:rPr>
              <w:t>5、</w:t>
            </w:r>
            <w:r>
              <w:rPr>
                <w:rFonts w:ascii="Times New Roman" w:hAnsi="Times New Roman" w:eastAsia="宋体"/>
                <w:color w:val="auto"/>
                <w:sz w:val="20"/>
              </w:rPr>
              <w:t>合理规划布局居住、医疗卫生、文化教育等功能区块，与工业区块、有污染和干扰的工业企业之间设置防护绿地、生态绿地等隔离带。</w:t>
            </w:r>
          </w:p>
        </w:tc>
        <w:tc>
          <w:tcPr>
            <w:tcW w:w="1985" w:type="dxa"/>
            <w:shd w:val="clear" w:color="auto" w:fill="auto"/>
            <w:vAlign w:val="center"/>
          </w:tcPr>
          <w:p w14:paraId="7EB3C0D6">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1、严格实施污染物总量控制制度，根据区域环境质量改善目标，削减污染物排放总量。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2、新建二类、三类工业项目污染物排放水平要达到同行业国内先进水平，推动企业绿色低碳技术改造。</w:t>
            </w:r>
          </w:p>
          <w:p w14:paraId="5C70CB18">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3、新建、改建、扩建高耗能、高排放项目须符合生态环境保护法律法规和相关法定规划，强化“两高”行业排污许可证管理，推进减污降碳协同控制。</w:t>
            </w:r>
          </w:p>
          <w:p w14:paraId="7FB165E8">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4、加快落实污水处理厂建设及提升改造项目，</w:t>
            </w:r>
            <w:r>
              <w:rPr>
                <w:rFonts w:hint="eastAsia" w:ascii="Times New Roman" w:hAnsi="Times New Roman" w:eastAsia="宋体"/>
                <w:color w:val="auto"/>
                <w:sz w:val="20"/>
                <w:lang w:eastAsia="zh-Hans"/>
              </w:rPr>
              <w:t>深</w:t>
            </w:r>
            <w:r>
              <w:rPr>
                <w:rFonts w:ascii="Times New Roman" w:hAnsi="Times New Roman" w:eastAsia="宋体"/>
                <w:color w:val="auto"/>
                <w:sz w:val="20"/>
              </w:rPr>
              <w:t>化工业园区（工业企业）“污水零直排区”建设，</w:t>
            </w:r>
            <w:r>
              <w:rPr>
                <w:rFonts w:hint="eastAsia" w:ascii="Times New Roman" w:hAnsi="Times New Roman" w:eastAsia="宋体"/>
                <w:color w:val="auto"/>
                <w:sz w:val="20"/>
              </w:rPr>
              <w:t>所有企业实现雨污分流。</w:t>
            </w:r>
          </w:p>
          <w:p w14:paraId="33029DA4">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5、加强土壤和地下水污染防治与修复</w:t>
            </w:r>
          </w:p>
          <w:p w14:paraId="1E9F2DA8">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6、重点行业按照规范要求开展建设项目碳排放评价。</w:t>
            </w:r>
          </w:p>
        </w:tc>
        <w:tc>
          <w:tcPr>
            <w:tcW w:w="2268" w:type="dxa"/>
            <w:shd w:val="clear" w:color="auto" w:fill="auto"/>
            <w:vAlign w:val="center"/>
          </w:tcPr>
          <w:p w14:paraId="7500B55D">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1、定期评估沿江河湖库工业企业、工业集聚区环境和健康风险。</w:t>
            </w:r>
            <w:r>
              <w:rPr>
                <w:rFonts w:hint="eastAsia" w:ascii="Times New Roman" w:hAnsi="Times New Roman" w:eastAsia="宋体"/>
                <w:color w:val="auto"/>
                <w:sz w:val="20"/>
              </w:rPr>
              <w:br w:type="textWrapping"/>
            </w:r>
            <w:r>
              <w:rPr>
                <w:rFonts w:ascii="Times New Roman" w:hAnsi="Times New Roman" w:eastAsia="宋体"/>
                <w:color w:val="auto"/>
                <w:sz w:val="20"/>
              </w:rPr>
              <w:t>2</w:t>
            </w:r>
            <w:r>
              <w:rPr>
                <w:rFonts w:hint="eastAsia" w:ascii="Times New Roman" w:hAnsi="Times New Roman" w:eastAsia="宋体"/>
                <w:color w:val="auto"/>
                <w:sz w:val="20"/>
              </w:rPr>
              <w:t>、强化工业集聚区企业环境风险防范设施设备建设和正常运行监管，加强重点环境风险管控企业应急预案制定，建立常态化的企业隐患排查整治监管机制，加强风险防控体系建设。</w:t>
            </w:r>
          </w:p>
        </w:tc>
        <w:tc>
          <w:tcPr>
            <w:tcW w:w="1559" w:type="dxa"/>
            <w:shd w:val="clear" w:color="auto" w:fill="auto"/>
            <w:vAlign w:val="center"/>
          </w:tcPr>
          <w:p w14:paraId="52EBB309">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推进工业集聚区生态化改造，强化企业清洁生产改造，推进节水型企业、节水型工业园区建设，落实煤炭消费减量替代要求，提高资源能源利用效率。</w:t>
            </w:r>
          </w:p>
        </w:tc>
      </w:tr>
      <w:tr w14:paraId="66C8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27B5AD1D">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ZH33048320009</w:t>
            </w:r>
          </w:p>
        </w:tc>
        <w:tc>
          <w:tcPr>
            <w:tcW w:w="1214" w:type="dxa"/>
            <w:vAlign w:val="center"/>
          </w:tcPr>
          <w:p w14:paraId="3E37EC03">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浙江省嘉兴市桐乡市河山镇产业集聚重点管控单元</w:t>
            </w:r>
          </w:p>
        </w:tc>
        <w:tc>
          <w:tcPr>
            <w:tcW w:w="709" w:type="dxa"/>
            <w:vAlign w:val="center"/>
          </w:tcPr>
          <w:p w14:paraId="5127DB8A">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133D8A82">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4.0314</w:t>
            </w:r>
          </w:p>
        </w:tc>
        <w:tc>
          <w:tcPr>
            <w:tcW w:w="3543" w:type="dxa"/>
            <w:shd w:val="clear" w:color="auto" w:fill="auto"/>
            <w:vAlign w:val="center"/>
          </w:tcPr>
          <w:p w14:paraId="4C4283C6">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1、优化产业布局和结构，实施分区差别化的产业准入条件。</w:t>
            </w:r>
            <w:r>
              <w:rPr>
                <w:rFonts w:hint="eastAsia" w:ascii="Times New Roman" w:hAnsi="Times New Roman" w:eastAsia="宋体"/>
                <w:color w:val="auto"/>
                <w:sz w:val="20"/>
              </w:rPr>
              <w:br w:type="textWrapping"/>
            </w:r>
            <w:r>
              <w:rPr>
                <w:rFonts w:hint="eastAsia" w:ascii="Times New Roman" w:hAnsi="Times New Roman" w:eastAsia="宋体"/>
                <w:color w:val="auto"/>
                <w:sz w:val="20"/>
              </w:rPr>
              <w:t>2、合理规划布局三类工业项目，控制三类工业项目布局范围和总体规模，对不符合桐乡市重点支持产业导向的三类工业项目禁止准入，鼓励对现有三类工业项目进行淘汰和提升。</w:t>
            </w:r>
            <w:r>
              <w:rPr>
                <w:rFonts w:hint="eastAsia" w:ascii="Times New Roman" w:hAnsi="Times New Roman" w:eastAsia="宋体"/>
                <w:color w:val="auto"/>
                <w:sz w:val="20"/>
              </w:rPr>
              <w:br w:type="textWrapping"/>
            </w:r>
            <w:r>
              <w:rPr>
                <w:rFonts w:hint="eastAsia" w:ascii="Times New Roman" w:hAnsi="Times New Roman" w:eastAsia="宋体"/>
                <w:color w:val="auto"/>
                <w:sz w:val="20"/>
              </w:rPr>
              <w:t>3、提高电力、化工、印染、造纸、化纤等重点行业环保准入门槛，控制新增污染物排放量。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4、新建涉VOCs排放的工业企业全部进入工业功能区，严格执行相关污染物排放量削减替代管理要求。</w:t>
            </w:r>
            <w:r>
              <w:rPr>
                <w:rFonts w:hint="eastAsia" w:ascii="Times New Roman" w:hAnsi="Times New Roman" w:eastAsia="宋体"/>
                <w:color w:val="auto"/>
                <w:sz w:val="20"/>
              </w:rPr>
              <w:br w:type="textWrapping"/>
            </w:r>
            <w:r>
              <w:rPr>
                <w:rFonts w:hint="eastAsia" w:ascii="Times New Roman" w:hAnsi="Times New Roman" w:eastAsia="宋体"/>
                <w:color w:val="auto"/>
                <w:sz w:val="20"/>
              </w:rPr>
              <w:t>5、</w:t>
            </w:r>
            <w:r>
              <w:rPr>
                <w:rFonts w:ascii="Times New Roman" w:hAnsi="Times New Roman" w:eastAsia="宋体"/>
                <w:color w:val="auto"/>
                <w:sz w:val="20"/>
              </w:rPr>
              <w:t>合理规划布局居住、医疗卫生、文化教育等功能区块，与工业区块、有污染和干扰的工业企业之间设置防护绿地、生态绿地等隔离带。</w:t>
            </w:r>
          </w:p>
        </w:tc>
        <w:tc>
          <w:tcPr>
            <w:tcW w:w="1985" w:type="dxa"/>
            <w:shd w:val="clear" w:color="auto" w:fill="auto"/>
            <w:vAlign w:val="center"/>
          </w:tcPr>
          <w:p w14:paraId="59B2F259">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1、严格实施污染物总量控制制度，根据区域环境质量改善目标，削减污染物排放总量。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2、新建二类、三类工业项目污染物排放水平要达到同行业国内先进水平，推动企业绿色低碳技术改造。</w:t>
            </w:r>
          </w:p>
          <w:p w14:paraId="4BF9FE1C">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3、新建、改建、扩建高耗能、高排放项目须符合生态环境保护法律法规和相关法定规划，强化“两高”行业排污许可证管理，推进减污降碳协同控制。</w:t>
            </w:r>
          </w:p>
          <w:p w14:paraId="4A51F1D4">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4、加快落实污水处理厂建设及提升改造项目，</w:t>
            </w:r>
            <w:r>
              <w:rPr>
                <w:rFonts w:hint="eastAsia" w:ascii="Times New Roman" w:hAnsi="Times New Roman" w:eastAsia="宋体"/>
                <w:color w:val="auto"/>
                <w:sz w:val="20"/>
                <w:lang w:eastAsia="zh-Hans"/>
              </w:rPr>
              <w:t>深</w:t>
            </w:r>
            <w:r>
              <w:rPr>
                <w:rFonts w:ascii="Times New Roman" w:hAnsi="Times New Roman" w:eastAsia="宋体"/>
                <w:color w:val="auto"/>
                <w:sz w:val="20"/>
              </w:rPr>
              <w:t>化工业园区（工业企业）“污水零直排区”建设，</w:t>
            </w:r>
            <w:r>
              <w:rPr>
                <w:rFonts w:hint="eastAsia" w:ascii="Times New Roman" w:hAnsi="Times New Roman" w:eastAsia="宋体"/>
                <w:color w:val="auto"/>
                <w:sz w:val="20"/>
              </w:rPr>
              <w:t>所有企业实现雨污分流。</w:t>
            </w:r>
          </w:p>
          <w:p w14:paraId="0BFE4937">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5、加强土壤和地下水污染防治与修复</w:t>
            </w:r>
          </w:p>
          <w:p w14:paraId="28DCCF5C">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6、重点行业按照规范要求开展建设项目碳排放评价。</w:t>
            </w:r>
          </w:p>
        </w:tc>
        <w:tc>
          <w:tcPr>
            <w:tcW w:w="2268" w:type="dxa"/>
            <w:shd w:val="clear" w:color="auto" w:fill="auto"/>
            <w:vAlign w:val="center"/>
          </w:tcPr>
          <w:p w14:paraId="60814376">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1、定期评估沿江河湖库工业企业、工业集聚区环境和健康风险。</w:t>
            </w:r>
            <w:r>
              <w:rPr>
                <w:rFonts w:hint="eastAsia" w:ascii="Times New Roman" w:hAnsi="Times New Roman" w:eastAsia="宋体"/>
                <w:color w:val="auto"/>
                <w:sz w:val="20"/>
              </w:rPr>
              <w:br w:type="textWrapping"/>
            </w:r>
            <w:r>
              <w:rPr>
                <w:rFonts w:ascii="Times New Roman" w:hAnsi="Times New Roman" w:eastAsia="宋体"/>
                <w:color w:val="auto"/>
                <w:sz w:val="20"/>
              </w:rPr>
              <w:t>2</w:t>
            </w:r>
            <w:r>
              <w:rPr>
                <w:rFonts w:hint="eastAsia" w:ascii="Times New Roman" w:hAnsi="Times New Roman" w:eastAsia="宋体"/>
                <w:color w:val="auto"/>
                <w:sz w:val="20"/>
              </w:rPr>
              <w:t>、强化工业集聚区企业环境风险防范设施设备建设和正常运行监管，加强重点环境风险管控企业应急预案制定，建立常态化的企业隐患排查整治监管机制，加强风险防控体系建设。</w:t>
            </w:r>
          </w:p>
        </w:tc>
        <w:tc>
          <w:tcPr>
            <w:tcW w:w="1559" w:type="dxa"/>
            <w:shd w:val="clear" w:color="auto" w:fill="auto"/>
            <w:vAlign w:val="center"/>
          </w:tcPr>
          <w:p w14:paraId="629899E7">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推进工业集聚区生态化改造，强化企业清洁生产改造，推进节水型企业、节水型工业园区建设，落实煤炭消费减量替代要求，提高资源能源利用效率。</w:t>
            </w:r>
          </w:p>
        </w:tc>
      </w:tr>
      <w:tr w14:paraId="551F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2802CDEE">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ZH33048320010</w:t>
            </w:r>
          </w:p>
        </w:tc>
        <w:tc>
          <w:tcPr>
            <w:tcW w:w="1214" w:type="dxa"/>
            <w:vAlign w:val="center"/>
          </w:tcPr>
          <w:p w14:paraId="6F3C67CE">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浙江省嘉兴市桐乡市石门镇产业集聚重点管控单元</w:t>
            </w:r>
          </w:p>
        </w:tc>
        <w:tc>
          <w:tcPr>
            <w:tcW w:w="709" w:type="dxa"/>
            <w:vAlign w:val="center"/>
          </w:tcPr>
          <w:p w14:paraId="438639AD">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0867D738">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4.1837</w:t>
            </w:r>
          </w:p>
        </w:tc>
        <w:tc>
          <w:tcPr>
            <w:tcW w:w="3543" w:type="dxa"/>
            <w:shd w:val="clear" w:color="auto" w:fill="auto"/>
            <w:vAlign w:val="center"/>
          </w:tcPr>
          <w:p w14:paraId="454B5C61">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1、优化产业布局和结构，实施分区差别化的产业准入条件。</w:t>
            </w:r>
            <w:r>
              <w:rPr>
                <w:rFonts w:hint="eastAsia" w:ascii="Times New Roman" w:hAnsi="Times New Roman" w:eastAsia="宋体"/>
                <w:color w:val="auto"/>
                <w:sz w:val="20"/>
              </w:rPr>
              <w:br w:type="textWrapping"/>
            </w:r>
            <w:r>
              <w:rPr>
                <w:rFonts w:hint="eastAsia" w:ascii="Times New Roman" w:hAnsi="Times New Roman" w:eastAsia="宋体"/>
                <w:color w:val="auto"/>
                <w:sz w:val="20"/>
              </w:rPr>
              <w:t>2、合理规划布局三类工业项目，控制三类工业项目布局范围和总体规模，对不符合桐乡市重点支持产业导向的三类工业项目禁止准入，鼓励对现有三类工业项目进行淘汰和提升。</w:t>
            </w:r>
            <w:r>
              <w:rPr>
                <w:rFonts w:hint="eastAsia" w:ascii="Times New Roman" w:hAnsi="Times New Roman" w:eastAsia="宋体"/>
                <w:color w:val="auto"/>
                <w:sz w:val="20"/>
              </w:rPr>
              <w:br w:type="textWrapping"/>
            </w:r>
            <w:r>
              <w:rPr>
                <w:rFonts w:hint="eastAsia" w:ascii="Times New Roman" w:hAnsi="Times New Roman" w:eastAsia="宋体"/>
                <w:color w:val="auto"/>
                <w:sz w:val="20"/>
              </w:rPr>
              <w:t>3、提高电力、化工、印染、造纸、化纤等重点行业环保准入门槛，控制新增污染物排放量。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4、新建涉VOCs排放的工业企业全部进入工业功能区，严格执行相关污染物排放量削减替代管理要求。</w:t>
            </w:r>
            <w:r>
              <w:rPr>
                <w:rFonts w:hint="eastAsia" w:ascii="Times New Roman" w:hAnsi="Times New Roman" w:eastAsia="宋体"/>
                <w:color w:val="auto"/>
                <w:sz w:val="20"/>
              </w:rPr>
              <w:br w:type="textWrapping"/>
            </w:r>
            <w:r>
              <w:rPr>
                <w:rFonts w:hint="eastAsia" w:ascii="Times New Roman" w:hAnsi="Times New Roman" w:eastAsia="宋体"/>
                <w:color w:val="auto"/>
                <w:sz w:val="20"/>
              </w:rPr>
              <w:t>5、</w:t>
            </w:r>
            <w:r>
              <w:rPr>
                <w:rFonts w:ascii="Times New Roman" w:hAnsi="Times New Roman" w:eastAsia="宋体"/>
                <w:color w:val="auto"/>
                <w:sz w:val="20"/>
              </w:rPr>
              <w:t>合理规划布局居住、医疗卫生、文化教育等功能区块，与工业区块、有污染和干扰的工业企业之间设置防护绿地、生态绿地等隔离带。</w:t>
            </w:r>
          </w:p>
        </w:tc>
        <w:tc>
          <w:tcPr>
            <w:tcW w:w="1985" w:type="dxa"/>
            <w:shd w:val="clear" w:color="auto" w:fill="auto"/>
            <w:vAlign w:val="center"/>
          </w:tcPr>
          <w:p w14:paraId="76488F4B">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1、严格实施污染物总量控制制度，根据区域环境质量改善目标，削减污染物排放总量。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2、新建二类、三类工业项目污染物排放水平要达到同行业国内先进水平，推动企业绿色低碳技术改造。</w:t>
            </w:r>
          </w:p>
          <w:p w14:paraId="1D61B320">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3、新建、改建、扩建高耗能、高排放项目须符合生态环境保护法律法规和相关法定规划，强化“两高”行业排污许可证管理，推进减污降碳协同控制。</w:t>
            </w:r>
          </w:p>
          <w:p w14:paraId="48C508DE">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4、加快落实污水处理厂建设及提升改造项目，</w:t>
            </w:r>
            <w:r>
              <w:rPr>
                <w:rFonts w:hint="eastAsia" w:ascii="Times New Roman" w:hAnsi="Times New Roman" w:eastAsia="宋体"/>
                <w:color w:val="auto"/>
                <w:sz w:val="20"/>
                <w:lang w:eastAsia="zh-Hans"/>
              </w:rPr>
              <w:t>深</w:t>
            </w:r>
            <w:r>
              <w:rPr>
                <w:rFonts w:ascii="Times New Roman" w:hAnsi="Times New Roman" w:eastAsia="宋体"/>
                <w:color w:val="auto"/>
                <w:sz w:val="20"/>
              </w:rPr>
              <w:t>化工业园区（工业企业）“污水零直排区”建设，</w:t>
            </w:r>
            <w:r>
              <w:rPr>
                <w:rFonts w:hint="eastAsia" w:ascii="Times New Roman" w:hAnsi="Times New Roman" w:eastAsia="宋体"/>
                <w:color w:val="auto"/>
                <w:sz w:val="20"/>
              </w:rPr>
              <w:t>所有企业实现雨污分流。</w:t>
            </w:r>
          </w:p>
          <w:p w14:paraId="05DB708B">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5、加强土壤和地下水污染防治与修复</w:t>
            </w:r>
          </w:p>
          <w:p w14:paraId="6B0A4A1A">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6、重点行业按照规范要求开展建设项目碳排放评价。</w:t>
            </w:r>
          </w:p>
        </w:tc>
        <w:tc>
          <w:tcPr>
            <w:tcW w:w="2268" w:type="dxa"/>
            <w:shd w:val="clear" w:color="auto" w:fill="auto"/>
            <w:vAlign w:val="center"/>
          </w:tcPr>
          <w:p w14:paraId="79125035">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1、定期评估沿江河湖库工业企业、工业集聚区环境和健康风险。</w:t>
            </w:r>
            <w:r>
              <w:rPr>
                <w:rFonts w:hint="eastAsia" w:ascii="Times New Roman" w:hAnsi="Times New Roman" w:eastAsia="宋体"/>
                <w:color w:val="auto"/>
                <w:sz w:val="20"/>
              </w:rPr>
              <w:br w:type="textWrapping"/>
            </w:r>
            <w:r>
              <w:rPr>
                <w:rFonts w:ascii="Times New Roman" w:hAnsi="Times New Roman" w:eastAsia="宋体"/>
                <w:color w:val="auto"/>
                <w:sz w:val="20"/>
              </w:rPr>
              <w:t>2</w:t>
            </w:r>
            <w:r>
              <w:rPr>
                <w:rFonts w:hint="eastAsia" w:ascii="Times New Roman" w:hAnsi="Times New Roman" w:eastAsia="宋体"/>
                <w:color w:val="auto"/>
                <w:sz w:val="20"/>
              </w:rPr>
              <w:t>、强化工业集聚区企业环境风险防范设施设备建设和正常运行监管，加强重点环境风险管控企业应急预案制定，建立常态化的企业隐患排查整治监管机制，加强风险防控体系建设。</w:t>
            </w:r>
          </w:p>
        </w:tc>
        <w:tc>
          <w:tcPr>
            <w:tcW w:w="1559" w:type="dxa"/>
            <w:shd w:val="clear" w:color="auto" w:fill="auto"/>
            <w:vAlign w:val="center"/>
          </w:tcPr>
          <w:p w14:paraId="33A1AF75">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推进工业集聚区生态化改造，强化企业清洁生产改造，推进节水型企业、节水型工业园区建设，落实煤炭消费减量替代要求，提高资源能源利用效率。</w:t>
            </w:r>
          </w:p>
        </w:tc>
      </w:tr>
      <w:tr w14:paraId="1502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23656F97">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ZH33048320011</w:t>
            </w:r>
          </w:p>
        </w:tc>
        <w:tc>
          <w:tcPr>
            <w:tcW w:w="1214" w:type="dxa"/>
            <w:vAlign w:val="center"/>
          </w:tcPr>
          <w:p w14:paraId="5C086DC2">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浙江省嘉兴市桐乡市屠甸镇生活重点管控单元</w:t>
            </w:r>
          </w:p>
        </w:tc>
        <w:tc>
          <w:tcPr>
            <w:tcW w:w="709" w:type="dxa"/>
            <w:vAlign w:val="center"/>
          </w:tcPr>
          <w:p w14:paraId="7DBDCDF0">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727B4ADF">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1.6295</w:t>
            </w:r>
          </w:p>
        </w:tc>
        <w:tc>
          <w:tcPr>
            <w:tcW w:w="3543" w:type="dxa"/>
            <w:shd w:val="clear" w:color="auto" w:fill="auto"/>
            <w:vAlign w:val="center"/>
          </w:tcPr>
          <w:p w14:paraId="0DA65A0A">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1、禁止新建、扩建三类工业项目，现有三类工业项目改建不得增加污染物排放总量，鼓励现有三类工业迁出或关闭。</w:t>
            </w:r>
            <w:r>
              <w:rPr>
                <w:rFonts w:hint="eastAsia" w:ascii="Times New Roman" w:hAnsi="Times New Roman" w:eastAsia="宋体"/>
                <w:color w:val="auto"/>
                <w:sz w:val="20"/>
              </w:rPr>
              <w:br w:type="textWrapping"/>
            </w:r>
            <w:r>
              <w:rPr>
                <w:rFonts w:hint="eastAsia" w:ascii="Times New Roman" w:hAnsi="Times New Roman" w:eastAsia="宋体"/>
                <w:color w:val="auto"/>
                <w:sz w:val="20"/>
              </w:rPr>
              <w:t>2、</w:t>
            </w:r>
            <w:r>
              <w:rPr>
                <w:rFonts w:ascii="Times New Roman" w:hAnsi="Times New Roman" w:eastAsia="宋体"/>
                <w:color w:val="auto"/>
                <w:sz w:val="20"/>
              </w:rPr>
              <w:t>禁止新建涉及一类重金属、重点行业重点重金属污染物、持久性有机污染物排放</w:t>
            </w:r>
            <w:r>
              <w:rPr>
                <w:rFonts w:hint="eastAsia" w:ascii="Times New Roman" w:hAnsi="Times New Roman" w:eastAsia="宋体"/>
                <w:color w:val="auto"/>
                <w:sz w:val="20"/>
              </w:rPr>
              <w:t>等环境健康风险较大的二类工业项目。除工业功能区（小微园区、工业集聚点）外，原则上禁止新建其他二类工业项目。现有二类工业项目改建、扩建，不得增加用地规模，不得新增控制单元污染物排放总量。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3、新建涉VOCs排放的工业企业全部入园区，严格执行相关污染物排放量削减替代管理要求。</w:t>
            </w:r>
            <w:r>
              <w:rPr>
                <w:rFonts w:hint="eastAsia" w:ascii="Times New Roman" w:hAnsi="Times New Roman" w:eastAsia="宋体"/>
                <w:color w:val="auto"/>
                <w:sz w:val="20"/>
              </w:rPr>
              <w:br w:type="textWrapping"/>
            </w:r>
            <w:r>
              <w:rPr>
                <w:rFonts w:hint="eastAsia" w:ascii="Times New Roman" w:hAnsi="Times New Roman" w:eastAsia="宋体"/>
                <w:color w:val="auto"/>
                <w:sz w:val="20"/>
              </w:rPr>
              <w:t>4、推进城镇绿廊建设，协同建设区域生态网络和绿道体系，建立城镇生态空间与区域生态空间的有机联系。</w:t>
            </w:r>
          </w:p>
          <w:p w14:paraId="46A2E707">
            <w:pPr>
              <w:spacing w:line="280" w:lineRule="exact"/>
              <w:jc w:val="left"/>
              <w:rPr>
                <w:rFonts w:ascii="Times New Roman" w:hAnsi="Times New Roman" w:eastAsia="宋体" w:cs="Times New Roman"/>
                <w:color w:val="auto"/>
                <w:sz w:val="20"/>
              </w:rPr>
            </w:pPr>
            <w:r>
              <w:rPr>
                <w:rFonts w:ascii="Times New Roman" w:hAnsi="Times New Roman" w:eastAsia="宋体" w:cs="Times New Roman"/>
                <w:color w:val="auto"/>
                <w:sz w:val="20"/>
              </w:rPr>
              <w:t>5</w:t>
            </w:r>
            <w:r>
              <w:rPr>
                <w:rFonts w:hint="eastAsia" w:ascii="Times New Roman" w:hAnsi="Times New Roman" w:eastAsia="宋体" w:cs="Times New Roman"/>
                <w:color w:val="auto"/>
                <w:sz w:val="20"/>
              </w:rPr>
              <w:t>、推进既有建筑绿色化改造，高质量发展零碳低耗绿色建筑。</w:t>
            </w:r>
          </w:p>
        </w:tc>
        <w:tc>
          <w:tcPr>
            <w:tcW w:w="1985" w:type="dxa"/>
            <w:shd w:val="clear" w:color="auto" w:fill="auto"/>
            <w:vAlign w:val="center"/>
          </w:tcPr>
          <w:p w14:paraId="4C133548">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1、严格实施污染物总量控制制度，根据区域环境质量改善目标，削减污染物排放总量。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2、污水收集管网范围内，禁止新建除城镇污水处理设施外的</w:t>
            </w:r>
            <w:r>
              <w:rPr>
                <w:rFonts w:ascii="Times New Roman" w:hAnsi="Times New Roman" w:eastAsia="宋体"/>
                <w:color w:val="auto"/>
                <w:sz w:val="20"/>
              </w:rPr>
              <w:t>入河入海排污口</w:t>
            </w:r>
            <w:r>
              <w:rPr>
                <w:rFonts w:hint="eastAsia" w:ascii="Times New Roman" w:hAnsi="Times New Roman" w:eastAsia="宋体"/>
                <w:color w:val="auto"/>
                <w:sz w:val="20"/>
              </w:rPr>
              <w:t>，现有的</w:t>
            </w:r>
            <w:r>
              <w:rPr>
                <w:rFonts w:ascii="Times New Roman" w:hAnsi="Times New Roman" w:eastAsia="宋体"/>
                <w:color w:val="auto"/>
                <w:sz w:val="20"/>
              </w:rPr>
              <w:t>入河入海排污口</w:t>
            </w:r>
            <w:r>
              <w:rPr>
                <w:rFonts w:hint="eastAsia" w:ascii="Times New Roman" w:hAnsi="Times New Roman" w:eastAsia="宋体"/>
                <w:color w:val="auto"/>
                <w:sz w:val="20"/>
              </w:rPr>
              <w:t>应限期拆除。但相关法律法规和标准规定必须单独设置排污口的除外。</w:t>
            </w:r>
            <w:r>
              <w:rPr>
                <w:rFonts w:hint="eastAsia" w:ascii="Times New Roman" w:hAnsi="Times New Roman" w:eastAsia="宋体"/>
                <w:color w:val="auto"/>
                <w:sz w:val="20"/>
              </w:rPr>
              <w:br w:type="textWrapping"/>
            </w:r>
            <w:r>
              <w:rPr>
                <w:rFonts w:hint="eastAsia" w:ascii="Times New Roman" w:hAnsi="Times New Roman" w:eastAsia="宋体"/>
                <w:color w:val="auto"/>
                <w:sz w:val="20"/>
              </w:rPr>
              <w:t>3、加快污水处理设施建设与提标改造，加快完善城乡污水管网，加强对现有雨污合流管网的分流改造，</w:t>
            </w:r>
            <w:r>
              <w:rPr>
                <w:rFonts w:ascii="Times New Roman" w:hAnsi="Times New Roman" w:eastAsia="宋体"/>
                <w:color w:val="auto"/>
                <w:sz w:val="20"/>
              </w:rPr>
              <w:t>深化城镇“污水零直排区”建设。</w:t>
            </w:r>
            <w:r>
              <w:rPr>
                <w:rFonts w:hint="eastAsia" w:ascii="Times New Roman" w:hAnsi="Times New Roman" w:eastAsia="宋体"/>
                <w:color w:val="auto"/>
                <w:sz w:val="20"/>
              </w:rPr>
              <w:br w:type="textWrapping"/>
            </w:r>
            <w:r>
              <w:rPr>
                <w:rFonts w:hint="eastAsia" w:ascii="Times New Roman" w:hAnsi="Times New Roman" w:eastAsia="宋体"/>
                <w:color w:val="auto"/>
                <w:sz w:val="20"/>
              </w:rPr>
              <w:t>4、加强噪声和臭气异味防治，强化餐饮油烟治理，严格施工扬尘监管，依法严禁秸秆、垃圾等露天焚烧。</w:t>
            </w:r>
            <w:r>
              <w:rPr>
                <w:rFonts w:hint="eastAsia" w:ascii="Times New Roman" w:hAnsi="Times New Roman" w:eastAsia="宋体"/>
                <w:color w:val="auto"/>
                <w:sz w:val="20"/>
              </w:rPr>
              <w:br w:type="textWrapping"/>
            </w:r>
            <w:r>
              <w:rPr>
                <w:rFonts w:hint="eastAsia" w:ascii="Times New Roman" w:hAnsi="Times New Roman" w:eastAsia="宋体"/>
                <w:color w:val="auto"/>
                <w:sz w:val="20"/>
              </w:rPr>
              <w:t>5、加强土壤和地下水污染防治与修复。</w:t>
            </w:r>
          </w:p>
          <w:p w14:paraId="7F456955">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6、推动能源、工业、建筑、交通、居民生活等重点领域绿色低碳转型。</w:t>
            </w:r>
          </w:p>
        </w:tc>
        <w:tc>
          <w:tcPr>
            <w:tcW w:w="2268" w:type="dxa"/>
            <w:shd w:val="clear" w:color="auto" w:fill="auto"/>
            <w:vAlign w:val="center"/>
          </w:tcPr>
          <w:p w14:paraId="3579F757">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合理布局工业、商业、居住、科教等功能区块，严格控制噪声、恶臭、油烟等污染排放较大的建设项目布局。</w:t>
            </w:r>
          </w:p>
        </w:tc>
        <w:tc>
          <w:tcPr>
            <w:tcW w:w="1559" w:type="dxa"/>
            <w:shd w:val="clear" w:color="auto" w:fill="auto"/>
            <w:vAlign w:val="center"/>
          </w:tcPr>
          <w:p w14:paraId="1366CCD6">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1、全面开展节水型社会建设，推进节水产品推广普及，限制高耗水服务业用水，推进生活节水降损，实施城市供水管网优化改造。</w:t>
            </w:r>
          </w:p>
        </w:tc>
      </w:tr>
      <w:tr w14:paraId="4BF9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30DF23D2">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ZH33048320012</w:t>
            </w:r>
          </w:p>
        </w:tc>
        <w:tc>
          <w:tcPr>
            <w:tcW w:w="1214" w:type="dxa"/>
            <w:vAlign w:val="center"/>
          </w:tcPr>
          <w:p w14:paraId="6CA17086">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浙江省嘉兴市桐乡市乌镇镇生活重点管控单元</w:t>
            </w:r>
          </w:p>
        </w:tc>
        <w:tc>
          <w:tcPr>
            <w:tcW w:w="709" w:type="dxa"/>
            <w:vAlign w:val="center"/>
          </w:tcPr>
          <w:p w14:paraId="31E6442F">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0C1F5DA3">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7.4474</w:t>
            </w:r>
          </w:p>
        </w:tc>
        <w:tc>
          <w:tcPr>
            <w:tcW w:w="3543" w:type="dxa"/>
            <w:shd w:val="clear" w:color="auto" w:fill="auto"/>
            <w:vAlign w:val="center"/>
          </w:tcPr>
          <w:p w14:paraId="659F6A5D">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1、禁止新建、扩建三类工业项目，现有三类工业项目改建不得增加污染物排放总量，鼓励现有三类工业迁出或关闭。</w:t>
            </w:r>
            <w:r>
              <w:rPr>
                <w:rFonts w:hint="eastAsia" w:ascii="Times New Roman" w:hAnsi="Times New Roman" w:eastAsia="宋体"/>
                <w:color w:val="auto"/>
                <w:sz w:val="20"/>
              </w:rPr>
              <w:br w:type="textWrapping"/>
            </w:r>
            <w:r>
              <w:rPr>
                <w:rFonts w:hint="eastAsia" w:ascii="Times New Roman" w:hAnsi="Times New Roman" w:eastAsia="宋体"/>
                <w:color w:val="auto"/>
                <w:sz w:val="20"/>
              </w:rPr>
              <w:t>2、</w:t>
            </w:r>
            <w:r>
              <w:rPr>
                <w:rFonts w:ascii="Times New Roman" w:hAnsi="Times New Roman" w:eastAsia="宋体"/>
                <w:color w:val="auto"/>
                <w:sz w:val="20"/>
              </w:rPr>
              <w:t>禁止新建涉及一类重金属、重点行业重点重金属污染物、持久性有机污染物排放</w:t>
            </w:r>
            <w:r>
              <w:rPr>
                <w:rFonts w:hint="eastAsia" w:ascii="Times New Roman" w:hAnsi="Times New Roman" w:eastAsia="宋体"/>
                <w:color w:val="auto"/>
                <w:sz w:val="20"/>
              </w:rPr>
              <w:t>等环境健康风险较大的二类工业项目。除工业功能区（小微园区、工业集聚点）外，原则上禁止新建其他二类工业项目。现有二类工业项目改建、扩建，不得增加用地规模，不得新增控制单元污染物排放总量。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3、新建涉VOCs排放的工业企业全部入园区，严格执行相关污染物排放量削减替代管理要求。</w:t>
            </w:r>
            <w:r>
              <w:rPr>
                <w:rFonts w:hint="eastAsia" w:ascii="Times New Roman" w:hAnsi="Times New Roman" w:eastAsia="宋体"/>
                <w:color w:val="auto"/>
                <w:sz w:val="20"/>
              </w:rPr>
              <w:br w:type="textWrapping"/>
            </w:r>
            <w:r>
              <w:rPr>
                <w:rFonts w:hint="eastAsia" w:ascii="Times New Roman" w:hAnsi="Times New Roman" w:eastAsia="宋体"/>
                <w:color w:val="auto"/>
                <w:sz w:val="20"/>
              </w:rPr>
              <w:t>4、推进城镇绿廊建设，协同建设区域生态网络和绿道体系，建立城镇生态空间与区域生态空间的有机联系。</w:t>
            </w:r>
          </w:p>
          <w:p w14:paraId="52E9A2DA">
            <w:pPr>
              <w:spacing w:line="280" w:lineRule="exact"/>
              <w:jc w:val="left"/>
              <w:rPr>
                <w:rFonts w:ascii="Times New Roman" w:hAnsi="Times New Roman" w:eastAsia="宋体" w:cs="Times New Roman"/>
                <w:color w:val="auto"/>
                <w:sz w:val="20"/>
              </w:rPr>
            </w:pPr>
            <w:r>
              <w:rPr>
                <w:rFonts w:ascii="Times New Roman" w:hAnsi="Times New Roman" w:eastAsia="宋体" w:cs="Times New Roman"/>
                <w:color w:val="auto"/>
                <w:sz w:val="20"/>
              </w:rPr>
              <w:t>5</w:t>
            </w:r>
            <w:r>
              <w:rPr>
                <w:rFonts w:hint="eastAsia" w:ascii="Times New Roman" w:hAnsi="Times New Roman" w:eastAsia="宋体" w:cs="Times New Roman"/>
                <w:color w:val="auto"/>
                <w:sz w:val="20"/>
              </w:rPr>
              <w:t>、推进既有建筑绿色化改造，高质量发展零碳低耗绿色建筑。</w:t>
            </w:r>
          </w:p>
        </w:tc>
        <w:tc>
          <w:tcPr>
            <w:tcW w:w="1985" w:type="dxa"/>
            <w:shd w:val="clear" w:color="auto" w:fill="auto"/>
            <w:vAlign w:val="center"/>
          </w:tcPr>
          <w:p w14:paraId="2105FC7E">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1、严格实施污染物总量控制制度，根据区域环境质量改善目标，削减污染物排放总量。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2、污水收集管网范围内，禁止新建除城镇污水处理设施外的</w:t>
            </w:r>
            <w:r>
              <w:rPr>
                <w:rFonts w:ascii="Times New Roman" w:hAnsi="Times New Roman" w:eastAsia="宋体"/>
                <w:color w:val="auto"/>
                <w:sz w:val="20"/>
              </w:rPr>
              <w:t>入河入海排污口</w:t>
            </w:r>
            <w:r>
              <w:rPr>
                <w:rFonts w:hint="eastAsia" w:ascii="Times New Roman" w:hAnsi="Times New Roman" w:eastAsia="宋体"/>
                <w:color w:val="auto"/>
                <w:sz w:val="20"/>
              </w:rPr>
              <w:t>，现有的</w:t>
            </w:r>
            <w:r>
              <w:rPr>
                <w:rFonts w:ascii="Times New Roman" w:hAnsi="Times New Roman" w:eastAsia="宋体"/>
                <w:color w:val="auto"/>
                <w:sz w:val="20"/>
              </w:rPr>
              <w:t>入河入海排污口</w:t>
            </w:r>
            <w:r>
              <w:rPr>
                <w:rFonts w:hint="eastAsia" w:ascii="Times New Roman" w:hAnsi="Times New Roman" w:eastAsia="宋体"/>
                <w:color w:val="auto"/>
                <w:sz w:val="20"/>
              </w:rPr>
              <w:t>应限期拆除。但相关法律法规和标准规定必须单独设置排污口的除外。</w:t>
            </w:r>
            <w:r>
              <w:rPr>
                <w:rFonts w:hint="eastAsia" w:ascii="Times New Roman" w:hAnsi="Times New Roman" w:eastAsia="宋体"/>
                <w:color w:val="auto"/>
                <w:sz w:val="20"/>
              </w:rPr>
              <w:br w:type="textWrapping"/>
            </w:r>
            <w:r>
              <w:rPr>
                <w:rFonts w:hint="eastAsia" w:ascii="Times New Roman" w:hAnsi="Times New Roman" w:eastAsia="宋体"/>
                <w:color w:val="auto"/>
                <w:sz w:val="20"/>
              </w:rPr>
              <w:t>3、加快污水处理设施建设与提标改造，加快完善城乡污水管网，加强对现有雨污合流管网的分流改造，</w:t>
            </w:r>
            <w:r>
              <w:rPr>
                <w:rFonts w:ascii="Times New Roman" w:hAnsi="Times New Roman" w:eastAsia="宋体"/>
                <w:color w:val="auto"/>
                <w:sz w:val="20"/>
              </w:rPr>
              <w:t>深化城镇“污水零直排区”建设。</w:t>
            </w:r>
            <w:r>
              <w:rPr>
                <w:rFonts w:hint="eastAsia" w:ascii="Times New Roman" w:hAnsi="Times New Roman" w:eastAsia="宋体"/>
                <w:color w:val="auto"/>
                <w:sz w:val="20"/>
              </w:rPr>
              <w:br w:type="textWrapping"/>
            </w:r>
            <w:r>
              <w:rPr>
                <w:rFonts w:hint="eastAsia" w:ascii="Times New Roman" w:hAnsi="Times New Roman" w:eastAsia="宋体"/>
                <w:color w:val="auto"/>
                <w:sz w:val="20"/>
              </w:rPr>
              <w:t>4、加强噪声和臭气异味防治，强化餐饮油烟治理，严格施工扬尘监管，依法严禁秸秆、垃圾等露天焚烧。</w:t>
            </w:r>
            <w:r>
              <w:rPr>
                <w:rFonts w:hint="eastAsia" w:ascii="Times New Roman" w:hAnsi="Times New Roman" w:eastAsia="宋体"/>
                <w:color w:val="auto"/>
                <w:sz w:val="20"/>
              </w:rPr>
              <w:br w:type="textWrapping"/>
            </w:r>
            <w:r>
              <w:rPr>
                <w:rFonts w:hint="eastAsia" w:ascii="Times New Roman" w:hAnsi="Times New Roman" w:eastAsia="宋体"/>
                <w:color w:val="auto"/>
                <w:sz w:val="20"/>
              </w:rPr>
              <w:t>5、加强土壤和地下水污染防治与修复。</w:t>
            </w:r>
          </w:p>
          <w:p w14:paraId="782E9442">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6、推动能源、工业、建筑、交通、居民生活等重点领域绿色低碳转型。</w:t>
            </w:r>
          </w:p>
        </w:tc>
        <w:tc>
          <w:tcPr>
            <w:tcW w:w="2268" w:type="dxa"/>
            <w:shd w:val="clear" w:color="auto" w:fill="auto"/>
            <w:vAlign w:val="center"/>
          </w:tcPr>
          <w:p w14:paraId="0CD2804B">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合理布局工业、商业、居住、科教等功能区块，严格控制噪声、恶臭、油烟等污染排放较大的建设项目布局。</w:t>
            </w:r>
          </w:p>
        </w:tc>
        <w:tc>
          <w:tcPr>
            <w:tcW w:w="1559" w:type="dxa"/>
            <w:shd w:val="clear" w:color="auto" w:fill="auto"/>
            <w:vAlign w:val="center"/>
          </w:tcPr>
          <w:p w14:paraId="52BBBD6B">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1、全面开展节水型社会建设，推进节水产品推广普及，限制高耗水服务业用水，推进生活节水降损，实施城市供水管网优化改造。</w:t>
            </w:r>
          </w:p>
        </w:tc>
      </w:tr>
      <w:tr w14:paraId="0F61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5CE872C1">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ZH33048320013</w:t>
            </w:r>
          </w:p>
        </w:tc>
        <w:tc>
          <w:tcPr>
            <w:tcW w:w="1214" w:type="dxa"/>
            <w:vAlign w:val="center"/>
          </w:tcPr>
          <w:p w14:paraId="3D9745DC">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浙江省嘉兴市桐乡市大麻镇生活重点管控单元</w:t>
            </w:r>
          </w:p>
        </w:tc>
        <w:tc>
          <w:tcPr>
            <w:tcW w:w="709" w:type="dxa"/>
            <w:vAlign w:val="center"/>
          </w:tcPr>
          <w:p w14:paraId="3C6EB648">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189DA5A7">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2.6583</w:t>
            </w:r>
          </w:p>
        </w:tc>
        <w:tc>
          <w:tcPr>
            <w:tcW w:w="3543" w:type="dxa"/>
            <w:shd w:val="clear" w:color="auto" w:fill="auto"/>
            <w:vAlign w:val="center"/>
          </w:tcPr>
          <w:p w14:paraId="0F365829">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1、禁止新建、扩建三类工业项目，现有三类工业项目改建不得增加污染物排放总量，鼓励现有三类工业迁出或关闭。</w:t>
            </w:r>
            <w:r>
              <w:rPr>
                <w:rFonts w:hint="eastAsia" w:ascii="Times New Roman" w:hAnsi="Times New Roman" w:eastAsia="宋体"/>
                <w:color w:val="auto"/>
                <w:sz w:val="20"/>
              </w:rPr>
              <w:br w:type="textWrapping"/>
            </w:r>
            <w:r>
              <w:rPr>
                <w:rFonts w:hint="eastAsia" w:ascii="Times New Roman" w:hAnsi="Times New Roman" w:eastAsia="宋体"/>
                <w:color w:val="auto"/>
                <w:sz w:val="20"/>
              </w:rPr>
              <w:t>2、</w:t>
            </w:r>
            <w:r>
              <w:rPr>
                <w:rFonts w:ascii="Times New Roman" w:hAnsi="Times New Roman" w:eastAsia="宋体"/>
                <w:color w:val="auto"/>
                <w:sz w:val="20"/>
              </w:rPr>
              <w:t>禁止新建涉及一类重金属、重点行业重点重金属污染物、持久性有机污染物排放</w:t>
            </w:r>
            <w:r>
              <w:rPr>
                <w:rFonts w:hint="eastAsia" w:ascii="Times New Roman" w:hAnsi="Times New Roman" w:eastAsia="宋体"/>
                <w:color w:val="auto"/>
                <w:sz w:val="20"/>
              </w:rPr>
              <w:t>等环境健康风险较大的二类工业项目。除工业功能区（小微园区、工业集聚点）外，原则上禁止新建其他二类工业项目。现有二类工业项目改建、扩建，不得增加用地规模，不得新增控制单元污染物排放总量。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3、新建涉VOCs排放的工业企业全部入园区，严格执行相关污染物排放量削减替代管理要求。</w:t>
            </w:r>
            <w:r>
              <w:rPr>
                <w:rFonts w:hint="eastAsia" w:ascii="Times New Roman" w:hAnsi="Times New Roman" w:eastAsia="宋体"/>
                <w:color w:val="auto"/>
                <w:sz w:val="20"/>
              </w:rPr>
              <w:br w:type="textWrapping"/>
            </w:r>
            <w:r>
              <w:rPr>
                <w:rFonts w:hint="eastAsia" w:ascii="Times New Roman" w:hAnsi="Times New Roman" w:eastAsia="宋体"/>
                <w:color w:val="auto"/>
                <w:sz w:val="20"/>
              </w:rPr>
              <w:t>4、推进城镇绿廊建设，协同建设区域生态网络和绿道体系，建立城镇生态空间与区域生态空间的有机联系。</w:t>
            </w:r>
          </w:p>
          <w:p w14:paraId="0B4BA6BB">
            <w:pPr>
              <w:spacing w:line="280" w:lineRule="exact"/>
              <w:jc w:val="left"/>
              <w:rPr>
                <w:rFonts w:ascii="Times New Roman" w:hAnsi="Times New Roman" w:eastAsia="宋体" w:cs="Times New Roman"/>
                <w:color w:val="auto"/>
                <w:sz w:val="20"/>
              </w:rPr>
            </w:pPr>
            <w:r>
              <w:rPr>
                <w:rFonts w:ascii="Times New Roman" w:hAnsi="Times New Roman" w:eastAsia="宋体" w:cs="Times New Roman"/>
                <w:color w:val="auto"/>
                <w:sz w:val="20"/>
              </w:rPr>
              <w:t>5</w:t>
            </w:r>
            <w:r>
              <w:rPr>
                <w:rFonts w:hint="eastAsia" w:ascii="Times New Roman" w:hAnsi="Times New Roman" w:eastAsia="宋体" w:cs="Times New Roman"/>
                <w:color w:val="auto"/>
                <w:sz w:val="20"/>
              </w:rPr>
              <w:t>、推进既有建筑绿色化改造，高质量发展零碳低耗绿色建筑。</w:t>
            </w:r>
          </w:p>
        </w:tc>
        <w:tc>
          <w:tcPr>
            <w:tcW w:w="1985" w:type="dxa"/>
            <w:shd w:val="clear" w:color="auto" w:fill="auto"/>
            <w:vAlign w:val="center"/>
          </w:tcPr>
          <w:p w14:paraId="6FE80642">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1、严格实施污染物总量控制制度，根据区域环境质量改善目标，削减污染物排放总量。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2、污水收集管网范围内，禁止新建除城镇污水处理设施外的</w:t>
            </w:r>
            <w:r>
              <w:rPr>
                <w:rFonts w:ascii="Times New Roman" w:hAnsi="Times New Roman" w:eastAsia="宋体"/>
                <w:color w:val="auto"/>
                <w:sz w:val="20"/>
              </w:rPr>
              <w:t>入河入海排污口</w:t>
            </w:r>
            <w:r>
              <w:rPr>
                <w:rFonts w:hint="eastAsia" w:ascii="Times New Roman" w:hAnsi="Times New Roman" w:eastAsia="宋体"/>
                <w:color w:val="auto"/>
                <w:sz w:val="20"/>
              </w:rPr>
              <w:t>，现有的</w:t>
            </w:r>
            <w:r>
              <w:rPr>
                <w:rFonts w:ascii="Times New Roman" w:hAnsi="Times New Roman" w:eastAsia="宋体"/>
                <w:color w:val="auto"/>
                <w:sz w:val="20"/>
              </w:rPr>
              <w:t>入河入海排污口</w:t>
            </w:r>
            <w:r>
              <w:rPr>
                <w:rFonts w:hint="eastAsia" w:ascii="Times New Roman" w:hAnsi="Times New Roman" w:eastAsia="宋体"/>
                <w:color w:val="auto"/>
                <w:sz w:val="20"/>
              </w:rPr>
              <w:t>应限期拆除。但相关法律法规和标准规定必须单独设置排污口的除外。</w:t>
            </w:r>
            <w:r>
              <w:rPr>
                <w:rFonts w:hint="eastAsia" w:ascii="Times New Roman" w:hAnsi="Times New Roman" w:eastAsia="宋体"/>
                <w:color w:val="auto"/>
                <w:sz w:val="20"/>
              </w:rPr>
              <w:br w:type="textWrapping"/>
            </w:r>
            <w:r>
              <w:rPr>
                <w:rFonts w:hint="eastAsia" w:ascii="Times New Roman" w:hAnsi="Times New Roman" w:eastAsia="宋体"/>
                <w:color w:val="auto"/>
                <w:sz w:val="20"/>
              </w:rPr>
              <w:t>3、加快污水处理设施建设与提标改造，加快完善城乡污水管网，加强对现有雨污合流管网的分流改造，</w:t>
            </w:r>
            <w:r>
              <w:rPr>
                <w:rFonts w:ascii="Times New Roman" w:hAnsi="Times New Roman" w:eastAsia="宋体"/>
                <w:color w:val="auto"/>
                <w:sz w:val="20"/>
              </w:rPr>
              <w:t>深化城镇“污水零直排区”建设。</w:t>
            </w:r>
            <w:r>
              <w:rPr>
                <w:rFonts w:hint="eastAsia" w:ascii="Times New Roman" w:hAnsi="Times New Roman" w:eastAsia="宋体"/>
                <w:color w:val="auto"/>
                <w:sz w:val="20"/>
              </w:rPr>
              <w:br w:type="textWrapping"/>
            </w:r>
            <w:r>
              <w:rPr>
                <w:rFonts w:hint="eastAsia" w:ascii="Times New Roman" w:hAnsi="Times New Roman" w:eastAsia="宋体"/>
                <w:color w:val="auto"/>
                <w:sz w:val="20"/>
              </w:rPr>
              <w:t>4、加强噪声和臭气异味防治，强化餐饮油烟治理，严格施工扬尘监管，依法严禁秸秆、垃圾等露天焚烧。</w:t>
            </w:r>
            <w:r>
              <w:rPr>
                <w:rFonts w:hint="eastAsia" w:ascii="Times New Roman" w:hAnsi="Times New Roman" w:eastAsia="宋体"/>
                <w:color w:val="auto"/>
                <w:sz w:val="20"/>
              </w:rPr>
              <w:br w:type="textWrapping"/>
            </w:r>
            <w:r>
              <w:rPr>
                <w:rFonts w:ascii="Times New Roman" w:hAnsi="Times New Roman" w:eastAsia="宋体"/>
                <w:color w:val="auto"/>
                <w:sz w:val="20"/>
              </w:rPr>
              <w:t>5</w:t>
            </w:r>
            <w:r>
              <w:rPr>
                <w:rFonts w:hint="eastAsia" w:ascii="Times New Roman" w:hAnsi="Times New Roman" w:eastAsia="宋体"/>
                <w:color w:val="auto"/>
                <w:sz w:val="20"/>
              </w:rPr>
              <w:t>、加强土壤和地下水污染防治与修复。</w:t>
            </w:r>
          </w:p>
          <w:p w14:paraId="4566E332">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6、推动能源、工业、建筑、交通、居民生活等重点领域绿色低碳转型。</w:t>
            </w:r>
          </w:p>
        </w:tc>
        <w:tc>
          <w:tcPr>
            <w:tcW w:w="2268" w:type="dxa"/>
            <w:shd w:val="clear" w:color="auto" w:fill="auto"/>
            <w:vAlign w:val="center"/>
          </w:tcPr>
          <w:p w14:paraId="5531A3D4">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合理布局工业、商业、居住、科教等功能区块，严格控制噪声、恶臭、油烟等污染排放较大的建设项目布局。</w:t>
            </w:r>
          </w:p>
        </w:tc>
        <w:tc>
          <w:tcPr>
            <w:tcW w:w="1559" w:type="dxa"/>
            <w:shd w:val="clear" w:color="auto" w:fill="auto"/>
            <w:vAlign w:val="center"/>
          </w:tcPr>
          <w:p w14:paraId="261D6A37">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1、全面开展节水型社会建设，推进节水产品推广普及，限制高耗水服务业用水，推进生活节水降损，实施城市供水管网优化改造。</w:t>
            </w:r>
          </w:p>
        </w:tc>
      </w:tr>
      <w:tr w14:paraId="342F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3FBC8140">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ZH33048320014</w:t>
            </w:r>
          </w:p>
        </w:tc>
        <w:tc>
          <w:tcPr>
            <w:tcW w:w="1214" w:type="dxa"/>
            <w:vAlign w:val="center"/>
          </w:tcPr>
          <w:p w14:paraId="399D54A8">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浙江省嘉兴市桐乡市崇福镇生活重点管控单元</w:t>
            </w:r>
          </w:p>
        </w:tc>
        <w:tc>
          <w:tcPr>
            <w:tcW w:w="709" w:type="dxa"/>
            <w:vAlign w:val="center"/>
          </w:tcPr>
          <w:p w14:paraId="41FA2971">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67E70BC8">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14.3240</w:t>
            </w:r>
          </w:p>
        </w:tc>
        <w:tc>
          <w:tcPr>
            <w:tcW w:w="3543" w:type="dxa"/>
            <w:shd w:val="clear" w:color="auto" w:fill="auto"/>
            <w:vAlign w:val="center"/>
          </w:tcPr>
          <w:p w14:paraId="71884513">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1、禁止新建、扩建三类工业项目，现有三类工业项目改建不得增加污染物排放总量，鼓励现有三类工业迁出或关闭。</w:t>
            </w:r>
            <w:r>
              <w:rPr>
                <w:rFonts w:hint="eastAsia" w:ascii="Times New Roman" w:hAnsi="Times New Roman" w:eastAsia="宋体"/>
                <w:color w:val="auto"/>
                <w:sz w:val="20"/>
              </w:rPr>
              <w:br w:type="textWrapping"/>
            </w:r>
            <w:r>
              <w:rPr>
                <w:rFonts w:hint="eastAsia" w:ascii="Times New Roman" w:hAnsi="Times New Roman" w:eastAsia="宋体"/>
                <w:color w:val="auto"/>
                <w:sz w:val="20"/>
              </w:rPr>
              <w:t>2、</w:t>
            </w:r>
            <w:r>
              <w:rPr>
                <w:rFonts w:ascii="Times New Roman" w:hAnsi="Times New Roman" w:eastAsia="宋体"/>
                <w:color w:val="auto"/>
                <w:sz w:val="20"/>
              </w:rPr>
              <w:t>禁止新建涉及一类重金属、重点行业重点重金属污染物、持久性有机污染物排放</w:t>
            </w:r>
            <w:r>
              <w:rPr>
                <w:rFonts w:hint="eastAsia" w:ascii="Times New Roman" w:hAnsi="Times New Roman" w:eastAsia="宋体"/>
                <w:color w:val="auto"/>
                <w:sz w:val="20"/>
              </w:rPr>
              <w:t>等环境健康风险较大的二类工业项目。除工业功能区（小微园区、工业集聚点）外，原则上禁止新建其他二类工业项目。现有二类工业项目改建、扩建，不得增加用地规模，不得新增控制单元污染物排放总量。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3、新建涉VOCs排放的工业企业全部入园区，严格执行相关污染物排放量削减替代管理要求。</w:t>
            </w:r>
            <w:r>
              <w:rPr>
                <w:rFonts w:hint="eastAsia" w:ascii="Times New Roman" w:hAnsi="Times New Roman" w:eastAsia="宋体"/>
                <w:color w:val="auto"/>
                <w:sz w:val="20"/>
              </w:rPr>
              <w:br w:type="textWrapping"/>
            </w:r>
            <w:r>
              <w:rPr>
                <w:rFonts w:hint="eastAsia" w:ascii="Times New Roman" w:hAnsi="Times New Roman" w:eastAsia="宋体"/>
                <w:color w:val="auto"/>
                <w:sz w:val="20"/>
              </w:rPr>
              <w:t>4、推进城镇绿廊建设，协同建设区域生态网络和绿道体系，建立城镇生态空间与区域生态空间的有机联系。</w:t>
            </w:r>
          </w:p>
          <w:p w14:paraId="7E2DB14F">
            <w:pPr>
              <w:spacing w:line="280" w:lineRule="exact"/>
              <w:jc w:val="left"/>
              <w:rPr>
                <w:rFonts w:ascii="Times New Roman" w:hAnsi="Times New Roman" w:eastAsia="宋体" w:cs="Times New Roman"/>
                <w:color w:val="auto"/>
                <w:sz w:val="20"/>
              </w:rPr>
            </w:pPr>
            <w:r>
              <w:rPr>
                <w:rFonts w:ascii="Times New Roman" w:hAnsi="Times New Roman" w:eastAsia="宋体" w:cs="Times New Roman"/>
                <w:color w:val="auto"/>
                <w:sz w:val="20"/>
              </w:rPr>
              <w:t>5</w:t>
            </w:r>
            <w:r>
              <w:rPr>
                <w:rFonts w:hint="eastAsia" w:ascii="Times New Roman" w:hAnsi="Times New Roman" w:eastAsia="宋体" w:cs="Times New Roman"/>
                <w:color w:val="auto"/>
                <w:sz w:val="20"/>
              </w:rPr>
              <w:t>、推进既有建筑绿色化改造，高质量发展零碳低耗绿色建筑。</w:t>
            </w:r>
          </w:p>
        </w:tc>
        <w:tc>
          <w:tcPr>
            <w:tcW w:w="1985" w:type="dxa"/>
            <w:shd w:val="clear" w:color="auto" w:fill="auto"/>
            <w:vAlign w:val="center"/>
          </w:tcPr>
          <w:p w14:paraId="2C6A425F">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1、严格实施污染物总量控制制度，根据区域环境质量改善目标，削减污染物排放总量。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2、污水收集管网范围内，禁止新建除城镇污水处理设施外的</w:t>
            </w:r>
            <w:r>
              <w:rPr>
                <w:rFonts w:ascii="Times New Roman" w:hAnsi="Times New Roman" w:eastAsia="宋体"/>
                <w:color w:val="auto"/>
                <w:sz w:val="20"/>
              </w:rPr>
              <w:t>入河入海排污口</w:t>
            </w:r>
            <w:r>
              <w:rPr>
                <w:rFonts w:hint="eastAsia" w:ascii="Times New Roman" w:hAnsi="Times New Roman" w:eastAsia="宋体"/>
                <w:color w:val="auto"/>
                <w:sz w:val="20"/>
              </w:rPr>
              <w:t>，现有的</w:t>
            </w:r>
            <w:r>
              <w:rPr>
                <w:rFonts w:ascii="Times New Roman" w:hAnsi="Times New Roman" w:eastAsia="宋体"/>
                <w:color w:val="auto"/>
                <w:sz w:val="20"/>
              </w:rPr>
              <w:t>入河入海排污口</w:t>
            </w:r>
            <w:r>
              <w:rPr>
                <w:rFonts w:hint="eastAsia" w:ascii="Times New Roman" w:hAnsi="Times New Roman" w:eastAsia="宋体"/>
                <w:color w:val="auto"/>
                <w:sz w:val="20"/>
              </w:rPr>
              <w:t>应限期拆除。但相关法律法规和标准规定必须单独设置排污口的除外。</w:t>
            </w:r>
            <w:r>
              <w:rPr>
                <w:rFonts w:hint="eastAsia" w:ascii="Times New Roman" w:hAnsi="Times New Roman" w:eastAsia="宋体"/>
                <w:color w:val="auto"/>
                <w:sz w:val="20"/>
              </w:rPr>
              <w:br w:type="textWrapping"/>
            </w:r>
            <w:r>
              <w:rPr>
                <w:rFonts w:hint="eastAsia" w:ascii="Times New Roman" w:hAnsi="Times New Roman" w:eastAsia="宋体"/>
                <w:color w:val="auto"/>
                <w:sz w:val="20"/>
              </w:rPr>
              <w:t>3、加快污水处理设施建设与提标改造，加快完善城乡污水管网，加强对现有雨污合流管网的分流改造，</w:t>
            </w:r>
            <w:r>
              <w:rPr>
                <w:rFonts w:ascii="Times New Roman" w:hAnsi="Times New Roman" w:eastAsia="宋体"/>
                <w:color w:val="auto"/>
                <w:sz w:val="20"/>
              </w:rPr>
              <w:t>深化城镇“污水零直排区”建设。</w:t>
            </w:r>
            <w:r>
              <w:rPr>
                <w:rFonts w:hint="eastAsia" w:ascii="Times New Roman" w:hAnsi="Times New Roman" w:eastAsia="宋体"/>
                <w:color w:val="auto"/>
                <w:sz w:val="20"/>
              </w:rPr>
              <w:br w:type="textWrapping"/>
            </w:r>
            <w:r>
              <w:rPr>
                <w:rFonts w:hint="eastAsia" w:ascii="Times New Roman" w:hAnsi="Times New Roman" w:eastAsia="宋体"/>
                <w:color w:val="auto"/>
                <w:sz w:val="20"/>
              </w:rPr>
              <w:t>4、加强噪声和臭气异味防治，强化餐饮油烟治理，严格施工扬尘监管，依法严禁秸秆、垃圾等露天焚烧。</w:t>
            </w:r>
            <w:r>
              <w:rPr>
                <w:rFonts w:hint="eastAsia" w:ascii="Times New Roman" w:hAnsi="Times New Roman" w:eastAsia="宋体"/>
                <w:color w:val="auto"/>
                <w:sz w:val="20"/>
              </w:rPr>
              <w:br w:type="textWrapping"/>
            </w:r>
            <w:r>
              <w:rPr>
                <w:rFonts w:ascii="Times New Roman" w:hAnsi="Times New Roman" w:eastAsia="宋体"/>
                <w:color w:val="auto"/>
                <w:sz w:val="20"/>
              </w:rPr>
              <w:t>5</w:t>
            </w:r>
            <w:r>
              <w:rPr>
                <w:rFonts w:hint="eastAsia" w:ascii="Times New Roman" w:hAnsi="Times New Roman" w:eastAsia="宋体"/>
                <w:color w:val="auto"/>
                <w:sz w:val="20"/>
              </w:rPr>
              <w:t>、加强土壤和地下水污染防治与修复。</w:t>
            </w:r>
          </w:p>
          <w:p w14:paraId="628D6EAC">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6、推动能源、工业、建筑、交通、居民生活等重点领域绿色低碳转型。</w:t>
            </w:r>
          </w:p>
        </w:tc>
        <w:tc>
          <w:tcPr>
            <w:tcW w:w="2268" w:type="dxa"/>
            <w:shd w:val="clear" w:color="auto" w:fill="auto"/>
            <w:vAlign w:val="center"/>
          </w:tcPr>
          <w:p w14:paraId="59BFEFB7">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合理布局工业、商业、居住、科教等功能区块，严格控制噪声、恶臭、油烟等污染排放较大的建设项目布局。</w:t>
            </w:r>
          </w:p>
        </w:tc>
        <w:tc>
          <w:tcPr>
            <w:tcW w:w="1559" w:type="dxa"/>
            <w:shd w:val="clear" w:color="auto" w:fill="auto"/>
            <w:vAlign w:val="center"/>
          </w:tcPr>
          <w:p w14:paraId="1CE07FF1">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1、全面开展节水型社会建设，推进节水产品推广普及，限制高耗水服务业用水，推进生活节水降损，实施城市供水管网优化改造。</w:t>
            </w:r>
          </w:p>
        </w:tc>
      </w:tr>
      <w:tr w14:paraId="6F42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640C57DD">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ZH33048320015</w:t>
            </w:r>
          </w:p>
        </w:tc>
        <w:tc>
          <w:tcPr>
            <w:tcW w:w="1214" w:type="dxa"/>
            <w:vAlign w:val="center"/>
          </w:tcPr>
          <w:p w14:paraId="0797EC34">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浙江省嘉兴市桐乡市洲泉镇生活重点管控单元</w:t>
            </w:r>
          </w:p>
        </w:tc>
        <w:tc>
          <w:tcPr>
            <w:tcW w:w="709" w:type="dxa"/>
            <w:vAlign w:val="center"/>
          </w:tcPr>
          <w:p w14:paraId="74D83493">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486B240C">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6.6918</w:t>
            </w:r>
          </w:p>
        </w:tc>
        <w:tc>
          <w:tcPr>
            <w:tcW w:w="3543" w:type="dxa"/>
            <w:shd w:val="clear" w:color="auto" w:fill="auto"/>
            <w:vAlign w:val="center"/>
          </w:tcPr>
          <w:p w14:paraId="29B08BC9">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1、禁止新建、扩建三类工业项目，现有三类工业项目改建不得增加污染物排放总量，鼓励现有三类工业迁出或关闭。</w:t>
            </w:r>
            <w:r>
              <w:rPr>
                <w:rFonts w:hint="eastAsia" w:ascii="Times New Roman" w:hAnsi="Times New Roman" w:eastAsia="宋体"/>
                <w:color w:val="auto"/>
                <w:sz w:val="20"/>
              </w:rPr>
              <w:br w:type="textWrapping"/>
            </w:r>
            <w:r>
              <w:rPr>
                <w:rFonts w:hint="eastAsia" w:ascii="Times New Roman" w:hAnsi="Times New Roman" w:eastAsia="宋体"/>
                <w:color w:val="auto"/>
                <w:sz w:val="20"/>
              </w:rPr>
              <w:t>2、</w:t>
            </w:r>
            <w:r>
              <w:rPr>
                <w:rFonts w:ascii="Times New Roman" w:hAnsi="Times New Roman" w:eastAsia="宋体"/>
                <w:color w:val="auto"/>
                <w:sz w:val="20"/>
              </w:rPr>
              <w:t>禁止新建涉及一类重金属、重点行业重点重金属污染物、持久性有机污染物排放</w:t>
            </w:r>
            <w:r>
              <w:rPr>
                <w:rFonts w:hint="eastAsia" w:ascii="Times New Roman" w:hAnsi="Times New Roman" w:eastAsia="宋体"/>
                <w:color w:val="auto"/>
                <w:sz w:val="20"/>
              </w:rPr>
              <w:t>等环境健康风险较大的二类工业项目。除工业功能区（小微园区、工业集聚点）外，原则上禁止新建其他二类工业项目。现有二类工业项目改建、扩建，不得增加用地规模，不得新增控制单元污染物排放总量。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3、新建涉VOCs排放的工业企业全部入园区，严格执行相关污染物排放量削减替代管理要求。</w:t>
            </w:r>
            <w:r>
              <w:rPr>
                <w:rFonts w:hint="eastAsia" w:ascii="Times New Roman" w:hAnsi="Times New Roman" w:eastAsia="宋体"/>
                <w:color w:val="auto"/>
                <w:sz w:val="20"/>
              </w:rPr>
              <w:br w:type="textWrapping"/>
            </w:r>
            <w:r>
              <w:rPr>
                <w:rFonts w:hint="eastAsia" w:ascii="Times New Roman" w:hAnsi="Times New Roman" w:eastAsia="宋体"/>
                <w:color w:val="auto"/>
                <w:sz w:val="20"/>
              </w:rPr>
              <w:t>4、推进城镇绿廊建设，协同建设区域生态网络和绿道体系，建立城镇生态空间与区域生态空间的有机联系。</w:t>
            </w:r>
          </w:p>
          <w:p w14:paraId="018858B5">
            <w:pPr>
              <w:spacing w:line="280" w:lineRule="exact"/>
              <w:jc w:val="left"/>
              <w:rPr>
                <w:rFonts w:ascii="Times New Roman" w:hAnsi="Times New Roman" w:eastAsia="宋体" w:cs="Times New Roman"/>
                <w:color w:val="auto"/>
                <w:sz w:val="20"/>
              </w:rPr>
            </w:pPr>
            <w:r>
              <w:rPr>
                <w:rFonts w:ascii="Times New Roman" w:hAnsi="Times New Roman" w:eastAsia="宋体" w:cs="Times New Roman"/>
                <w:color w:val="auto"/>
                <w:sz w:val="20"/>
              </w:rPr>
              <w:t>5</w:t>
            </w:r>
            <w:r>
              <w:rPr>
                <w:rFonts w:hint="eastAsia" w:ascii="Times New Roman" w:hAnsi="Times New Roman" w:eastAsia="宋体" w:cs="Times New Roman"/>
                <w:color w:val="auto"/>
                <w:sz w:val="20"/>
              </w:rPr>
              <w:t>、推进既有建筑绿色化改造，高质量发展零碳低耗绿色建筑。</w:t>
            </w:r>
          </w:p>
        </w:tc>
        <w:tc>
          <w:tcPr>
            <w:tcW w:w="1985" w:type="dxa"/>
            <w:shd w:val="clear" w:color="auto" w:fill="auto"/>
            <w:vAlign w:val="center"/>
          </w:tcPr>
          <w:p w14:paraId="459FBED3">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1、严格实施污染物总量控制制度，根据区域环境质量改善目标，削减污染物排放总量。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2、污水收集管网范围内，禁止新建除城镇污水处理设施外的</w:t>
            </w:r>
            <w:r>
              <w:rPr>
                <w:rFonts w:ascii="Times New Roman" w:hAnsi="Times New Roman" w:eastAsia="宋体"/>
                <w:color w:val="auto"/>
                <w:sz w:val="20"/>
              </w:rPr>
              <w:t>入河入海排污口</w:t>
            </w:r>
            <w:r>
              <w:rPr>
                <w:rFonts w:hint="eastAsia" w:ascii="Times New Roman" w:hAnsi="Times New Roman" w:eastAsia="宋体"/>
                <w:color w:val="auto"/>
                <w:sz w:val="20"/>
              </w:rPr>
              <w:t>，现有的</w:t>
            </w:r>
            <w:r>
              <w:rPr>
                <w:rFonts w:ascii="Times New Roman" w:hAnsi="Times New Roman" w:eastAsia="宋体"/>
                <w:color w:val="auto"/>
                <w:sz w:val="20"/>
              </w:rPr>
              <w:t>入河入海排污口</w:t>
            </w:r>
            <w:r>
              <w:rPr>
                <w:rFonts w:hint="eastAsia" w:ascii="Times New Roman" w:hAnsi="Times New Roman" w:eastAsia="宋体"/>
                <w:color w:val="auto"/>
                <w:sz w:val="20"/>
              </w:rPr>
              <w:t>应限期拆除。但相关法律法规和标准规定必须单独设置排污口的除外。</w:t>
            </w:r>
            <w:r>
              <w:rPr>
                <w:rFonts w:hint="eastAsia" w:ascii="Times New Roman" w:hAnsi="Times New Roman" w:eastAsia="宋体"/>
                <w:color w:val="auto"/>
                <w:sz w:val="20"/>
              </w:rPr>
              <w:br w:type="textWrapping"/>
            </w:r>
            <w:r>
              <w:rPr>
                <w:rFonts w:hint="eastAsia" w:ascii="Times New Roman" w:hAnsi="Times New Roman" w:eastAsia="宋体"/>
                <w:color w:val="auto"/>
                <w:sz w:val="20"/>
              </w:rPr>
              <w:t>3、加快污水处理设施建设与提标改造，加快完善城乡污水管网，加强对现有雨污合流管网的分流改造，</w:t>
            </w:r>
            <w:r>
              <w:rPr>
                <w:rFonts w:ascii="Times New Roman" w:hAnsi="Times New Roman" w:eastAsia="宋体"/>
                <w:color w:val="auto"/>
                <w:sz w:val="20"/>
              </w:rPr>
              <w:t>深化城镇“污水零直排区”建设。</w:t>
            </w:r>
            <w:r>
              <w:rPr>
                <w:rFonts w:hint="eastAsia" w:ascii="Times New Roman" w:hAnsi="Times New Roman" w:eastAsia="宋体"/>
                <w:color w:val="auto"/>
                <w:sz w:val="20"/>
              </w:rPr>
              <w:br w:type="textWrapping"/>
            </w:r>
            <w:r>
              <w:rPr>
                <w:rFonts w:hint="eastAsia" w:ascii="Times New Roman" w:hAnsi="Times New Roman" w:eastAsia="宋体"/>
                <w:color w:val="auto"/>
                <w:sz w:val="20"/>
              </w:rPr>
              <w:t>4、加强噪声和臭气异味防治，强化餐饮油烟治理，严格施工扬尘监管，依法严禁秸秆、垃圾等露天焚烧。</w:t>
            </w:r>
            <w:r>
              <w:rPr>
                <w:rFonts w:hint="eastAsia" w:ascii="Times New Roman" w:hAnsi="Times New Roman" w:eastAsia="宋体"/>
                <w:color w:val="auto"/>
                <w:sz w:val="20"/>
              </w:rPr>
              <w:br w:type="textWrapping"/>
            </w:r>
            <w:r>
              <w:rPr>
                <w:rFonts w:hint="eastAsia" w:ascii="Times New Roman" w:hAnsi="Times New Roman" w:eastAsia="宋体"/>
                <w:color w:val="auto"/>
                <w:sz w:val="20"/>
              </w:rPr>
              <w:t>5、加强土壤和地下水污染防治与修复。</w:t>
            </w:r>
          </w:p>
          <w:p w14:paraId="3A4FB97A">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6、推动能源、工业、建筑、交通、居民生活等重点领域绿色低碳转型。</w:t>
            </w:r>
          </w:p>
        </w:tc>
        <w:tc>
          <w:tcPr>
            <w:tcW w:w="2268" w:type="dxa"/>
            <w:shd w:val="clear" w:color="auto" w:fill="auto"/>
            <w:vAlign w:val="center"/>
          </w:tcPr>
          <w:p w14:paraId="4AA93777">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合理布局工业、商业、居住、科教等功能区块，严格控制噪声、恶臭、油烟等污染排放较大的建设项目布局。</w:t>
            </w:r>
          </w:p>
        </w:tc>
        <w:tc>
          <w:tcPr>
            <w:tcW w:w="1559" w:type="dxa"/>
            <w:shd w:val="clear" w:color="auto" w:fill="auto"/>
            <w:vAlign w:val="center"/>
          </w:tcPr>
          <w:p w14:paraId="358E2298">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1、全面开展节水型社会建设，推进节水产品推广普及，限制高耗水服务业用水，推进生活节水降损，实施城市供水管网优化改造。</w:t>
            </w:r>
          </w:p>
        </w:tc>
      </w:tr>
      <w:tr w14:paraId="4382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4AD43F46">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ZH33048320016</w:t>
            </w:r>
          </w:p>
        </w:tc>
        <w:tc>
          <w:tcPr>
            <w:tcW w:w="1214" w:type="dxa"/>
            <w:vAlign w:val="center"/>
          </w:tcPr>
          <w:p w14:paraId="5D304A82">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浙江省嘉兴市桐乡市石门镇生活重点管控单元</w:t>
            </w:r>
          </w:p>
        </w:tc>
        <w:tc>
          <w:tcPr>
            <w:tcW w:w="709" w:type="dxa"/>
            <w:vAlign w:val="center"/>
          </w:tcPr>
          <w:p w14:paraId="3C5B596C">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57AB1635">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4.5136</w:t>
            </w:r>
          </w:p>
        </w:tc>
        <w:tc>
          <w:tcPr>
            <w:tcW w:w="3543" w:type="dxa"/>
            <w:shd w:val="clear" w:color="auto" w:fill="auto"/>
            <w:vAlign w:val="center"/>
          </w:tcPr>
          <w:p w14:paraId="18E6D145">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1、禁止新建、扩建三类工业项目，现有三类工业项目改建不得增加污染物排放总量，鼓励现有三类工业迁出或关闭。</w:t>
            </w:r>
            <w:r>
              <w:rPr>
                <w:rFonts w:hint="eastAsia" w:ascii="Times New Roman" w:hAnsi="Times New Roman" w:eastAsia="宋体"/>
                <w:color w:val="auto"/>
                <w:sz w:val="20"/>
              </w:rPr>
              <w:br w:type="textWrapping"/>
            </w:r>
            <w:r>
              <w:rPr>
                <w:rFonts w:hint="eastAsia" w:ascii="Times New Roman" w:hAnsi="Times New Roman" w:eastAsia="宋体"/>
                <w:color w:val="auto"/>
                <w:sz w:val="20"/>
              </w:rPr>
              <w:t>2、</w:t>
            </w:r>
            <w:r>
              <w:rPr>
                <w:rFonts w:ascii="Times New Roman" w:hAnsi="Times New Roman" w:eastAsia="宋体"/>
                <w:color w:val="auto"/>
                <w:sz w:val="20"/>
              </w:rPr>
              <w:t>禁止新建涉及一类重金属、重点行业重点重金属污染物、持久性有机污染物排放</w:t>
            </w:r>
            <w:r>
              <w:rPr>
                <w:rFonts w:hint="eastAsia" w:ascii="Times New Roman" w:hAnsi="Times New Roman" w:eastAsia="宋体"/>
                <w:color w:val="auto"/>
                <w:sz w:val="20"/>
              </w:rPr>
              <w:t>等环境健康风险较大的二类工业项目。除工业功能区（小微园区、工业集聚点）外，原则上禁止新建其他二类工业项目。现有二类工业项目改建、扩建，不得增加用地规模，不得新增控制单元污染物排放总量。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3、新建涉VOCs排放的工业企业全部入园区，严格执行相关污染物排放量削减替代管理要求。</w:t>
            </w:r>
            <w:r>
              <w:rPr>
                <w:rFonts w:hint="eastAsia" w:ascii="Times New Roman" w:hAnsi="Times New Roman" w:eastAsia="宋体"/>
                <w:color w:val="auto"/>
                <w:sz w:val="20"/>
              </w:rPr>
              <w:br w:type="textWrapping"/>
            </w:r>
            <w:r>
              <w:rPr>
                <w:rFonts w:hint="eastAsia" w:ascii="Times New Roman" w:hAnsi="Times New Roman" w:eastAsia="宋体"/>
                <w:color w:val="auto"/>
                <w:sz w:val="20"/>
              </w:rPr>
              <w:t>4、推进城镇绿廊建设，协同建设区域生态网络和绿道体系，建立城镇生态空间与区域生态空间的有机联系。</w:t>
            </w:r>
          </w:p>
          <w:p w14:paraId="6E0E7EFF">
            <w:pPr>
              <w:spacing w:line="280" w:lineRule="exact"/>
              <w:jc w:val="left"/>
              <w:rPr>
                <w:rFonts w:ascii="Times New Roman" w:hAnsi="Times New Roman" w:eastAsia="宋体" w:cs="Times New Roman"/>
                <w:color w:val="auto"/>
                <w:sz w:val="20"/>
              </w:rPr>
            </w:pPr>
            <w:r>
              <w:rPr>
                <w:rFonts w:ascii="Times New Roman" w:hAnsi="Times New Roman" w:eastAsia="宋体" w:cs="Times New Roman"/>
                <w:color w:val="auto"/>
                <w:sz w:val="20"/>
              </w:rPr>
              <w:t>5</w:t>
            </w:r>
            <w:r>
              <w:rPr>
                <w:rFonts w:hint="eastAsia" w:ascii="Times New Roman" w:hAnsi="Times New Roman" w:eastAsia="宋体" w:cs="Times New Roman"/>
                <w:color w:val="auto"/>
                <w:sz w:val="20"/>
              </w:rPr>
              <w:t>、推进既有建筑绿色化改造，高质量发展零碳低耗绿色建筑。</w:t>
            </w:r>
          </w:p>
        </w:tc>
        <w:tc>
          <w:tcPr>
            <w:tcW w:w="1985" w:type="dxa"/>
            <w:shd w:val="clear" w:color="auto" w:fill="auto"/>
            <w:vAlign w:val="center"/>
          </w:tcPr>
          <w:p w14:paraId="52AE8D74">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1、严格实施污染物总量控制制度，根据区域环境质量改善目标，削减污染物排放总量。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2、污水收集管网范围内，禁止新建除城镇污水处理设施外的</w:t>
            </w:r>
            <w:r>
              <w:rPr>
                <w:rFonts w:ascii="Times New Roman" w:hAnsi="Times New Roman" w:eastAsia="宋体"/>
                <w:color w:val="auto"/>
                <w:sz w:val="20"/>
              </w:rPr>
              <w:t>入河入海排污口</w:t>
            </w:r>
            <w:r>
              <w:rPr>
                <w:rFonts w:hint="eastAsia" w:ascii="Times New Roman" w:hAnsi="Times New Roman" w:eastAsia="宋体"/>
                <w:color w:val="auto"/>
                <w:sz w:val="20"/>
              </w:rPr>
              <w:t>，现有的</w:t>
            </w:r>
            <w:r>
              <w:rPr>
                <w:rFonts w:ascii="Times New Roman" w:hAnsi="Times New Roman" w:eastAsia="宋体"/>
                <w:color w:val="auto"/>
                <w:sz w:val="20"/>
              </w:rPr>
              <w:t>入河入海排污口</w:t>
            </w:r>
            <w:r>
              <w:rPr>
                <w:rFonts w:hint="eastAsia" w:ascii="Times New Roman" w:hAnsi="Times New Roman" w:eastAsia="宋体"/>
                <w:color w:val="auto"/>
                <w:sz w:val="20"/>
              </w:rPr>
              <w:t>应限期拆除。但相关法律法规和标准规定必须单独设置排污口的除外。</w:t>
            </w:r>
            <w:r>
              <w:rPr>
                <w:rFonts w:hint="eastAsia" w:ascii="Times New Roman" w:hAnsi="Times New Roman" w:eastAsia="宋体"/>
                <w:color w:val="auto"/>
                <w:sz w:val="20"/>
              </w:rPr>
              <w:br w:type="textWrapping"/>
            </w:r>
            <w:r>
              <w:rPr>
                <w:rFonts w:hint="eastAsia" w:ascii="Times New Roman" w:hAnsi="Times New Roman" w:eastAsia="宋体"/>
                <w:color w:val="auto"/>
                <w:sz w:val="20"/>
              </w:rPr>
              <w:t>3、加快污水处理设施建设与提标改造，加快完善城乡污水管网，加强对现有雨污合流管网的分流改造，</w:t>
            </w:r>
            <w:r>
              <w:rPr>
                <w:rFonts w:ascii="Times New Roman" w:hAnsi="Times New Roman" w:eastAsia="宋体"/>
                <w:color w:val="auto"/>
                <w:sz w:val="20"/>
              </w:rPr>
              <w:t>深化城镇“污水零直排区”建设。</w:t>
            </w:r>
            <w:r>
              <w:rPr>
                <w:rFonts w:hint="eastAsia" w:ascii="Times New Roman" w:hAnsi="Times New Roman" w:eastAsia="宋体"/>
                <w:color w:val="auto"/>
                <w:sz w:val="20"/>
              </w:rPr>
              <w:br w:type="textWrapping"/>
            </w:r>
            <w:r>
              <w:rPr>
                <w:rFonts w:hint="eastAsia" w:ascii="Times New Roman" w:hAnsi="Times New Roman" w:eastAsia="宋体"/>
                <w:color w:val="auto"/>
                <w:sz w:val="20"/>
              </w:rPr>
              <w:t>4、加强噪声和臭气异味防治，强化餐饮油烟治理，严格施工扬尘监管，依法严禁秸秆、垃圾等露天焚烧。</w:t>
            </w:r>
            <w:r>
              <w:rPr>
                <w:rFonts w:hint="eastAsia" w:ascii="Times New Roman" w:hAnsi="Times New Roman" w:eastAsia="宋体"/>
                <w:color w:val="auto"/>
                <w:sz w:val="20"/>
              </w:rPr>
              <w:br w:type="textWrapping"/>
            </w:r>
            <w:r>
              <w:rPr>
                <w:rFonts w:ascii="Times New Roman" w:hAnsi="Times New Roman" w:eastAsia="宋体"/>
                <w:color w:val="auto"/>
                <w:sz w:val="20"/>
              </w:rPr>
              <w:t>5</w:t>
            </w:r>
            <w:r>
              <w:rPr>
                <w:rFonts w:hint="eastAsia" w:ascii="Times New Roman" w:hAnsi="Times New Roman" w:eastAsia="宋体"/>
                <w:color w:val="auto"/>
                <w:sz w:val="20"/>
              </w:rPr>
              <w:t>、加强土壤和地下水污染防治与修复。</w:t>
            </w:r>
          </w:p>
          <w:p w14:paraId="4A4EDDCE">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6、推动能源、工业、建筑、交通、居民生活等重点领域绿色低碳转型。</w:t>
            </w:r>
          </w:p>
        </w:tc>
        <w:tc>
          <w:tcPr>
            <w:tcW w:w="2268" w:type="dxa"/>
            <w:shd w:val="clear" w:color="auto" w:fill="auto"/>
            <w:vAlign w:val="center"/>
          </w:tcPr>
          <w:p w14:paraId="21B6CDFF">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合理布局工业、商业、居住、科教等功能区块，严格控制噪声、恶臭、油烟等污染排放较大的建设项目布局。</w:t>
            </w:r>
          </w:p>
        </w:tc>
        <w:tc>
          <w:tcPr>
            <w:tcW w:w="1559" w:type="dxa"/>
            <w:shd w:val="clear" w:color="auto" w:fill="auto"/>
            <w:vAlign w:val="center"/>
          </w:tcPr>
          <w:p w14:paraId="395F9725">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1、全面开展节水型社会建设，推进节水产品推广普及，限制高耗水服务业用水，推进生活节水降损，实施城市供水管网优化改造。</w:t>
            </w:r>
          </w:p>
        </w:tc>
      </w:tr>
      <w:tr w14:paraId="02BB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14C74876">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ZH33048320017</w:t>
            </w:r>
          </w:p>
        </w:tc>
        <w:tc>
          <w:tcPr>
            <w:tcW w:w="1214" w:type="dxa"/>
            <w:vAlign w:val="center"/>
          </w:tcPr>
          <w:p w14:paraId="25719ACB">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浙江省嘉兴市桐乡市高桥街道生活重点管控单元</w:t>
            </w:r>
          </w:p>
        </w:tc>
        <w:tc>
          <w:tcPr>
            <w:tcW w:w="709" w:type="dxa"/>
            <w:vAlign w:val="center"/>
          </w:tcPr>
          <w:p w14:paraId="1A56EBA8">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19D91112">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5.6143</w:t>
            </w:r>
          </w:p>
        </w:tc>
        <w:tc>
          <w:tcPr>
            <w:tcW w:w="3543" w:type="dxa"/>
            <w:shd w:val="clear" w:color="auto" w:fill="auto"/>
            <w:vAlign w:val="center"/>
          </w:tcPr>
          <w:p w14:paraId="072956EE">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1、禁止新建、扩建三类工业项目，现有三类工业项目改建不得增加污染物排放总量，鼓励现有三类工业迁出或关闭。</w:t>
            </w:r>
            <w:r>
              <w:rPr>
                <w:rFonts w:hint="eastAsia" w:ascii="Times New Roman" w:hAnsi="Times New Roman" w:eastAsia="宋体"/>
                <w:color w:val="auto"/>
                <w:sz w:val="20"/>
              </w:rPr>
              <w:br w:type="textWrapping"/>
            </w:r>
            <w:r>
              <w:rPr>
                <w:rFonts w:hint="eastAsia" w:ascii="Times New Roman" w:hAnsi="Times New Roman" w:eastAsia="宋体"/>
                <w:color w:val="auto"/>
                <w:sz w:val="20"/>
              </w:rPr>
              <w:t>2、</w:t>
            </w:r>
            <w:r>
              <w:rPr>
                <w:rFonts w:ascii="Times New Roman" w:hAnsi="Times New Roman" w:eastAsia="宋体"/>
                <w:color w:val="auto"/>
                <w:sz w:val="20"/>
              </w:rPr>
              <w:t>禁止新建涉及一类重金属、重点行业重点重金属污染物、持久性有机污染物排放</w:t>
            </w:r>
            <w:r>
              <w:rPr>
                <w:rFonts w:hint="eastAsia" w:ascii="Times New Roman" w:hAnsi="Times New Roman" w:eastAsia="宋体"/>
                <w:color w:val="auto"/>
                <w:sz w:val="20"/>
              </w:rPr>
              <w:t>等环境健康风险较大的二类工业项目。除工业功能区（小微园区、工业集聚点）外，原则上禁止新建其他二类工业项目。现有二类工业项目改建、扩建，不得增加用地规模，不得新增控制单元污染物排放总量。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3、新建涉VOCs排放的工业企业全部入园区，严格执行相关污染物排放量削减替代管理要求。</w:t>
            </w:r>
            <w:r>
              <w:rPr>
                <w:rFonts w:hint="eastAsia" w:ascii="Times New Roman" w:hAnsi="Times New Roman" w:eastAsia="宋体"/>
                <w:color w:val="auto"/>
                <w:sz w:val="20"/>
              </w:rPr>
              <w:br w:type="textWrapping"/>
            </w:r>
            <w:r>
              <w:rPr>
                <w:rFonts w:hint="eastAsia" w:ascii="Times New Roman" w:hAnsi="Times New Roman" w:eastAsia="宋体"/>
                <w:color w:val="auto"/>
                <w:sz w:val="20"/>
              </w:rPr>
              <w:t>4、推进城镇绿廊建设，协同建设区域生态网络和绿道体系，建立城镇生态空间与区域生态空间的有机联系。</w:t>
            </w:r>
          </w:p>
          <w:p w14:paraId="53C607FB">
            <w:pPr>
              <w:spacing w:line="280" w:lineRule="exact"/>
              <w:jc w:val="left"/>
              <w:rPr>
                <w:rFonts w:ascii="Times New Roman" w:hAnsi="Times New Roman" w:eastAsia="宋体" w:cs="Times New Roman"/>
                <w:color w:val="auto"/>
                <w:sz w:val="20"/>
              </w:rPr>
            </w:pPr>
            <w:r>
              <w:rPr>
                <w:rFonts w:ascii="Times New Roman" w:hAnsi="Times New Roman" w:eastAsia="宋体" w:cs="Times New Roman"/>
                <w:color w:val="auto"/>
                <w:sz w:val="20"/>
              </w:rPr>
              <w:t>5</w:t>
            </w:r>
            <w:r>
              <w:rPr>
                <w:rFonts w:hint="eastAsia" w:ascii="Times New Roman" w:hAnsi="Times New Roman" w:eastAsia="宋体" w:cs="Times New Roman"/>
                <w:color w:val="auto"/>
                <w:sz w:val="20"/>
              </w:rPr>
              <w:t>、推进既有建筑绿色化改造，高质量发展零碳低耗绿色建筑。</w:t>
            </w:r>
          </w:p>
        </w:tc>
        <w:tc>
          <w:tcPr>
            <w:tcW w:w="1985" w:type="dxa"/>
            <w:shd w:val="clear" w:color="auto" w:fill="auto"/>
            <w:vAlign w:val="center"/>
          </w:tcPr>
          <w:p w14:paraId="3411B748">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1、严格实施污染物总量控制制度，根据区域环境质量改善目标，削减污染物排放总量。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2、污水收集管网范围内，禁止新建除城镇污水处理设施外的</w:t>
            </w:r>
            <w:r>
              <w:rPr>
                <w:rFonts w:ascii="Times New Roman" w:hAnsi="Times New Roman" w:eastAsia="宋体"/>
                <w:color w:val="auto"/>
                <w:sz w:val="20"/>
              </w:rPr>
              <w:t>入河入海排污口</w:t>
            </w:r>
            <w:r>
              <w:rPr>
                <w:rFonts w:hint="eastAsia" w:ascii="Times New Roman" w:hAnsi="Times New Roman" w:eastAsia="宋体"/>
                <w:color w:val="auto"/>
                <w:sz w:val="20"/>
              </w:rPr>
              <w:t>，现有的</w:t>
            </w:r>
            <w:r>
              <w:rPr>
                <w:rFonts w:ascii="Times New Roman" w:hAnsi="Times New Roman" w:eastAsia="宋体"/>
                <w:color w:val="auto"/>
                <w:sz w:val="20"/>
              </w:rPr>
              <w:t>入河入海排污口</w:t>
            </w:r>
            <w:r>
              <w:rPr>
                <w:rFonts w:hint="eastAsia" w:ascii="Times New Roman" w:hAnsi="Times New Roman" w:eastAsia="宋体"/>
                <w:color w:val="auto"/>
                <w:sz w:val="20"/>
              </w:rPr>
              <w:t>应限期拆除。但相关法律法规和标准规定必须单独设置排污口的除外。</w:t>
            </w:r>
            <w:r>
              <w:rPr>
                <w:rFonts w:hint="eastAsia" w:ascii="Times New Roman" w:hAnsi="Times New Roman" w:eastAsia="宋体"/>
                <w:color w:val="auto"/>
                <w:sz w:val="20"/>
              </w:rPr>
              <w:br w:type="textWrapping"/>
            </w:r>
            <w:r>
              <w:rPr>
                <w:rFonts w:hint="eastAsia" w:ascii="Times New Roman" w:hAnsi="Times New Roman" w:eastAsia="宋体"/>
                <w:color w:val="auto"/>
                <w:sz w:val="20"/>
              </w:rPr>
              <w:t>3、加快污水处理设施建设与提标改造，加快完善城乡污水管网，加强对现有雨污合流管网的分流改造，</w:t>
            </w:r>
            <w:r>
              <w:rPr>
                <w:rFonts w:ascii="Times New Roman" w:hAnsi="Times New Roman" w:eastAsia="宋体"/>
                <w:color w:val="auto"/>
                <w:sz w:val="20"/>
              </w:rPr>
              <w:t>深化城镇“污水零直排区”建设。</w:t>
            </w:r>
            <w:r>
              <w:rPr>
                <w:rFonts w:hint="eastAsia" w:ascii="Times New Roman" w:hAnsi="Times New Roman" w:eastAsia="宋体"/>
                <w:color w:val="auto"/>
                <w:sz w:val="20"/>
              </w:rPr>
              <w:br w:type="textWrapping"/>
            </w:r>
            <w:r>
              <w:rPr>
                <w:rFonts w:hint="eastAsia" w:ascii="Times New Roman" w:hAnsi="Times New Roman" w:eastAsia="宋体"/>
                <w:color w:val="auto"/>
                <w:sz w:val="20"/>
              </w:rPr>
              <w:t>4、加强噪声和臭气异味防治，强化餐饮油烟治理，严格施工扬尘监管，依法严禁秸秆、垃圾等露天焚烧。</w:t>
            </w:r>
            <w:r>
              <w:rPr>
                <w:rFonts w:hint="eastAsia" w:ascii="Times New Roman" w:hAnsi="Times New Roman" w:eastAsia="宋体"/>
                <w:color w:val="auto"/>
                <w:sz w:val="20"/>
              </w:rPr>
              <w:br w:type="textWrapping"/>
            </w:r>
            <w:r>
              <w:rPr>
                <w:rFonts w:ascii="Times New Roman" w:hAnsi="Times New Roman" w:eastAsia="宋体"/>
                <w:color w:val="auto"/>
                <w:sz w:val="20"/>
              </w:rPr>
              <w:t>5</w:t>
            </w:r>
            <w:r>
              <w:rPr>
                <w:rFonts w:hint="eastAsia" w:ascii="Times New Roman" w:hAnsi="Times New Roman" w:eastAsia="宋体"/>
                <w:color w:val="auto"/>
                <w:sz w:val="20"/>
              </w:rPr>
              <w:t>、加强土壤和地下水污染防治与修复。</w:t>
            </w:r>
          </w:p>
          <w:p w14:paraId="402A1877">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6、推动能源、工业、建筑、交通、居民生活等重点领域绿色低碳转型。</w:t>
            </w:r>
          </w:p>
        </w:tc>
        <w:tc>
          <w:tcPr>
            <w:tcW w:w="2268" w:type="dxa"/>
            <w:shd w:val="clear" w:color="auto" w:fill="auto"/>
            <w:vAlign w:val="center"/>
          </w:tcPr>
          <w:p w14:paraId="76F3E146">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合理布局工业、商业、居住、科教等功能区块，严格控制噪声、恶臭、油烟等污染排放较大的建设项目布局。</w:t>
            </w:r>
          </w:p>
        </w:tc>
        <w:tc>
          <w:tcPr>
            <w:tcW w:w="1559" w:type="dxa"/>
            <w:shd w:val="clear" w:color="auto" w:fill="auto"/>
            <w:vAlign w:val="center"/>
          </w:tcPr>
          <w:p w14:paraId="61A6B5E1">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1、全面开展节水型社会建设，推进节水产品推广普及，限制高耗水服务业用水，推进生活节水降损，实施城市供水管网优化改造。</w:t>
            </w:r>
          </w:p>
        </w:tc>
      </w:tr>
      <w:tr w14:paraId="4A4D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069DD35F">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ZH33048320018</w:t>
            </w:r>
          </w:p>
        </w:tc>
        <w:tc>
          <w:tcPr>
            <w:tcW w:w="1214" w:type="dxa"/>
            <w:vAlign w:val="center"/>
          </w:tcPr>
          <w:p w14:paraId="09862909">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浙江省嘉兴市桐乡市濮院镇生活重点管控单元</w:t>
            </w:r>
          </w:p>
        </w:tc>
        <w:tc>
          <w:tcPr>
            <w:tcW w:w="709" w:type="dxa"/>
            <w:vAlign w:val="center"/>
          </w:tcPr>
          <w:p w14:paraId="154D2293">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050237A9">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10.3980</w:t>
            </w:r>
          </w:p>
        </w:tc>
        <w:tc>
          <w:tcPr>
            <w:tcW w:w="3543" w:type="dxa"/>
            <w:shd w:val="clear" w:color="auto" w:fill="auto"/>
            <w:vAlign w:val="center"/>
          </w:tcPr>
          <w:p w14:paraId="09192EBB">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1、禁止新建、扩建三类工业项目，现有三类工业项目改建不得增加污染物排放总量，鼓励现有三类工业迁出或关闭。</w:t>
            </w:r>
            <w:r>
              <w:rPr>
                <w:rFonts w:hint="eastAsia" w:ascii="Times New Roman" w:hAnsi="Times New Roman" w:eastAsia="宋体"/>
                <w:color w:val="auto"/>
                <w:sz w:val="20"/>
              </w:rPr>
              <w:br w:type="textWrapping"/>
            </w:r>
            <w:r>
              <w:rPr>
                <w:rFonts w:hint="eastAsia" w:ascii="Times New Roman" w:hAnsi="Times New Roman" w:eastAsia="宋体"/>
                <w:color w:val="auto"/>
                <w:sz w:val="20"/>
              </w:rPr>
              <w:t>2、</w:t>
            </w:r>
            <w:r>
              <w:rPr>
                <w:rFonts w:ascii="Times New Roman" w:hAnsi="Times New Roman" w:eastAsia="宋体"/>
                <w:color w:val="auto"/>
                <w:sz w:val="20"/>
              </w:rPr>
              <w:t>禁止新建涉及一类重金属、重点行业重点重金属污染物、持久性有机污染物排放</w:t>
            </w:r>
            <w:r>
              <w:rPr>
                <w:rFonts w:hint="eastAsia" w:ascii="Times New Roman" w:hAnsi="Times New Roman" w:eastAsia="宋体"/>
                <w:color w:val="auto"/>
                <w:sz w:val="20"/>
              </w:rPr>
              <w:t>等环境健康风险较大的二类工业项目。除工业功能区（小微园区、工业集聚点）外，原则上禁止新建其他二类工业项目。现有二类工业项目改建、扩建，不得增加用地规模，不得新增控制单元污染物排放总量。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3、新建涉VOCs排放的工业企业全部入园区，严格执行相关污染物排放量削减替代管理要求。</w:t>
            </w:r>
            <w:r>
              <w:rPr>
                <w:rFonts w:hint="eastAsia" w:ascii="Times New Roman" w:hAnsi="Times New Roman" w:eastAsia="宋体"/>
                <w:color w:val="auto"/>
                <w:sz w:val="20"/>
              </w:rPr>
              <w:br w:type="textWrapping"/>
            </w:r>
            <w:r>
              <w:rPr>
                <w:rFonts w:hint="eastAsia" w:ascii="Times New Roman" w:hAnsi="Times New Roman" w:eastAsia="宋体"/>
                <w:color w:val="auto"/>
                <w:sz w:val="20"/>
              </w:rPr>
              <w:t>4、推进城镇绿廊建设，协同建设区域生态网络和绿道体系，建立城镇生态空间与区域生态空间的有机联系。</w:t>
            </w:r>
          </w:p>
          <w:p w14:paraId="5C716487">
            <w:pPr>
              <w:spacing w:line="280" w:lineRule="exact"/>
              <w:jc w:val="left"/>
              <w:rPr>
                <w:rFonts w:ascii="Times New Roman" w:hAnsi="Times New Roman" w:eastAsia="宋体" w:cs="Times New Roman"/>
                <w:color w:val="auto"/>
                <w:sz w:val="20"/>
              </w:rPr>
            </w:pPr>
            <w:r>
              <w:rPr>
                <w:rFonts w:ascii="Times New Roman" w:hAnsi="Times New Roman" w:eastAsia="宋体" w:cs="Times New Roman"/>
                <w:color w:val="auto"/>
                <w:sz w:val="20"/>
              </w:rPr>
              <w:t>5</w:t>
            </w:r>
            <w:r>
              <w:rPr>
                <w:rFonts w:hint="eastAsia" w:ascii="Times New Roman" w:hAnsi="Times New Roman" w:eastAsia="宋体" w:cs="Times New Roman"/>
                <w:color w:val="auto"/>
                <w:sz w:val="20"/>
              </w:rPr>
              <w:t>、推进既有建筑绿色化改造，高质量发展零碳低耗绿色建筑。</w:t>
            </w:r>
          </w:p>
        </w:tc>
        <w:tc>
          <w:tcPr>
            <w:tcW w:w="1985" w:type="dxa"/>
            <w:shd w:val="clear" w:color="auto" w:fill="auto"/>
            <w:vAlign w:val="center"/>
          </w:tcPr>
          <w:p w14:paraId="5A48A76B">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1、严格实施污染物总量控制制度，根据区域环境质量改善目标，削减污染物排放总量。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2、污水收集管网范围内，禁止新建除城镇污水处理设施外的</w:t>
            </w:r>
            <w:r>
              <w:rPr>
                <w:rFonts w:ascii="Times New Roman" w:hAnsi="Times New Roman" w:eastAsia="宋体"/>
                <w:color w:val="auto"/>
                <w:sz w:val="20"/>
              </w:rPr>
              <w:t>入河入海排污口</w:t>
            </w:r>
            <w:r>
              <w:rPr>
                <w:rFonts w:hint="eastAsia" w:ascii="Times New Roman" w:hAnsi="Times New Roman" w:eastAsia="宋体"/>
                <w:color w:val="auto"/>
                <w:sz w:val="20"/>
              </w:rPr>
              <w:t>，现有的</w:t>
            </w:r>
            <w:r>
              <w:rPr>
                <w:rFonts w:ascii="Times New Roman" w:hAnsi="Times New Roman" w:eastAsia="宋体"/>
                <w:color w:val="auto"/>
                <w:sz w:val="20"/>
              </w:rPr>
              <w:t>入河入海排污口</w:t>
            </w:r>
            <w:r>
              <w:rPr>
                <w:rFonts w:hint="eastAsia" w:ascii="Times New Roman" w:hAnsi="Times New Roman" w:eastAsia="宋体"/>
                <w:color w:val="auto"/>
                <w:sz w:val="20"/>
              </w:rPr>
              <w:t>应限期拆除。但相关法律法规和标准规定必须单独设置排污口的除外。</w:t>
            </w:r>
            <w:r>
              <w:rPr>
                <w:rFonts w:hint="eastAsia" w:ascii="Times New Roman" w:hAnsi="Times New Roman" w:eastAsia="宋体"/>
                <w:color w:val="auto"/>
                <w:sz w:val="20"/>
              </w:rPr>
              <w:br w:type="textWrapping"/>
            </w:r>
            <w:r>
              <w:rPr>
                <w:rFonts w:hint="eastAsia" w:ascii="Times New Roman" w:hAnsi="Times New Roman" w:eastAsia="宋体"/>
                <w:color w:val="auto"/>
                <w:sz w:val="20"/>
              </w:rPr>
              <w:t>3、加快污水处理设施建设与提标改造，加快完善城乡污水管网，加强对现有雨污合流管网的分流改造，</w:t>
            </w:r>
            <w:r>
              <w:rPr>
                <w:rFonts w:ascii="Times New Roman" w:hAnsi="Times New Roman" w:eastAsia="宋体"/>
                <w:color w:val="auto"/>
                <w:sz w:val="20"/>
              </w:rPr>
              <w:t>深化城镇“污水零直排区”建设。</w:t>
            </w:r>
            <w:r>
              <w:rPr>
                <w:rFonts w:hint="eastAsia" w:ascii="Times New Roman" w:hAnsi="Times New Roman" w:eastAsia="宋体"/>
                <w:color w:val="auto"/>
                <w:sz w:val="20"/>
              </w:rPr>
              <w:br w:type="textWrapping"/>
            </w:r>
            <w:r>
              <w:rPr>
                <w:rFonts w:hint="eastAsia" w:ascii="Times New Roman" w:hAnsi="Times New Roman" w:eastAsia="宋体"/>
                <w:color w:val="auto"/>
                <w:sz w:val="20"/>
              </w:rPr>
              <w:t>4、加强噪声和臭气异味防治，强化餐饮油烟治理，严格施工扬尘监管，依法严禁秸秆、垃圾等露天焚烧。</w:t>
            </w:r>
            <w:r>
              <w:rPr>
                <w:rFonts w:hint="eastAsia" w:ascii="Times New Roman" w:hAnsi="Times New Roman" w:eastAsia="宋体"/>
                <w:color w:val="auto"/>
                <w:sz w:val="20"/>
              </w:rPr>
              <w:br w:type="textWrapping"/>
            </w:r>
            <w:r>
              <w:rPr>
                <w:rFonts w:hint="eastAsia" w:ascii="Times New Roman" w:hAnsi="Times New Roman" w:eastAsia="宋体"/>
                <w:color w:val="auto"/>
                <w:sz w:val="20"/>
              </w:rPr>
              <w:t>5、加强土壤和地下水污染防治与修复。</w:t>
            </w:r>
          </w:p>
          <w:p w14:paraId="5975A365">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6、推动能源、工业、建筑、交通、居民生活等重点领域绿色低碳转型。</w:t>
            </w:r>
          </w:p>
        </w:tc>
        <w:tc>
          <w:tcPr>
            <w:tcW w:w="2268" w:type="dxa"/>
            <w:shd w:val="clear" w:color="auto" w:fill="auto"/>
            <w:vAlign w:val="center"/>
          </w:tcPr>
          <w:p w14:paraId="6476F075">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合理布局工业、商业、居住、科教等功能区块，严格控制噪声、恶臭、油烟等污染排放较大的建设项目布局。</w:t>
            </w:r>
          </w:p>
        </w:tc>
        <w:tc>
          <w:tcPr>
            <w:tcW w:w="1559" w:type="dxa"/>
            <w:shd w:val="clear" w:color="auto" w:fill="auto"/>
            <w:vAlign w:val="center"/>
          </w:tcPr>
          <w:p w14:paraId="47105BA5">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1、全面开展节水型社会建设，推进节水产品推广普及，限制高耗水服务业用水，推进生活节水降损，实施城市供水管网优化改造。</w:t>
            </w:r>
          </w:p>
        </w:tc>
      </w:tr>
      <w:tr w14:paraId="69A4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639A6AD2">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ZH33048320019</w:t>
            </w:r>
          </w:p>
        </w:tc>
        <w:tc>
          <w:tcPr>
            <w:tcW w:w="1214" w:type="dxa"/>
            <w:vAlign w:val="center"/>
          </w:tcPr>
          <w:p w14:paraId="1394A0F5">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浙江省嘉兴市桐乡市河山镇生活重点管控单元</w:t>
            </w:r>
          </w:p>
        </w:tc>
        <w:tc>
          <w:tcPr>
            <w:tcW w:w="709" w:type="dxa"/>
            <w:vAlign w:val="center"/>
          </w:tcPr>
          <w:p w14:paraId="0E005178">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131E680E">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1.7251</w:t>
            </w:r>
          </w:p>
        </w:tc>
        <w:tc>
          <w:tcPr>
            <w:tcW w:w="3543" w:type="dxa"/>
            <w:shd w:val="clear" w:color="auto" w:fill="auto"/>
            <w:vAlign w:val="center"/>
          </w:tcPr>
          <w:p w14:paraId="07CC2C90">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1、禁止新建、扩建三类工业项目，现有三类工业项目改建不得增加污染物排放总量，鼓励现有三类工业迁出或关闭。</w:t>
            </w:r>
            <w:r>
              <w:rPr>
                <w:rFonts w:hint="eastAsia" w:ascii="Times New Roman" w:hAnsi="Times New Roman" w:eastAsia="宋体"/>
                <w:color w:val="auto"/>
                <w:sz w:val="20"/>
              </w:rPr>
              <w:br w:type="textWrapping"/>
            </w:r>
            <w:r>
              <w:rPr>
                <w:rFonts w:hint="eastAsia" w:ascii="Times New Roman" w:hAnsi="Times New Roman" w:eastAsia="宋体"/>
                <w:color w:val="auto"/>
                <w:sz w:val="20"/>
              </w:rPr>
              <w:t>2、</w:t>
            </w:r>
            <w:r>
              <w:rPr>
                <w:rFonts w:ascii="Times New Roman" w:hAnsi="Times New Roman" w:eastAsia="宋体"/>
                <w:color w:val="auto"/>
                <w:sz w:val="20"/>
              </w:rPr>
              <w:t>禁止新建涉及一类重金属、重点行业重点重金属污染物、持久性有机污染物排放</w:t>
            </w:r>
            <w:r>
              <w:rPr>
                <w:rFonts w:hint="eastAsia" w:ascii="Times New Roman" w:hAnsi="Times New Roman" w:eastAsia="宋体"/>
                <w:color w:val="auto"/>
                <w:sz w:val="20"/>
              </w:rPr>
              <w:t>等环境健康风险较大的二类工业项目。除工业功能区（小微园区、工业集聚点）外，原则上禁止新建其他二类工业项目。现有二类工业项目改建、扩建，不得增加用地规模，不得新增控制单元污染物排放总量。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3、新建涉VOCs排放的工业企业全部入园区，严格执行相关污染物排放量削减替代管理要求。</w:t>
            </w:r>
            <w:r>
              <w:rPr>
                <w:rFonts w:hint="eastAsia" w:ascii="Times New Roman" w:hAnsi="Times New Roman" w:eastAsia="宋体"/>
                <w:color w:val="auto"/>
                <w:sz w:val="20"/>
              </w:rPr>
              <w:br w:type="textWrapping"/>
            </w:r>
            <w:r>
              <w:rPr>
                <w:rFonts w:hint="eastAsia" w:ascii="Times New Roman" w:hAnsi="Times New Roman" w:eastAsia="宋体"/>
                <w:color w:val="auto"/>
                <w:sz w:val="20"/>
              </w:rPr>
              <w:t>4、推进城镇绿廊建设，协同建设区域生态网络和绿道体系，建立城镇生态空间与区域生态空间的有机联系。</w:t>
            </w:r>
          </w:p>
          <w:p w14:paraId="7AD7AFE3">
            <w:pPr>
              <w:spacing w:line="280" w:lineRule="exact"/>
              <w:jc w:val="left"/>
              <w:rPr>
                <w:rFonts w:ascii="Times New Roman" w:hAnsi="Times New Roman" w:eastAsia="宋体" w:cs="Times New Roman"/>
                <w:color w:val="auto"/>
                <w:sz w:val="20"/>
              </w:rPr>
            </w:pPr>
            <w:r>
              <w:rPr>
                <w:rFonts w:ascii="Times New Roman" w:hAnsi="Times New Roman" w:eastAsia="宋体"/>
                <w:color w:val="auto"/>
                <w:sz w:val="20"/>
              </w:rPr>
              <w:t>5</w:t>
            </w:r>
            <w:r>
              <w:rPr>
                <w:rFonts w:hint="eastAsia" w:ascii="Times New Roman" w:hAnsi="Times New Roman" w:eastAsia="宋体"/>
                <w:color w:val="auto"/>
                <w:sz w:val="20"/>
              </w:rPr>
              <w:t>、推进既有建筑绿色化改造，高质量发展零碳低耗绿色建筑。</w:t>
            </w:r>
          </w:p>
        </w:tc>
        <w:tc>
          <w:tcPr>
            <w:tcW w:w="1985" w:type="dxa"/>
            <w:shd w:val="clear" w:color="auto" w:fill="auto"/>
            <w:vAlign w:val="center"/>
          </w:tcPr>
          <w:p w14:paraId="07B41F38">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1、严格实施污染物总量控制制度，根据区域环境质量改善目标，削减污染物排放总量。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2、污水收集管网范围内，禁止新建除城镇污水处理设施外的</w:t>
            </w:r>
            <w:r>
              <w:rPr>
                <w:rFonts w:ascii="Times New Roman" w:hAnsi="Times New Roman" w:eastAsia="宋体"/>
                <w:color w:val="auto"/>
                <w:sz w:val="20"/>
              </w:rPr>
              <w:t>入河入海排污口</w:t>
            </w:r>
            <w:r>
              <w:rPr>
                <w:rFonts w:hint="eastAsia" w:ascii="Times New Roman" w:hAnsi="Times New Roman" w:eastAsia="宋体"/>
                <w:color w:val="auto"/>
                <w:sz w:val="20"/>
              </w:rPr>
              <w:t>，现有的</w:t>
            </w:r>
            <w:r>
              <w:rPr>
                <w:rFonts w:ascii="Times New Roman" w:hAnsi="Times New Roman" w:eastAsia="宋体"/>
                <w:color w:val="auto"/>
                <w:sz w:val="20"/>
              </w:rPr>
              <w:t>入河入海排污口</w:t>
            </w:r>
            <w:r>
              <w:rPr>
                <w:rFonts w:hint="eastAsia" w:ascii="Times New Roman" w:hAnsi="Times New Roman" w:eastAsia="宋体"/>
                <w:color w:val="auto"/>
                <w:sz w:val="20"/>
              </w:rPr>
              <w:t>应限期拆除。但相关法律法规和标准规定必须单独设置排污口的除外。</w:t>
            </w:r>
            <w:r>
              <w:rPr>
                <w:rFonts w:hint="eastAsia" w:ascii="Times New Roman" w:hAnsi="Times New Roman" w:eastAsia="宋体"/>
                <w:color w:val="auto"/>
                <w:sz w:val="20"/>
              </w:rPr>
              <w:br w:type="textWrapping"/>
            </w:r>
            <w:r>
              <w:rPr>
                <w:rFonts w:hint="eastAsia" w:ascii="Times New Roman" w:hAnsi="Times New Roman" w:eastAsia="宋体"/>
                <w:color w:val="auto"/>
                <w:sz w:val="20"/>
              </w:rPr>
              <w:t>3、加快污水处理设施建设与提标改造，加快完善城乡污水管网，加强对现有雨污合流管网的分流改造，</w:t>
            </w:r>
            <w:r>
              <w:rPr>
                <w:rFonts w:ascii="Times New Roman" w:hAnsi="Times New Roman" w:eastAsia="宋体"/>
                <w:color w:val="auto"/>
                <w:sz w:val="20"/>
              </w:rPr>
              <w:t>深化城镇“污水零直排区”建设。</w:t>
            </w:r>
            <w:r>
              <w:rPr>
                <w:rFonts w:hint="eastAsia" w:ascii="Times New Roman" w:hAnsi="Times New Roman" w:eastAsia="宋体"/>
                <w:color w:val="auto"/>
                <w:sz w:val="20"/>
              </w:rPr>
              <w:br w:type="textWrapping"/>
            </w:r>
            <w:r>
              <w:rPr>
                <w:rFonts w:hint="eastAsia" w:ascii="Times New Roman" w:hAnsi="Times New Roman" w:eastAsia="宋体"/>
                <w:color w:val="auto"/>
                <w:sz w:val="20"/>
              </w:rPr>
              <w:t>4、加强噪声和臭气异味防治，强化餐饮油烟治理，严格施工扬尘监管，依法严禁秸秆、垃圾等露天焚烧。</w:t>
            </w:r>
            <w:r>
              <w:rPr>
                <w:rFonts w:hint="eastAsia" w:ascii="Times New Roman" w:hAnsi="Times New Roman" w:eastAsia="宋体"/>
                <w:color w:val="auto"/>
                <w:sz w:val="20"/>
              </w:rPr>
              <w:br w:type="textWrapping"/>
            </w:r>
            <w:r>
              <w:rPr>
                <w:rFonts w:ascii="Times New Roman" w:hAnsi="Times New Roman" w:eastAsia="宋体"/>
                <w:color w:val="auto"/>
                <w:sz w:val="20"/>
              </w:rPr>
              <w:t>5</w:t>
            </w:r>
            <w:r>
              <w:rPr>
                <w:rFonts w:hint="eastAsia" w:ascii="Times New Roman" w:hAnsi="Times New Roman" w:eastAsia="宋体"/>
                <w:color w:val="auto"/>
                <w:sz w:val="20"/>
              </w:rPr>
              <w:t>、加强土壤和地下水污染防治与修复。</w:t>
            </w:r>
          </w:p>
          <w:p w14:paraId="2C920297">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6、推动能源、工业、建筑、交通、居民生活等重点领域绿色低碳转型。</w:t>
            </w:r>
          </w:p>
        </w:tc>
        <w:tc>
          <w:tcPr>
            <w:tcW w:w="2268" w:type="dxa"/>
            <w:shd w:val="clear" w:color="auto" w:fill="auto"/>
            <w:vAlign w:val="center"/>
          </w:tcPr>
          <w:p w14:paraId="543F8E5F">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合理布局工业、商业、居住、科教等功能区块，严格控制噪声、恶臭、油烟等污染排放较大的建设项目布局。</w:t>
            </w:r>
          </w:p>
        </w:tc>
        <w:tc>
          <w:tcPr>
            <w:tcW w:w="1559" w:type="dxa"/>
            <w:shd w:val="clear" w:color="auto" w:fill="auto"/>
            <w:vAlign w:val="center"/>
          </w:tcPr>
          <w:p w14:paraId="3D0FA853">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1、全面开展节水型社会建设，推进节水产品推广普及，限制高耗水服务业用水，推进生活节水降损，实施城市供水管网优化改造。</w:t>
            </w:r>
          </w:p>
        </w:tc>
      </w:tr>
      <w:tr w14:paraId="7DDE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3B7EC20C">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ZH33048320020</w:t>
            </w:r>
          </w:p>
        </w:tc>
        <w:tc>
          <w:tcPr>
            <w:tcW w:w="1214" w:type="dxa"/>
            <w:vAlign w:val="center"/>
          </w:tcPr>
          <w:p w14:paraId="3217B7E3">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浙江省嘉兴市桐乡市中心城区生活重点管控单元</w:t>
            </w:r>
          </w:p>
        </w:tc>
        <w:tc>
          <w:tcPr>
            <w:tcW w:w="709" w:type="dxa"/>
            <w:vAlign w:val="center"/>
          </w:tcPr>
          <w:p w14:paraId="2D46B077">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5D4B79E3">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42.9578</w:t>
            </w:r>
          </w:p>
        </w:tc>
        <w:tc>
          <w:tcPr>
            <w:tcW w:w="3543" w:type="dxa"/>
            <w:shd w:val="clear" w:color="auto" w:fill="auto"/>
            <w:vAlign w:val="center"/>
          </w:tcPr>
          <w:p w14:paraId="119CD080">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1、禁止新建、扩建三类工业项目，现有三类工业项目改建不得增加污染物排放总量，鼓励现有三类工业迁出或关闭。</w:t>
            </w:r>
            <w:r>
              <w:rPr>
                <w:rFonts w:hint="eastAsia" w:ascii="Times New Roman" w:hAnsi="Times New Roman" w:eastAsia="宋体"/>
                <w:color w:val="auto"/>
                <w:sz w:val="20"/>
              </w:rPr>
              <w:br w:type="textWrapping"/>
            </w:r>
            <w:r>
              <w:rPr>
                <w:rFonts w:hint="eastAsia" w:ascii="Times New Roman" w:hAnsi="Times New Roman" w:eastAsia="宋体"/>
                <w:color w:val="auto"/>
                <w:sz w:val="20"/>
              </w:rPr>
              <w:t>2、</w:t>
            </w:r>
            <w:r>
              <w:rPr>
                <w:rFonts w:ascii="Times New Roman" w:hAnsi="Times New Roman" w:eastAsia="宋体"/>
                <w:color w:val="auto"/>
                <w:sz w:val="20"/>
              </w:rPr>
              <w:t>禁止新建涉及一类重金属、重点行业重点重金属污染物、持久性有机污染物排放</w:t>
            </w:r>
            <w:r>
              <w:rPr>
                <w:rFonts w:hint="eastAsia" w:ascii="Times New Roman" w:hAnsi="Times New Roman" w:eastAsia="宋体"/>
                <w:color w:val="auto"/>
                <w:sz w:val="20"/>
              </w:rPr>
              <w:t>等环境健康风险较大的二类工业项目。除工业功能区（小微园区、工业集聚点）外，原则上禁止新建其他二类工业项目。现有二类工业项目改建、扩建，不得增加用地规模，不得新增控制单元污染物排放总量。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3、新建涉VOCs排放的工业企业全部入园区，严格执行相关污染物排放量削减替代管理要求。</w:t>
            </w:r>
            <w:r>
              <w:rPr>
                <w:rFonts w:hint="eastAsia" w:ascii="Times New Roman" w:hAnsi="Times New Roman" w:eastAsia="宋体"/>
                <w:color w:val="auto"/>
                <w:sz w:val="20"/>
              </w:rPr>
              <w:br w:type="textWrapping"/>
            </w:r>
            <w:r>
              <w:rPr>
                <w:rFonts w:hint="eastAsia" w:ascii="Times New Roman" w:hAnsi="Times New Roman" w:eastAsia="宋体"/>
                <w:color w:val="auto"/>
                <w:sz w:val="20"/>
              </w:rPr>
              <w:t>4、推进城镇绿廊建设，协同建设区域生态网络和绿道体系，建立城镇生态空间与区域生态空间的有机联系。</w:t>
            </w:r>
          </w:p>
          <w:p w14:paraId="24447576">
            <w:pPr>
              <w:spacing w:line="280" w:lineRule="exact"/>
              <w:jc w:val="left"/>
              <w:rPr>
                <w:rFonts w:ascii="Times New Roman" w:hAnsi="Times New Roman" w:eastAsia="宋体" w:cs="Times New Roman"/>
                <w:color w:val="auto"/>
                <w:sz w:val="20"/>
              </w:rPr>
            </w:pPr>
            <w:r>
              <w:rPr>
                <w:rFonts w:ascii="Times New Roman" w:hAnsi="Times New Roman" w:eastAsia="宋体"/>
                <w:color w:val="auto"/>
                <w:sz w:val="20"/>
              </w:rPr>
              <w:t>5</w:t>
            </w:r>
            <w:r>
              <w:rPr>
                <w:rFonts w:hint="eastAsia" w:ascii="Times New Roman" w:hAnsi="Times New Roman" w:eastAsia="宋体"/>
                <w:color w:val="auto"/>
                <w:sz w:val="20"/>
              </w:rPr>
              <w:t>、推进既有建筑绿色化改造，高质量发展零碳低耗绿色建筑。</w:t>
            </w:r>
          </w:p>
        </w:tc>
        <w:tc>
          <w:tcPr>
            <w:tcW w:w="1985" w:type="dxa"/>
            <w:shd w:val="clear" w:color="auto" w:fill="auto"/>
            <w:vAlign w:val="center"/>
          </w:tcPr>
          <w:p w14:paraId="1736D365">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1、严格实施污染物总量控制制度，根据区域环境质量改善目标，削减污染物排放总量。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2、污水收集管网范围内，禁止新建除城镇污水处理设施外的</w:t>
            </w:r>
            <w:r>
              <w:rPr>
                <w:rFonts w:ascii="Times New Roman" w:hAnsi="Times New Roman" w:eastAsia="宋体"/>
                <w:color w:val="auto"/>
                <w:sz w:val="20"/>
              </w:rPr>
              <w:t>入河入海排污口</w:t>
            </w:r>
            <w:r>
              <w:rPr>
                <w:rFonts w:hint="eastAsia" w:ascii="Times New Roman" w:hAnsi="Times New Roman" w:eastAsia="宋体"/>
                <w:color w:val="auto"/>
                <w:sz w:val="20"/>
              </w:rPr>
              <w:t>，现有的</w:t>
            </w:r>
            <w:r>
              <w:rPr>
                <w:rFonts w:ascii="Times New Roman" w:hAnsi="Times New Roman" w:eastAsia="宋体"/>
                <w:color w:val="auto"/>
                <w:sz w:val="20"/>
              </w:rPr>
              <w:t>入河入海排污口</w:t>
            </w:r>
            <w:r>
              <w:rPr>
                <w:rFonts w:hint="eastAsia" w:ascii="Times New Roman" w:hAnsi="Times New Roman" w:eastAsia="宋体"/>
                <w:color w:val="auto"/>
                <w:sz w:val="20"/>
              </w:rPr>
              <w:t>应限期拆除。但相关法律法规和标准规定必须单独设置排污口的除外。</w:t>
            </w:r>
            <w:r>
              <w:rPr>
                <w:rFonts w:hint="eastAsia" w:ascii="Times New Roman" w:hAnsi="Times New Roman" w:eastAsia="宋体"/>
                <w:color w:val="auto"/>
                <w:sz w:val="20"/>
              </w:rPr>
              <w:br w:type="textWrapping"/>
            </w:r>
            <w:r>
              <w:rPr>
                <w:rFonts w:hint="eastAsia" w:ascii="Times New Roman" w:hAnsi="Times New Roman" w:eastAsia="宋体"/>
                <w:color w:val="auto"/>
                <w:sz w:val="20"/>
              </w:rPr>
              <w:t>3、加快污水处理设施建设与提标改造，加快完善城乡污水管网，加强对现有雨污合流管网的分流改造，</w:t>
            </w:r>
            <w:r>
              <w:rPr>
                <w:rFonts w:ascii="Times New Roman" w:hAnsi="Times New Roman" w:eastAsia="宋体"/>
                <w:color w:val="auto"/>
                <w:sz w:val="20"/>
              </w:rPr>
              <w:t>深化城镇“污水零直排区”建设。</w:t>
            </w:r>
            <w:r>
              <w:rPr>
                <w:rFonts w:hint="eastAsia" w:ascii="Times New Roman" w:hAnsi="Times New Roman" w:eastAsia="宋体"/>
                <w:color w:val="auto"/>
                <w:sz w:val="20"/>
              </w:rPr>
              <w:br w:type="textWrapping"/>
            </w:r>
            <w:r>
              <w:rPr>
                <w:rFonts w:hint="eastAsia" w:ascii="Times New Roman" w:hAnsi="Times New Roman" w:eastAsia="宋体"/>
                <w:color w:val="auto"/>
                <w:sz w:val="20"/>
              </w:rPr>
              <w:t>4、加强噪声和臭气异味防治，强化餐饮油烟治理，严格施工扬尘监管，依法严禁秸秆、垃圾等露天焚烧。</w:t>
            </w:r>
            <w:r>
              <w:rPr>
                <w:rFonts w:hint="eastAsia" w:ascii="Times New Roman" w:hAnsi="Times New Roman" w:eastAsia="宋体"/>
                <w:color w:val="auto"/>
                <w:sz w:val="20"/>
              </w:rPr>
              <w:br w:type="textWrapping"/>
            </w:r>
            <w:r>
              <w:rPr>
                <w:rFonts w:ascii="Times New Roman" w:hAnsi="Times New Roman" w:eastAsia="宋体"/>
                <w:color w:val="auto"/>
                <w:sz w:val="20"/>
              </w:rPr>
              <w:t>5</w:t>
            </w:r>
            <w:r>
              <w:rPr>
                <w:rFonts w:hint="eastAsia" w:ascii="Times New Roman" w:hAnsi="Times New Roman" w:eastAsia="宋体"/>
                <w:color w:val="auto"/>
                <w:sz w:val="20"/>
              </w:rPr>
              <w:t>、加强土壤和地下水污染防治与修复。</w:t>
            </w:r>
          </w:p>
          <w:p w14:paraId="32524582">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6、推动能源、工业、建筑、交通、居民生活等重点领域绿色低碳转型。</w:t>
            </w:r>
          </w:p>
        </w:tc>
        <w:tc>
          <w:tcPr>
            <w:tcW w:w="2268" w:type="dxa"/>
            <w:shd w:val="clear" w:color="auto" w:fill="auto"/>
            <w:vAlign w:val="center"/>
          </w:tcPr>
          <w:p w14:paraId="17D87096">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合理布局工业、商业、居住、科教等功能区块，严格控制噪声、恶臭、油烟等污染排放较大的建设项目布局。</w:t>
            </w:r>
          </w:p>
        </w:tc>
        <w:tc>
          <w:tcPr>
            <w:tcW w:w="1559" w:type="dxa"/>
            <w:shd w:val="clear" w:color="auto" w:fill="auto"/>
            <w:vAlign w:val="center"/>
          </w:tcPr>
          <w:p w14:paraId="2D6E9758">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1、全面开展节水型社会建设，推进节水产品推广普及，限制高耗水服务业用水，推进生活节水降损，实施城市供水管网优化改造。</w:t>
            </w:r>
          </w:p>
        </w:tc>
      </w:tr>
      <w:tr w14:paraId="650B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center"/>
          </w:tcPr>
          <w:p w14:paraId="1C88440E">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ZH33048330001</w:t>
            </w:r>
          </w:p>
        </w:tc>
        <w:tc>
          <w:tcPr>
            <w:tcW w:w="1214" w:type="dxa"/>
            <w:vAlign w:val="center"/>
          </w:tcPr>
          <w:p w14:paraId="3EF3A62C">
            <w:pPr>
              <w:spacing w:line="280" w:lineRule="exact"/>
              <w:jc w:val="left"/>
              <w:rPr>
                <w:rFonts w:ascii="Times New Roman" w:hAnsi="Times New Roman" w:eastAsia="宋体" w:cs="Times New Roman"/>
                <w:color w:val="auto"/>
                <w:sz w:val="20"/>
                <w:szCs w:val="24"/>
              </w:rPr>
            </w:pPr>
            <w:r>
              <w:rPr>
                <w:rFonts w:hint="eastAsia" w:ascii="Times New Roman" w:hAnsi="Times New Roman" w:eastAsia="宋体"/>
                <w:color w:val="auto"/>
                <w:sz w:val="20"/>
              </w:rPr>
              <w:t>浙江省嘉兴市桐乡市一般管控单元</w:t>
            </w:r>
          </w:p>
        </w:tc>
        <w:tc>
          <w:tcPr>
            <w:tcW w:w="709" w:type="dxa"/>
            <w:vAlign w:val="center"/>
          </w:tcPr>
          <w:p w14:paraId="2276B75D">
            <w:pPr>
              <w:spacing w:line="280" w:lineRule="exact"/>
              <w:jc w:val="left"/>
              <w:rPr>
                <w:rFonts w:ascii="Times New Roman" w:hAnsi="Times New Roman" w:eastAsia="宋体" w:cs="Times New Roman"/>
                <w:color w:val="auto"/>
                <w:sz w:val="20"/>
              </w:rPr>
            </w:pPr>
            <w:r>
              <w:rPr>
                <w:rFonts w:hint="eastAsia" w:ascii="Times New Roman" w:hAnsi="Times New Roman" w:eastAsia="宋体" w:cs="Times New Roman"/>
                <w:color w:val="auto"/>
                <w:sz w:val="20"/>
              </w:rPr>
              <w:t>桐乡市</w:t>
            </w:r>
          </w:p>
        </w:tc>
        <w:tc>
          <w:tcPr>
            <w:tcW w:w="1134" w:type="dxa"/>
            <w:vAlign w:val="center"/>
          </w:tcPr>
          <w:p w14:paraId="30A0586B">
            <w:pPr>
              <w:spacing w:line="280" w:lineRule="exact"/>
              <w:jc w:val="left"/>
              <w:rPr>
                <w:rFonts w:ascii="Times New Roman" w:hAnsi="Times New Roman" w:eastAsia="宋体" w:cs="Times New Roman"/>
                <w:color w:val="auto"/>
                <w:sz w:val="20"/>
                <w:szCs w:val="24"/>
              </w:rPr>
            </w:pPr>
            <w:r>
              <w:rPr>
                <w:rFonts w:ascii="Times New Roman" w:hAnsi="Times New Roman" w:eastAsia="宋体" w:cs="Times New Roman"/>
                <w:color w:val="auto"/>
                <w:sz w:val="20"/>
              </w:rPr>
              <w:t>455.7738</w:t>
            </w:r>
          </w:p>
        </w:tc>
        <w:tc>
          <w:tcPr>
            <w:tcW w:w="3543" w:type="dxa"/>
            <w:shd w:val="clear" w:color="auto" w:fill="auto"/>
            <w:vAlign w:val="center"/>
          </w:tcPr>
          <w:p w14:paraId="3DC6A898">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1、原则上禁止新建三类工业项目（重污染行业整治提升选址于此的除外），现有三类工业项目扩建、改建不得增加污染物排放总量并严格控制环境风险。</w:t>
            </w:r>
            <w:r>
              <w:rPr>
                <w:rFonts w:hint="eastAsia" w:ascii="Times New Roman" w:hAnsi="Times New Roman" w:eastAsia="宋体"/>
                <w:color w:val="auto"/>
                <w:sz w:val="20"/>
              </w:rPr>
              <w:br w:type="textWrapping"/>
            </w:r>
            <w:r>
              <w:rPr>
                <w:rFonts w:hint="eastAsia" w:ascii="Times New Roman" w:hAnsi="Times New Roman" w:eastAsia="宋体"/>
                <w:color w:val="auto"/>
                <w:sz w:val="20"/>
              </w:rPr>
              <w:t>2、</w:t>
            </w:r>
            <w:r>
              <w:rPr>
                <w:rFonts w:ascii="Times New Roman" w:hAnsi="Times New Roman" w:eastAsia="宋体"/>
                <w:color w:val="auto"/>
                <w:sz w:val="20"/>
              </w:rPr>
              <w:t>禁止新建涉及一类重金属、重点行业重点重金属污染物、持久性有机污染物排放</w:t>
            </w:r>
            <w:r>
              <w:rPr>
                <w:rFonts w:hint="eastAsia" w:ascii="Times New Roman" w:hAnsi="Times New Roman" w:eastAsia="宋体"/>
                <w:color w:val="auto"/>
                <w:sz w:val="20"/>
              </w:rPr>
              <w:t>的二类工业项目，改建、扩建涉及一类重金属、重点行业重点重金属污染物、持久性有机污染物排放的二类工业项目不得增加管控单元污染物排放总量；禁止在工业功能区（小微园区、工业集聚点）外新建其他二类工业项目，一二产融合的加工类项目、利用当地资源的加工项目、工程项目配套的临时性项目等确实难以集聚的二类工业项目除外；工业功能区（小微园区、工业集聚点）外现有二类工业项目改建、扩建，不得增加污染物排放总量。</w:t>
            </w:r>
            <w:r>
              <w:rPr>
                <w:rFonts w:hint="eastAsia" w:ascii="Times New Roman" w:hAnsi="Times New Roman" w:eastAsia="宋体"/>
                <w:color w:val="auto"/>
                <w:sz w:val="20"/>
              </w:rPr>
              <w:br w:type="textWrapping"/>
            </w:r>
            <w:r>
              <w:rPr>
                <w:rFonts w:hint="eastAsia" w:ascii="Times New Roman" w:hAnsi="Times New Roman" w:eastAsia="宋体"/>
                <w:color w:val="auto"/>
                <w:sz w:val="20"/>
              </w:rPr>
              <w:t>3、新建涉VOCs排放的工业企业全部进入工业功能区，严格执行相关污染物排放量削减替代管理要求。</w:t>
            </w:r>
            <w:r>
              <w:rPr>
                <w:rFonts w:hint="eastAsia" w:ascii="Times New Roman" w:hAnsi="Times New Roman" w:eastAsia="宋体"/>
                <w:color w:val="auto"/>
                <w:sz w:val="20"/>
              </w:rPr>
              <w:br w:type="textWrapping"/>
            </w:r>
            <w:r>
              <w:rPr>
                <w:rFonts w:hint="eastAsia" w:ascii="Times New Roman" w:hAnsi="Times New Roman" w:eastAsia="宋体"/>
                <w:color w:val="auto"/>
                <w:sz w:val="20"/>
              </w:rPr>
              <w:t>4、建立集镇居住商业区、耕地保护区与工业功能区等集聚区块之间的防护带。</w:t>
            </w:r>
            <w:r>
              <w:rPr>
                <w:rFonts w:hint="eastAsia" w:ascii="Times New Roman" w:hAnsi="Times New Roman" w:eastAsia="宋体"/>
                <w:color w:val="auto"/>
                <w:sz w:val="20"/>
              </w:rPr>
              <w:br w:type="textWrapping"/>
            </w:r>
            <w:r>
              <w:rPr>
                <w:rFonts w:hint="eastAsia" w:ascii="Times New Roman" w:hAnsi="Times New Roman" w:eastAsia="宋体"/>
                <w:color w:val="auto"/>
                <w:sz w:val="20"/>
              </w:rPr>
              <w:t>6、严格执行畜禽养殖禁养区规定，根据区域用地和消纳水平，合理确定养殖规模。</w:t>
            </w:r>
            <w:r>
              <w:rPr>
                <w:rFonts w:hint="eastAsia" w:ascii="Times New Roman" w:hAnsi="Times New Roman" w:eastAsia="宋体"/>
                <w:color w:val="auto"/>
                <w:sz w:val="20"/>
              </w:rPr>
              <w:br w:type="textWrapping"/>
            </w:r>
            <w:r>
              <w:rPr>
                <w:rFonts w:hint="eastAsia" w:ascii="Times New Roman" w:hAnsi="Times New Roman" w:eastAsia="宋体"/>
                <w:color w:val="auto"/>
                <w:sz w:val="20"/>
              </w:rPr>
              <w:t>7、加强基本农田保护，严格限制非农项目占用耕地。</w:t>
            </w:r>
          </w:p>
        </w:tc>
        <w:tc>
          <w:tcPr>
            <w:tcW w:w="1985" w:type="dxa"/>
            <w:shd w:val="clear" w:color="auto" w:fill="auto"/>
            <w:vAlign w:val="center"/>
          </w:tcPr>
          <w:p w14:paraId="37CD7ABC">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1、加强工业污染物排放管控，原则上管控单元内工业污染物排放总量不得增加。</w:t>
            </w:r>
            <w:r>
              <w:rPr>
                <w:rFonts w:hint="eastAsia" w:ascii="Times New Roman" w:hAnsi="Times New Roman" w:eastAsia="宋体"/>
                <w:color w:val="auto"/>
                <w:sz w:val="20"/>
              </w:rPr>
              <w:br w:type="textWrapping"/>
            </w:r>
            <w:r>
              <w:rPr>
                <w:rFonts w:hint="eastAsia" w:ascii="Times New Roman" w:hAnsi="Times New Roman" w:eastAsia="宋体"/>
                <w:color w:val="auto"/>
                <w:sz w:val="20"/>
              </w:rPr>
              <w:t>2、加强农业面源污染治理，严格控制化肥农药施加量，合理水产养殖布局，控制水产养殖污染，逐步削减农业面源污染物排放量，推动农业领域减污降碳协同。</w:t>
            </w:r>
          </w:p>
          <w:p w14:paraId="59529ACE">
            <w:pPr>
              <w:spacing w:line="280" w:lineRule="exact"/>
              <w:jc w:val="left"/>
              <w:rPr>
                <w:rFonts w:ascii="Times New Roman" w:hAnsi="Times New Roman" w:eastAsia="宋体"/>
                <w:color w:val="auto"/>
                <w:sz w:val="20"/>
              </w:rPr>
            </w:pPr>
            <w:r>
              <w:rPr>
                <w:rFonts w:hint="eastAsia" w:ascii="Times New Roman" w:hAnsi="Times New Roman" w:eastAsia="宋体"/>
                <w:color w:val="auto"/>
                <w:sz w:val="20"/>
              </w:rPr>
              <w:t>3、依法严禁秸秆露天焚烧。</w:t>
            </w:r>
          </w:p>
          <w:p w14:paraId="4DE922D2">
            <w:pPr>
              <w:spacing w:line="280" w:lineRule="exact"/>
              <w:rPr>
                <w:rFonts w:ascii="Times New Roman" w:hAnsi="Times New Roman" w:eastAsia="宋体" w:cs="Times New Roman"/>
                <w:color w:val="auto"/>
                <w:sz w:val="20"/>
              </w:rPr>
            </w:pPr>
            <w:r>
              <w:rPr>
                <w:rFonts w:hint="eastAsia" w:ascii="Times New Roman" w:hAnsi="Times New Roman" w:eastAsia="宋体"/>
                <w:color w:val="auto"/>
                <w:sz w:val="20"/>
              </w:rPr>
              <w:t>4、</w:t>
            </w:r>
            <w:r>
              <w:rPr>
                <w:rFonts w:hint="eastAsia" w:ascii="Times New Roman" w:hAnsi="Times New Roman" w:eastAsia="宋体" w:cs="Times New Roman"/>
                <w:color w:val="auto"/>
                <w:sz w:val="20"/>
                <w:szCs w:val="20"/>
              </w:rPr>
              <w:t>因地制宜选择适宜的技术模式对农田退水进行科学治理，有序推进农田退水</w:t>
            </w:r>
            <w:r>
              <w:rPr>
                <w:rFonts w:hint="eastAsia" w:ascii="Times New Roman" w:hAnsi="Times New Roman" w:eastAsia="宋体" w:cs="Times New Roman"/>
                <w:color w:val="auto"/>
                <w:sz w:val="20"/>
                <w:szCs w:val="20"/>
                <w:lang w:eastAsia="zh-Hans"/>
              </w:rPr>
              <w:t>“</w:t>
            </w:r>
            <w:r>
              <w:rPr>
                <w:rFonts w:hint="eastAsia" w:ascii="Times New Roman" w:hAnsi="Times New Roman" w:eastAsia="宋体" w:cs="Times New Roman"/>
                <w:color w:val="auto"/>
                <w:sz w:val="20"/>
                <w:szCs w:val="20"/>
              </w:rPr>
              <w:t>零直排</w:t>
            </w:r>
            <w:r>
              <w:rPr>
                <w:rFonts w:hint="eastAsia" w:ascii="Times New Roman" w:hAnsi="Times New Roman" w:eastAsia="宋体" w:cs="Times New Roman"/>
                <w:color w:val="auto"/>
                <w:sz w:val="20"/>
                <w:szCs w:val="20"/>
                <w:lang w:eastAsia="zh-Hans"/>
              </w:rPr>
              <w:t>”</w:t>
            </w:r>
            <w:r>
              <w:rPr>
                <w:rFonts w:hint="eastAsia" w:ascii="Times New Roman" w:hAnsi="Times New Roman" w:eastAsia="宋体" w:cs="Times New Roman"/>
                <w:color w:val="auto"/>
                <w:sz w:val="20"/>
                <w:szCs w:val="20"/>
              </w:rPr>
              <w:t>工程建设。</w:t>
            </w:r>
          </w:p>
        </w:tc>
        <w:tc>
          <w:tcPr>
            <w:tcW w:w="2268" w:type="dxa"/>
            <w:shd w:val="clear" w:color="auto" w:fill="auto"/>
            <w:vAlign w:val="center"/>
          </w:tcPr>
          <w:p w14:paraId="44FB6755">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1、加强生态公益林保护与建设，防止水土流失。</w:t>
            </w:r>
            <w:r>
              <w:rPr>
                <w:rFonts w:hint="eastAsia" w:ascii="Times New Roman" w:hAnsi="Times New Roman" w:eastAsia="宋体"/>
                <w:color w:val="auto"/>
                <w:sz w:val="20"/>
              </w:rPr>
              <w:br w:type="textWrapping"/>
            </w:r>
            <w:r>
              <w:rPr>
                <w:rFonts w:hint="eastAsia" w:ascii="Times New Roman" w:hAnsi="Times New Roman" w:eastAsia="宋体"/>
                <w:color w:val="auto"/>
                <w:sz w:val="20"/>
              </w:rPr>
              <w:t>2、禁止向农用地排放重金属或者其他有毒有害物质含量超标的污水、污泥，以及可能造成土壤污染的清淤底泥、尾矿、矿渣等。</w:t>
            </w:r>
            <w:r>
              <w:rPr>
                <w:rFonts w:hint="eastAsia" w:ascii="Times New Roman" w:hAnsi="Times New Roman" w:eastAsia="宋体"/>
                <w:color w:val="auto"/>
                <w:sz w:val="20"/>
              </w:rPr>
              <w:br w:type="textWrapping"/>
            </w:r>
            <w:r>
              <w:rPr>
                <w:rFonts w:hint="eastAsia" w:ascii="Times New Roman" w:hAnsi="Times New Roman" w:eastAsia="宋体"/>
                <w:color w:val="auto"/>
                <w:sz w:val="20"/>
              </w:rPr>
              <w:t>3、加强农田土壤、灌溉水的监测及评价，对周边或区域环境风险源进行评估。</w:t>
            </w:r>
          </w:p>
        </w:tc>
        <w:tc>
          <w:tcPr>
            <w:tcW w:w="1559" w:type="dxa"/>
            <w:shd w:val="clear" w:color="auto" w:fill="auto"/>
            <w:vAlign w:val="center"/>
          </w:tcPr>
          <w:p w14:paraId="5513E745">
            <w:pPr>
              <w:spacing w:line="280" w:lineRule="exact"/>
              <w:jc w:val="left"/>
              <w:rPr>
                <w:rFonts w:ascii="Times New Roman" w:hAnsi="Times New Roman" w:eastAsia="宋体" w:cs="Times New Roman"/>
                <w:color w:val="auto"/>
                <w:sz w:val="20"/>
              </w:rPr>
            </w:pPr>
            <w:r>
              <w:rPr>
                <w:rFonts w:hint="eastAsia" w:ascii="Times New Roman" w:hAnsi="Times New Roman" w:eastAsia="宋体"/>
                <w:color w:val="auto"/>
                <w:sz w:val="20"/>
              </w:rPr>
              <w:t>1、实行水资源消耗总量和强度双控，推进农业节水，提高农业用水效率。</w:t>
            </w:r>
            <w:r>
              <w:rPr>
                <w:rFonts w:hint="eastAsia" w:ascii="Times New Roman" w:hAnsi="Times New Roman" w:eastAsia="宋体"/>
                <w:color w:val="auto"/>
                <w:sz w:val="20"/>
              </w:rPr>
              <w:br w:type="textWrapping"/>
            </w:r>
            <w:r>
              <w:rPr>
                <w:rFonts w:hint="eastAsia" w:ascii="Times New Roman" w:hAnsi="Times New Roman" w:eastAsia="宋体"/>
                <w:color w:val="auto"/>
                <w:sz w:val="20"/>
              </w:rPr>
              <w:t>2、优化能源结构，加强能源清洁利用。</w:t>
            </w:r>
          </w:p>
        </w:tc>
      </w:tr>
    </w:tbl>
    <w:p w14:paraId="4AB474BA">
      <w:pPr>
        <w:spacing w:line="360" w:lineRule="auto"/>
        <w:ind w:firstLine="560" w:firstLineChars="200"/>
        <w:rPr>
          <w:rFonts w:ascii="仿宋_GB2312" w:hAnsi="Times New Roman" w:eastAsia="仿宋_GB2312" w:cs="Times New Roman"/>
          <w:color w:val="auto"/>
          <w:sz w:val="28"/>
          <w:szCs w:val="28"/>
        </w:rPr>
      </w:pPr>
    </w:p>
    <w:p w14:paraId="37B4B6F0">
      <w:pPr>
        <w:widowControl/>
        <w:jc w:val="left"/>
        <w:rPr>
          <w:rFonts w:ascii="仿宋_GB2312" w:hAnsi="Times New Roman" w:eastAsia="仿宋_GB2312" w:cs="Times New Roman"/>
          <w:color w:val="auto"/>
          <w:sz w:val="28"/>
          <w:szCs w:val="28"/>
        </w:rPr>
        <w:sectPr>
          <w:pgSz w:w="16838" w:h="11906" w:orient="landscape"/>
          <w:pgMar w:top="1800" w:right="1440" w:bottom="1800" w:left="1440" w:header="851" w:footer="992" w:gutter="0"/>
          <w:cols w:space="425" w:num="1"/>
          <w:docGrid w:type="lines" w:linePitch="312" w:charSpace="0"/>
        </w:sectPr>
      </w:pPr>
    </w:p>
    <w:p w14:paraId="310F2AE0">
      <w:pPr>
        <w:widowControl/>
        <w:jc w:val="left"/>
        <w:rPr>
          <w:rFonts w:ascii="仿宋_GB2312" w:hAnsi="Times New Roman" w:eastAsia="仿宋_GB2312" w:cs="Times New Roman"/>
          <w:color w:val="auto"/>
          <w:sz w:val="28"/>
          <w:szCs w:val="28"/>
        </w:rPr>
      </w:pPr>
    </w:p>
    <w:p w14:paraId="08B6B497">
      <w:pPr>
        <w:widowControl/>
        <w:jc w:val="left"/>
        <w:rPr>
          <w:rFonts w:ascii="仿宋_GB2312" w:hAnsi="Times New Roman" w:eastAsia="仿宋_GB2312" w:cs="Times New Roman"/>
          <w:color w:val="auto"/>
          <w:sz w:val="28"/>
          <w:szCs w:val="28"/>
        </w:rPr>
      </w:pPr>
    </w:p>
    <w:p w14:paraId="1660EADC">
      <w:pPr>
        <w:ind w:firstLine="640" w:firstLineChars="200"/>
        <w:outlineLvl w:val="0"/>
        <w:rPr>
          <w:rStyle w:val="9"/>
          <w:rFonts w:hint="default"/>
          <w:color w:val="auto"/>
        </w:rPr>
      </w:pPr>
      <w:r>
        <w:rPr>
          <w:rStyle w:val="9"/>
          <w:rFonts w:hint="default"/>
          <w:color w:val="auto"/>
        </w:rPr>
        <w:t>附表：工业项目分类表</w:t>
      </w:r>
    </w:p>
    <w:p w14:paraId="13EC68A1">
      <w:pPr>
        <w:rPr>
          <w:rFonts w:ascii="Calibri" w:hAnsi="Calibri" w:eastAsia="宋体" w:cs="Calibri"/>
          <w:color w:val="auto"/>
        </w:rPr>
      </w:pPr>
    </w:p>
    <w:p w14:paraId="3191370C">
      <w:pPr>
        <w:ind w:firstLine="640" w:firstLineChars="200"/>
        <w:rPr>
          <w:rFonts w:ascii="仿宋_GB2312" w:hAnsi="Times New Roman" w:eastAsia="仿宋_GB2312" w:cs="Times New Roman"/>
          <w:color w:val="auto"/>
          <w:sz w:val="32"/>
          <w:szCs w:val="20"/>
        </w:rPr>
      </w:pPr>
      <w:r>
        <w:rPr>
          <w:rFonts w:hint="eastAsia" w:ascii="仿宋_GB2312" w:hAnsi="Times New Roman" w:eastAsia="仿宋_GB2312" w:cs="Times New Roman"/>
          <w:color w:val="auto"/>
          <w:sz w:val="32"/>
          <w:szCs w:val="20"/>
        </w:rPr>
        <w:t>根据生态环境部《建设项目环境影响评价分类管理名录》，编制生态环境分区管控的工业项目分类目录。</w:t>
      </w:r>
    </w:p>
    <w:p w14:paraId="2F15964D">
      <w:pPr>
        <w:ind w:firstLine="640" w:firstLineChars="200"/>
        <w:rPr>
          <w:rFonts w:ascii="仿宋_GB2312" w:hAnsi="Times New Roman" w:eastAsia="仿宋_GB2312" w:cs="Times New Roman"/>
          <w:color w:val="auto"/>
          <w:sz w:val="32"/>
          <w:szCs w:val="20"/>
        </w:rPr>
      </w:pPr>
      <w:r>
        <w:rPr>
          <w:rFonts w:hint="eastAsia" w:ascii="仿宋_GB2312" w:hAnsi="Times New Roman" w:eastAsia="仿宋_GB2312" w:cs="Times New Roman"/>
          <w:color w:val="auto"/>
          <w:sz w:val="32"/>
          <w:szCs w:val="20"/>
        </w:rPr>
        <w:t>输油、输气管线项目，电力、热力生产和供应业，储油储气项目，水的生产和供应业，生态保护和环境治理业等基础设施类工业项目，以及矿产资源开发项目不纳入本工业项目分类表。</w:t>
      </w:r>
    </w:p>
    <w:p w14:paraId="0FB3DDD6">
      <w:pPr>
        <w:ind w:firstLine="640" w:firstLineChars="200"/>
        <w:rPr>
          <w:rFonts w:ascii="仿宋_GB2312" w:hAnsi="Times New Roman" w:eastAsia="仿宋_GB2312" w:cs="Times New Roman"/>
          <w:color w:val="auto"/>
          <w:sz w:val="32"/>
          <w:szCs w:val="20"/>
        </w:rPr>
      </w:pPr>
      <w:r>
        <w:rPr>
          <w:rFonts w:hint="eastAsia" w:ascii="仿宋_GB2312" w:hAnsi="Times New Roman" w:eastAsia="仿宋_GB2312" w:cs="Times New Roman"/>
          <w:color w:val="auto"/>
          <w:sz w:val="32"/>
          <w:szCs w:val="20"/>
        </w:rPr>
        <w:t>省级提供参考目录，对由于技术水平的提升使污染物排放和环境风险发生较大变化的工业项目或一些未纳入工业项目分类目录的 项目，由设区市生态环境行政主管部门组织专家论证，根据实际污染物排放状况和环境风险水平，按照工业项目分类的基本原则，确定纳入工业项目分类目录中的某一类。根据经济技术进步和实施情况，由省级生态环境主管部门对工业项目分类表进行动态更新。</w:t>
      </w:r>
    </w:p>
    <w:p w14:paraId="08DE14B8">
      <w:pPr>
        <w:spacing w:line="560" w:lineRule="exact"/>
        <w:jc w:val="center"/>
        <w:rPr>
          <w:rFonts w:ascii="Times New Roman" w:hAnsi="Times New Roman" w:eastAsia="黑体" w:cs="Calibri"/>
          <w:color w:val="auto"/>
          <w:sz w:val="28"/>
          <w:szCs w:val="28"/>
        </w:rPr>
      </w:pPr>
      <w:r>
        <w:rPr>
          <w:rFonts w:hint="eastAsia" w:ascii="Times New Roman" w:hAnsi="Times New Roman" w:eastAsia="黑体" w:cs="Calibri"/>
          <w:color w:val="auto"/>
          <w:sz w:val="28"/>
          <w:szCs w:val="28"/>
        </w:rPr>
        <w:t>表</w:t>
      </w:r>
      <w:r>
        <w:rPr>
          <w:rFonts w:ascii="Times New Roman" w:hAnsi="Times New Roman" w:eastAsia="黑体" w:cs="Calibri"/>
          <w:color w:val="auto"/>
          <w:sz w:val="28"/>
          <w:szCs w:val="28"/>
        </w:rPr>
        <w:t xml:space="preserve">1  </w:t>
      </w:r>
      <w:r>
        <w:rPr>
          <w:rFonts w:hint="eastAsia" w:ascii="Times New Roman" w:hAnsi="Times New Roman" w:eastAsia="黑体" w:cs="Calibri"/>
          <w:color w:val="auto"/>
          <w:sz w:val="28"/>
          <w:szCs w:val="28"/>
        </w:rPr>
        <w:t>工业项目分类表</w:t>
      </w:r>
    </w:p>
    <w:p w14:paraId="64B2299B">
      <w:pPr>
        <w:rPr>
          <w:rFonts w:ascii="Calibri" w:hAnsi="Calibri" w:eastAsia="宋体" w:cs="Calibri"/>
          <w:color w:val="auto"/>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7602"/>
      </w:tblGrid>
      <w:tr w14:paraId="3D2C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blHeader/>
          <w:jc w:val="center"/>
        </w:trPr>
        <w:tc>
          <w:tcPr>
            <w:tcW w:w="1346" w:type="dxa"/>
            <w:tcBorders>
              <w:top w:val="single" w:color="auto" w:sz="4" w:space="0"/>
              <w:left w:val="single" w:color="auto" w:sz="4" w:space="0"/>
              <w:bottom w:val="single" w:color="auto" w:sz="4" w:space="0"/>
              <w:right w:val="single" w:color="auto" w:sz="4" w:space="0"/>
            </w:tcBorders>
            <w:vAlign w:val="center"/>
          </w:tcPr>
          <w:p w14:paraId="442D8C4B">
            <w:pPr>
              <w:adjustRightInd w:val="0"/>
              <w:snapToGrid w:val="0"/>
              <w:spacing w:line="300" w:lineRule="exact"/>
              <w:jc w:val="center"/>
              <w:rPr>
                <w:rFonts w:ascii="Times New Roman" w:hAnsi="Times New Roman" w:eastAsia="仿宋_GB2312" w:cs="Times New Roman"/>
                <w:b/>
                <w:color w:val="auto"/>
                <w:sz w:val="24"/>
                <w:szCs w:val="24"/>
              </w:rPr>
            </w:pPr>
            <w:r>
              <w:rPr>
                <w:rFonts w:ascii="Times New Roman" w:hAnsi="Times New Roman" w:eastAsia="仿宋_GB2312" w:cs="Times New Roman"/>
                <w:b/>
                <w:color w:val="auto"/>
                <w:sz w:val="24"/>
                <w:szCs w:val="24"/>
              </w:rPr>
              <w:t>项目类别</w:t>
            </w:r>
          </w:p>
        </w:tc>
        <w:tc>
          <w:tcPr>
            <w:tcW w:w="7602" w:type="dxa"/>
            <w:tcBorders>
              <w:top w:val="single" w:color="auto" w:sz="4" w:space="0"/>
              <w:left w:val="single" w:color="auto" w:sz="4" w:space="0"/>
              <w:bottom w:val="single" w:color="auto" w:sz="4" w:space="0"/>
              <w:right w:val="single" w:color="auto" w:sz="4" w:space="0"/>
            </w:tcBorders>
          </w:tcPr>
          <w:p w14:paraId="1DE836AE">
            <w:pPr>
              <w:adjustRightInd w:val="0"/>
              <w:snapToGrid w:val="0"/>
              <w:spacing w:line="300" w:lineRule="exact"/>
              <w:jc w:val="center"/>
              <w:rPr>
                <w:rFonts w:ascii="Times New Roman" w:hAnsi="Times New Roman" w:eastAsia="仿宋_GB2312" w:cs="Times New Roman"/>
                <w:b/>
                <w:color w:val="auto"/>
                <w:sz w:val="24"/>
                <w:szCs w:val="24"/>
              </w:rPr>
            </w:pPr>
            <w:r>
              <w:rPr>
                <w:rFonts w:ascii="Times New Roman" w:hAnsi="Times New Roman" w:eastAsia="仿宋_GB2312" w:cs="Times New Roman"/>
                <w:b/>
                <w:color w:val="auto"/>
                <w:sz w:val="24"/>
                <w:szCs w:val="24"/>
              </w:rPr>
              <w:t>主要工业项目</w:t>
            </w:r>
          </w:p>
        </w:tc>
      </w:tr>
      <w:tr w14:paraId="0E3E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tcBorders>
              <w:top w:val="single" w:color="auto" w:sz="4" w:space="0"/>
              <w:left w:val="single" w:color="auto" w:sz="4" w:space="0"/>
              <w:bottom w:val="single" w:color="auto" w:sz="4" w:space="0"/>
              <w:right w:val="single" w:color="auto" w:sz="4" w:space="0"/>
            </w:tcBorders>
            <w:vAlign w:val="center"/>
          </w:tcPr>
          <w:p w14:paraId="60136896">
            <w:pPr>
              <w:adjustRightInd w:val="0"/>
              <w:snapToGrid w:val="0"/>
              <w:spacing w:line="300" w:lineRule="exact"/>
              <w:jc w:val="center"/>
              <w:rPr>
                <w:rFonts w:ascii="Times New Roman" w:hAnsi="Times New Roman" w:eastAsia="仿宋_GB2312" w:cs="Times New Roman"/>
                <w:b/>
                <w:color w:val="auto"/>
                <w:sz w:val="24"/>
                <w:szCs w:val="24"/>
              </w:rPr>
            </w:pPr>
            <w:r>
              <w:rPr>
                <w:rFonts w:ascii="Times New Roman" w:hAnsi="Times New Roman" w:eastAsia="仿宋_GB2312" w:cs="Times New Roman"/>
                <w:b/>
                <w:color w:val="auto"/>
                <w:sz w:val="24"/>
                <w:szCs w:val="24"/>
              </w:rPr>
              <w:t>一类工业</w:t>
            </w:r>
          </w:p>
          <w:p w14:paraId="43E84025">
            <w:pPr>
              <w:adjustRightInd w:val="0"/>
              <w:snapToGrid w:val="0"/>
              <w:spacing w:line="300" w:lineRule="exact"/>
              <w:jc w:val="center"/>
              <w:rPr>
                <w:rFonts w:ascii="Times New Roman" w:hAnsi="Times New Roman" w:eastAsia="仿宋_GB2312" w:cs="Times New Roman"/>
                <w:b/>
                <w:color w:val="auto"/>
                <w:sz w:val="24"/>
                <w:szCs w:val="24"/>
              </w:rPr>
            </w:pPr>
            <w:r>
              <w:rPr>
                <w:rFonts w:ascii="Times New Roman" w:hAnsi="Times New Roman" w:eastAsia="仿宋_GB2312" w:cs="Times New Roman"/>
                <w:b/>
                <w:color w:val="auto"/>
                <w:sz w:val="24"/>
                <w:szCs w:val="24"/>
              </w:rPr>
              <w:t>项目</w:t>
            </w:r>
          </w:p>
          <w:p w14:paraId="3644188A">
            <w:pPr>
              <w:adjustRightInd w:val="0"/>
              <w:snapToGrid w:val="0"/>
              <w:spacing w:line="30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（基本无污染和环境风险的项目）</w:t>
            </w:r>
          </w:p>
        </w:tc>
        <w:tc>
          <w:tcPr>
            <w:tcW w:w="7602" w:type="dxa"/>
            <w:tcBorders>
              <w:top w:val="single" w:color="auto" w:sz="4" w:space="0"/>
              <w:left w:val="single" w:color="auto" w:sz="4" w:space="0"/>
              <w:bottom w:val="single" w:color="auto" w:sz="4" w:space="0"/>
              <w:right w:val="single" w:color="auto" w:sz="4" w:space="0"/>
            </w:tcBorders>
          </w:tcPr>
          <w:p w14:paraId="0A60951F">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1、谷物磨制131、饲料加工132（不含发酵工艺的）；</w:t>
            </w:r>
          </w:p>
          <w:p w14:paraId="4131AF6F">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2、植物油加工133（单纯分装、调和的）；</w:t>
            </w:r>
          </w:p>
          <w:p w14:paraId="38950423">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3、制糖业134（单纯分装的）；</w:t>
            </w:r>
          </w:p>
          <w:p w14:paraId="325E71A4">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4、淀粉及淀粉制品制造1391（单纯分装的）；</w:t>
            </w:r>
          </w:p>
          <w:p w14:paraId="71BC3B79">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5、豆制品制造1392（手工制作或单纯分装的）；</w:t>
            </w:r>
          </w:p>
          <w:p w14:paraId="4D296E4B">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6、蛋品加工1393；</w:t>
            </w:r>
          </w:p>
          <w:p w14:paraId="669390A3">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7、其他未列明农副食品加工1399（单纯分装的）；</w:t>
            </w:r>
          </w:p>
          <w:p w14:paraId="2227D9E1">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8、糖果、巧克力及蜜饯制造142（单纯分装的）；</w:t>
            </w:r>
          </w:p>
          <w:p w14:paraId="4C16B9DE">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9、方便食品制造143（手工制作或单纯分装的）；</w:t>
            </w:r>
          </w:p>
          <w:p w14:paraId="6C57AE47">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10、罐头食品制造145（单纯分装的）；</w:t>
            </w:r>
          </w:p>
          <w:p w14:paraId="413D878C">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11、乳制品制造144（单纯混合、分装的）；</w:t>
            </w:r>
          </w:p>
          <w:p w14:paraId="605CC620">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12、调味品、发酵制品制造146（单纯混合、分装的）；</w:t>
            </w:r>
          </w:p>
          <w:p w14:paraId="5552D67C">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13、其他食品制造149（单纯混合、分装的）；</w:t>
            </w:r>
          </w:p>
          <w:p w14:paraId="035F20A2">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14、酒的制造151（单纯勾兑的）；</w:t>
            </w:r>
          </w:p>
          <w:p w14:paraId="7150AE8D">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15、饮料制造152（无发酵工艺、原汁生产的）；</w:t>
            </w:r>
          </w:p>
          <w:p w14:paraId="63CE2F09">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16、纺织业17（除属于二类、三类工业项目外的）；</w:t>
            </w:r>
          </w:p>
          <w:p w14:paraId="638E1197">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17、纺织服装、服饰业18（除喷墨印花和数码印花外，无其他染色、印花工艺的；无水洗工艺的）；</w:t>
            </w:r>
          </w:p>
          <w:p w14:paraId="474ED066">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18、羽毛（绒）加工及制品制造194（无水洗工艺的羽毛（绒）加工；羽毛（绒）制品制造）；</w:t>
            </w:r>
          </w:p>
          <w:p w14:paraId="737FE48D">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19、制鞋业195（无橡胶硫化工艺、塑料注塑工艺的；不使用有机溶剂的）；</w:t>
            </w:r>
          </w:p>
          <w:p w14:paraId="1AAA65C7">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20、木材加工201、木质制品制造203（无电镀工艺、涂装工艺的；无木片烘干、水煮、染色等工艺的）；</w:t>
            </w:r>
          </w:p>
          <w:p w14:paraId="4346D70B">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21、竹、藤、棕、草等制品制造204（无电镀工艺、胶合工艺和涂装工艺的；无化学处理工艺的）；</w:t>
            </w:r>
          </w:p>
          <w:p w14:paraId="0ED64EA7">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22、家具制造业21（仅切割、组装的）；</w:t>
            </w:r>
          </w:p>
          <w:p w14:paraId="00B2898C">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23、纸制品制造223（无涂布、浸渍、印刷、粘胶工艺的；无化学处理工艺的）；</w:t>
            </w:r>
          </w:p>
          <w:p w14:paraId="05759932">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24、印刷231（激光印刷）；</w:t>
            </w:r>
          </w:p>
          <w:p w14:paraId="23BF63E5">
            <w:pPr>
              <w:adjustRightInd w:val="0"/>
              <w:snapToGrid w:val="0"/>
              <w:spacing w:before="156" w:beforeLines="50" w:line="32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25、工艺美术及礼仪用品制造243（无电镀、涂装工艺和机加工的）；</w:t>
            </w:r>
          </w:p>
          <w:p w14:paraId="59800D90">
            <w:pPr>
              <w:adjustRightInd w:val="0"/>
              <w:snapToGrid w:val="0"/>
              <w:spacing w:before="156" w:beforeLines="50" w:line="32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26、日用化学产品制造268（仅单纯混合或分装的）</w:t>
            </w:r>
            <w:r>
              <w:rPr>
                <w:rFonts w:hint="eastAsia" w:ascii="Times New Roman" w:hAnsi="Times New Roman" w:eastAsia="仿宋_GB2312" w:cs="Times New Roman"/>
                <w:color w:val="auto"/>
                <w:sz w:val="24"/>
                <w:szCs w:val="24"/>
              </w:rPr>
              <w:t>；</w:t>
            </w:r>
          </w:p>
          <w:p w14:paraId="2ECB6545">
            <w:pPr>
              <w:adjustRightInd w:val="0"/>
              <w:snapToGrid w:val="0"/>
              <w:spacing w:before="156" w:beforeLines="50" w:line="32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27、结构性金属制品制造331、金属工具制造332、集装箱及金属包装容器制造333、金属丝绳及其制品制造334，建筑、安全用金属制品制造335，搪瓷制品制造337、金属制日用品制造338、铸造及其他金属制品制造339（仅分割、焊接、组装的）；</w:t>
            </w:r>
          </w:p>
          <w:p w14:paraId="0299B42B">
            <w:pPr>
              <w:adjustRightInd w:val="0"/>
              <w:snapToGrid w:val="0"/>
              <w:spacing w:before="156" w:beforeLines="50" w:line="32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28、通用设备制造业34（仅分割、焊接、组装的）；</w:t>
            </w:r>
          </w:p>
          <w:p w14:paraId="1B2E11E0">
            <w:pPr>
              <w:adjustRightInd w:val="0"/>
              <w:snapToGrid w:val="0"/>
              <w:spacing w:before="156" w:beforeLines="50" w:line="32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29、专用设备制造业35（仅分割、焊接、组装的）；</w:t>
            </w:r>
          </w:p>
          <w:p w14:paraId="1564EA6B">
            <w:pPr>
              <w:adjustRightInd w:val="0"/>
              <w:snapToGrid w:val="0"/>
              <w:spacing w:before="156" w:beforeLines="50" w:line="32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30、汽车制造业36（仅组装的）；</w:t>
            </w:r>
          </w:p>
          <w:p w14:paraId="13126487">
            <w:pPr>
              <w:adjustRightInd w:val="0"/>
              <w:snapToGrid w:val="0"/>
              <w:spacing w:before="156" w:beforeLines="50" w:line="32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31、铁路运输设备制造371、城市轨道交通设备制造372（仅组装的）；</w:t>
            </w:r>
          </w:p>
          <w:p w14:paraId="660662BF">
            <w:pPr>
              <w:adjustRightInd w:val="0"/>
              <w:snapToGrid w:val="0"/>
              <w:spacing w:before="156" w:beforeLines="50" w:line="32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32、船舶及相关装置制造373（仅组装的）；</w:t>
            </w:r>
          </w:p>
          <w:p w14:paraId="3D394168">
            <w:pPr>
              <w:adjustRightInd w:val="0"/>
              <w:snapToGrid w:val="0"/>
              <w:spacing w:before="156" w:beforeLines="50" w:line="32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33、航空、航天器及设备制造374（仅组装的）；</w:t>
            </w:r>
          </w:p>
          <w:p w14:paraId="46A67689">
            <w:pPr>
              <w:adjustRightInd w:val="0"/>
              <w:snapToGrid w:val="0"/>
              <w:spacing w:before="156" w:beforeLines="50" w:line="32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34、摩托车制造375（仅组装的）；</w:t>
            </w:r>
          </w:p>
          <w:p w14:paraId="1F72EAE5">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35、自行车和残疾人座车制造376、助动车制造377、非公路休闲车及零配件制造378、潜水救捞及其他未列明运输设备制造379（仅分割、焊接、组装的）；</w:t>
            </w:r>
          </w:p>
          <w:p w14:paraId="3306E80F">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36、电气机械和器材制造业38（仅分割、焊接、组装的）；</w:t>
            </w:r>
          </w:p>
          <w:p w14:paraId="70C7677D">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37、计算机制造391（仅分割、焊接、组装的）；</w:t>
            </w:r>
          </w:p>
          <w:p w14:paraId="7EA946A5">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38、智能消费设备制造396（仅分割、焊接、组装的）；</w:t>
            </w:r>
          </w:p>
          <w:p w14:paraId="73259EFD">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39、电子器件制造397（仅分割、焊接、组装的）；</w:t>
            </w:r>
          </w:p>
          <w:p w14:paraId="65C6C89D">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40、电子元件及电子专用材料制造398（仅分割、焊接、组装的）；</w:t>
            </w:r>
          </w:p>
          <w:p w14:paraId="6E96DEBD">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41、通信设备制造392、广播电视设备制造393、雷达及配套设备制造394、非专业视听设备制造395、其他电子设备制造399（仅分割、焊接、组装的）；</w:t>
            </w:r>
          </w:p>
          <w:p w14:paraId="4951D889">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42、仪器仪表制造业40（仅分割、焊接、组装的）；</w:t>
            </w:r>
          </w:p>
          <w:p w14:paraId="653FB47F">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43、金属制品、机械和设备修理业43（不产生废水或挥发性有机物的）。</w:t>
            </w:r>
          </w:p>
        </w:tc>
      </w:tr>
      <w:tr w14:paraId="598B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tcBorders>
              <w:top w:val="single" w:color="auto" w:sz="4" w:space="0"/>
              <w:left w:val="single" w:color="auto" w:sz="4" w:space="0"/>
              <w:bottom w:val="single" w:color="auto" w:sz="4" w:space="0"/>
              <w:right w:val="single" w:color="auto" w:sz="4" w:space="0"/>
            </w:tcBorders>
            <w:vAlign w:val="center"/>
          </w:tcPr>
          <w:p w14:paraId="53ED86C3">
            <w:pPr>
              <w:adjustRightInd w:val="0"/>
              <w:snapToGrid w:val="0"/>
              <w:spacing w:line="300" w:lineRule="exact"/>
              <w:jc w:val="center"/>
              <w:rPr>
                <w:rFonts w:ascii="Times New Roman" w:hAnsi="Times New Roman" w:eastAsia="仿宋_GB2312" w:cs="Times New Roman"/>
                <w:b/>
                <w:color w:val="auto"/>
                <w:sz w:val="24"/>
                <w:szCs w:val="24"/>
              </w:rPr>
            </w:pPr>
            <w:r>
              <w:rPr>
                <w:rFonts w:ascii="Times New Roman" w:hAnsi="Times New Roman" w:eastAsia="仿宋_GB2312" w:cs="Times New Roman"/>
                <w:b/>
                <w:color w:val="auto"/>
                <w:sz w:val="24"/>
                <w:szCs w:val="24"/>
              </w:rPr>
              <w:t>二类工业</w:t>
            </w:r>
          </w:p>
          <w:p w14:paraId="20369B15">
            <w:pPr>
              <w:adjustRightInd w:val="0"/>
              <w:snapToGrid w:val="0"/>
              <w:spacing w:line="300" w:lineRule="exact"/>
              <w:jc w:val="center"/>
              <w:rPr>
                <w:rFonts w:ascii="Times New Roman" w:hAnsi="Times New Roman" w:eastAsia="仿宋_GB2312" w:cs="Times New Roman"/>
                <w:b/>
                <w:color w:val="auto"/>
                <w:sz w:val="24"/>
                <w:szCs w:val="24"/>
              </w:rPr>
            </w:pPr>
            <w:r>
              <w:rPr>
                <w:rFonts w:ascii="Times New Roman" w:hAnsi="Times New Roman" w:eastAsia="仿宋_GB2312" w:cs="Times New Roman"/>
                <w:b/>
                <w:color w:val="auto"/>
                <w:sz w:val="24"/>
                <w:szCs w:val="24"/>
              </w:rPr>
              <w:t>项目</w:t>
            </w:r>
          </w:p>
          <w:p w14:paraId="299BB024">
            <w:pPr>
              <w:adjustRightInd w:val="0"/>
              <w:snapToGrid w:val="0"/>
              <w:spacing w:line="300" w:lineRule="exact"/>
              <w:ind w:left="-126" w:leftChars="-60"/>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（环境风险不高、污染物排放量不大的项目）</w:t>
            </w:r>
          </w:p>
        </w:tc>
        <w:tc>
          <w:tcPr>
            <w:tcW w:w="7602" w:type="dxa"/>
            <w:tcBorders>
              <w:top w:val="single" w:color="auto" w:sz="4" w:space="0"/>
              <w:left w:val="single" w:color="auto" w:sz="4" w:space="0"/>
              <w:bottom w:val="single" w:color="auto" w:sz="4" w:space="0"/>
              <w:right w:val="single" w:color="auto" w:sz="4" w:space="0"/>
            </w:tcBorders>
          </w:tcPr>
          <w:p w14:paraId="46C815AA">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44、谷物磨制131、饲料加工132（除属于一类工业项目外的）；</w:t>
            </w:r>
          </w:p>
          <w:p w14:paraId="791F7186">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45、植物油加工133（除属于一类工业项目外的）；</w:t>
            </w:r>
          </w:p>
          <w:p w14:paraId="6863D442">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46、制糖业134（除属于一类工业项目外的）；</w:t>
            </w:r>
          </w:p>
          <w:p w14:paraId="3EB8F93A">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47、屠宰及肉类加工135；</w:t>
            </w:r>
          </w:p>
          <w:p w14:paraId="5193E438">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48、水产品加工136；</w:t>
            </w:r>
          </w:p>
          <w:p w14:paraId="7E2AB279">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49、淀粉及淀粉制品制造1391（除属于一类工业项目外的）；</w:t>
            </w:r>
          </w:p>
          <w:p w14:paraId="6CCC1176">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50、豆制品制造1392（除属于一类工业项目外的）；</w:t>
            </w:r>
          </w:p>
          <w:p w14:paraId="238DD1C2">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51、其他未列明农副食品加工1399（除属于一类工业项目外的）；</w:t>
            </w:r>
          </w:p>
          <w:p w14:paraId="17FECF9A">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52、糖果、巧克力及蜜饯制造142（除属于一类工业项目外的）；</w:t>
            </w:r>
          </w:p>
          <w:p w14:paraId="7E149F11">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53、方便食品制造143（除属于一类工业项目外的）；</w:t>
            </w:r>
          </w:p>
          <w:p w14:paraId="31F37A20">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54、罐头食品制造145（除属于一类工业项目外的）；</w:t>
            </w:r>
          </w:p>
          <w:p w14:paraId="7798B547">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55、乳制品制造144（除属于一类工业项目外的）；</w:t>
            </w:r>
          </w:p>
          <w:p w14:paraId="5A015269">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56、调味品、发酵制品制造146（除属于一类工业项目外的）；</w:t>
            </w:r>
          </w:p>
          <w:p w14:paraId="019D2E3C">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57、其他食品制造149（除属于一类工业项目外的）；</w:t>
            </w:r>
          </w:p>
          <w:p w14:paraId="5E790F65">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58、酒的制造151（除属于一类工业项目外的）；</w:t>
            </w:r>
          </w:p>
          <w:p w14:paraId="31F307D3">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59、饮料制造152（除属于一类工业项目外的）；</w:t>
            </w:r>
          </w:p>
          <w:p w14:paraId="1E29F7C1">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60、卷烟制造162；</w:t>
            </w:r>
          </w:p>
          <w:p w14:paraId="0976C192">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61、纺织业17（有喷墨印花或数码印花工艺的；后整理工序涉及有机溶剂的（不含有使用溶剂型原辅料的涂层工艺的）；有喷水织造工艺的；有水刺无纺布织造工艺的；有洗毛、脱胶、缫丝工艺的）；</w:t>
            </w:r>
          </w:p>
          <w:p w14:paraId="569FD4DD">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62、纺织服装、服饰业18（除属于一类工业项目外的）；</w:t>
            </w:r>
          </w:p>
          <w:p w14:paraId="43E39325">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63、皮革鞣制加工191、皮革制品制造192、毛皮鞣制及制品加工193（除属于三类工业项目外的）；</w:t>
            </w:r>
          </w:p>
          <w:p w14:paraId="5DEE8A41">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64、羽毛（绒）加工及制品制造194（除属于一类工业项目外的）；</w:t>
            </w:r>
          </w:p>
          <w:p w14:paraId="2D964765">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65、制鞋业195（除属于一类工业项目外的）；</w:t>
            </w:r>
          </w:p>
          <w:p w14:paraId="7E67608D">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66、木材加工201、木质制品制造203（除属于一类工业项目外的）；</w:t>
            </w:r>
          </w:p>
          <w:p w14:paraId="5B1B1176">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67、人造板制造202；</w:t>
            </w:r>
          </w:p>
          <w:p w14:paraId="2C4A7D11">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68、竹、藤、棕、草等制品制造204（除属于一类工业项目外的）；</w:t>
            </w:r>
          </w:p>
          <w:p w14:paraId="19DE3E37">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69、家具制造业21（除属于一类工业项目外的）；</w:t>
            </w:r>
          </w:p>
          <w:p w14:paraId="72A9E671">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70、纸浆制造221、造纸222（含废纸造纸）（除属于三类工业项目外的）；</w:t>
            </w:r>
          </w:p>
          <w:p w14:paraId="5508229B">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71、纸制品制造223（除属于一类工业项目外的）；</w:t>
            </w:r>
          </w:p>
          <w:p w14:paraId="183A441A">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72、印刷231（除属于一类、三类工业项目外的）；</w:t>
            </w:r>
          </w:p>
          <w:p w14:paraId="48AFA218">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73、文教办公用品制造241、乐器制造242、体育用品制造244、玩具制造245、游艺器材及娱乐用品制造246；</w:t>
            </w:r>
          </w:p>
          <w:p w14:paraId="6E650EFE">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74、工艺美术及礼仪用品制造243（除属于一类工业项目外的）；</w:t>
            </w:r>
          </w:p>
          <w:p w14:paraId="6303F5F2">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75、精炼石油产品制造251、煤炭加工 252（单纯物理分离、物理提纯、混合、分装的；煤制品制造；其他煤炭加工）；</w:t>
            </w:r>
          </w:p>
          <w:p w14:paraId="4644245C">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76、生物质燃料加工254（生物质致密成型燃料加工）；</w:t>
            </w:r>
          </w:p>
          <w:p w14:paraId="11EF69E8">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77、基本化学原料制造261</w:t>
            </w:r>
            <w:r>
              <w:rPr>
                <w:rFonts w:hint="eastAsia" w:ascii="Times New Roman" w:hAnsi="Times New Roman" w:eastAsia="仿宋_GB2312" w:cs="Times New Roman"/>
                <w:color w:val="auto"/>
                <w:sz w:val="24"/>
                <w:szCs w:val="24"/>
              </w:rPr>
              <w:t>，</w:t>
            </w:r>
            <w:r>
              <w:rPr>
                <w:rFonts w:ascii="Times New Roman" w:hAnsi="Times New Roman" w:eastAsia="仿宋_GB2312" w:cs="Times New Roman"/>
                <w:color w:val="auto"/>
                <w:sz w:val="24"/>
                <w:szCs w:val="24"/>
              </w:rPr>
              <w:t>农药制造263，涂料、油墨、颜料及类似产品制造264，合成材料制造265</w:t>
            </w:r>
            <w:r>
              <w:rPr>
                <w:rFonts w:hint="eastAsia" w:ascii="Times New Roman" w:hAnsi="Times New Roman" w:eastAsia="仿宋_GB2312" w:cs="Times New Roman"/>
                <w:color w:val="auto"/>
                <w:sz w:val="24"/>
                <w:szCs w:val="24"/>
              </w:rPr>
              <w:t>，</w:t>
            </w:r>
            <w:r>
              <w:rPr>
                <w:rFonts w:ascii="Times New Roman" w:hAnsi="Times New Roman" w:eastAsia="仿宋_GB2312" w:cs="Times New Roman"/>
                <w:color w:val="auto"/>
                <w:sz w:val="24"/>
                <w:szCs w:val="24"/>
              </w:rPr>
              <w:t>专用化学品制造266，炸药、火工及焰火产品制造267（单纯物理分离、物理提纯、混合、分装的）；</w:t>
            </w:r>
          </w:p>
          <w:p w14:paraId="5AF9C370">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78、肥料制造262（除属于三类工业项目外的）；</w:t>
            </w:r>
          </w:p>
          <w:p w14:paraId="17C1F58C">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79、日用化学产品制造268（除属于一类、三类项目外的）；</w:t>
            </w:r>
          </w:p>
          <w:p w14:paraId="77F8CD9D">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80、化学药品原料药制造271、兽用药品制造275（单纯药品复配）；</w:t>
            </w:r>
          </w:p>
          <w:p w14:paraId="0756A774">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81、化学药品制剂制造272；</w:t>
            </w:r>
          </w:p>
          <w:p w14:paraId="2B362DA0">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82、生物药品制品制造276；</w:t>
            </w:r>
          </w:p>
          <w:p w14:paraId="71E0B66B">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83、中药饮片加工273、中成药生产274；</w:t>
            </w:r>
          </w:p>
          <w:p w14:paraId="0F2109E5">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84、卫生材料及医药用品制造277、药用辅料及包装材料制造278；</w:t>
            </w:r>
          </w:p>
          <w:p w14:paraId="335BAC52">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85、纤维素纤维原料及纤维制造281、合成纤维制造282（单纯纺丝制造；单纯丙纶纤维制造）；</w:t>
            </w:r>
          </w:p>
          <w:p w14:paraId="169E7B9B">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86、生物基材料制造283（单纯纺丝制造）；</w:t>
            </w:r>
          </w:p>
          <w:p w14:paraId="58B8F1DA">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87、橡胶制品业291（除属于三类工业项目外的）；</w:t>
            </w:r>
          </w:p>
          <w:p w14:paraId="5E570197">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88、塑料制品业292（除属于三类工业项目外的）；</w:t>
            </w:r>
          </w:p>
          <w:p w14:paraId="0CB12747">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89、水泥、石灰和石膏制造301（水泥磨粉站；石灰和石膏制造）；</w:t>
            </w:r>
          </w:p>
          <w:p w14:paraId="226F60E8">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90、石膏、水泥制品及类似制品制造302；</w:t>
            </w:r>
          </w:p>
          <w:p w14:paraId="1997DFC4">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91、砖瓦、石材等建筑材料制造303；</w:t>
            </w:r>
          </w:p>
          <w:p w14:paraId="1AC72620">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92、玻璃制造304、玻璃制品制造305（除属于三类工业项目外的）；</w:t>
            </w:r>
          </w:p>
          <w:p w14:paraId="722DDE6A">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93、玻璃纤维和玻璃纤维增强塑料制品制造306；</w:t>
            </w:r>
          </w:p>
          <w:p w14:paraId="59DE0D5A">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94、陶瓷制品制造307；</w:t>
            </w:r>
          </w:p>
          <w:p w14:paraId="39F64AD1">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95、耐火材料制品制造308、石墨及其他非金属矿物制品制造309（除属于三类工业项目外的）；</w:t>
            </w:r>
          </w:p>
          <w:p w14:paraId="3966B602">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96、钢压延加工313；</w:t>
            </w:r>
          </w:p>
          <w:p w14:paraId="7DD95D32">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97、常用有色金属冶炼321、贵金属冶炼322、稀有稀土金属冶炼323、有色金属合金制造324（利用单质金属混配重熔生产合金的）；</w:t>
            </w:r>
          </w:p>
          <w:p w14:paraId="28E436A5">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98、有色金属压延加工325；</w:t>
            </w:r>
          </w:p>
          <w:p w14:paraId="733B2ED4">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99、结构性金属制品制造331</w:t>
            </w:r>
            <w:r>
              <w:rPr>
                <w:rFonts w:hint="eastAsia" w:ascii="Times New Roman" w:hAnsi="Times New Roman" w:eastAsia="仿宋_GB2312" w:cs="Times New Roman"/>
                <w:color w:val="auto"/>
                <w:sz w:val="24"/>
                <w:szCs w:val="24"/>
              </w:rPr>
              <w:t>，</w:t>
            </w:r>
            <w:r>
              <w:rPr>
                <w:rFonts w:ascii="Times New Roman" w:hAnsi="Times New Roman" w:eastAsia="仿宋_GB2312" w:cs="Times New Roman"/>
                <w:color w:val="auto"/>
                <w:sz w:val="24"/>
                <w:szCs w:val="24"/>
              </w:rPr>
              <w:t>金属工具制造332</w:t>
            </w:r>
            <w:r>
              <w:rPr>
                <w:rFonts w:hint="eastAsia" w:ascii="Times New Roman" w:hAnsi="Times New Roman" w:eastAsia="仿宋_GB2312" w:cs="Times New Roman"/>
                <w:color w:val="auto"/>
                <w:sz w:val="24"/>
                <w:szCs w:val="24"/>
              </w:rPr>
              <w:t>，</w:t>
            </w:r>
            <w:r>
              <w:rPr>
                <w:rFonts w:ascii="Times New Roman" w:hAnsi="Times New Roman" w:eastAsia="仿宋_GB2312" w:cs="Times New Roman"/>
                <w:color w:val="auto"/>
                <w:sz w:val="24"/>
                <w:szCs w:val="24"/>
              </w:rPr>
              <w:t>集装箱及金属包装容器制造333</w:t>
            </w:r>
            <w:r>
              <w:rPr>
                <w:rFonts w:hint="eastAsia" w:ascii="Times New Roman" w:hAnsi="Times New Roman" w:eastAsia="仿宋_GB2312" w:cs="Times New Roman"/>
                <w:color w:val="auto"/>
                <w:sz w:val="24"/>
                <w:szCs w:val="24"/>
              </w:rPr>
              <w:t>，</w:t>
            </w:r>
            <w:r>
              <w:rPr>
                <w:rFonts w:ascii="Times New Roman" w:hAnsi="Times New Roman" w:eastAsia="仿宋_GB2312" w:cs="Times New Roman"/>
                <w:color w:val="auto"/>
                <w:sz w:val="24"/>
                <w:szCs w:val="24"/>
              </w:rPr>
              <w:t>金属丝绳及其制品制造334，建筑、安全用金属制品制造335，搪瓷制品制造337</w:t>
            </w:r>
            <w:r>
              <w:rPr>
                <w:rFonts w:hint="eastAsia" w:ascii="Times New Roman" w:hAnsi="Times New Roman" w:eastAsia="仿宋_GB2312" w:cs="Times New Roman"/>
                <w:color w:val="auto"/>
                <w:sz w:val="24"/>
                <w:szCs w:val="24"/>
              </w:rPr>
              <w:t>，</w:t>
            </w:r>
            <w:r>
              <w:rPr>
                <w:rFonts w:ascii="Times New Roman" w:hAnsi="Times New Roman" w:eastAsia="仿宋_GB2312" w:cs="Times New Roman"/>
                <w:color w:val="auto"/>
                <w:sz w:val="24"/>
                <w:szCs w:val="24"/>
              </w:rPr>
              <w:t>金属制日用品制造338（除属于一类、三类工业项目外的）；</w:t>
            </w:r>
          </w:p>
          <w:p w14:paraId="2FFF1F4F">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100、金属表面处理及热处理加工336（除属于三类工业项目外的）；</w:t>
            </w:r>
          </w:p>
          <w:p w14:paraId="649362D1">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101、黑色金属铸造3391；</w:t>
            </w:r>
          </w:p>
          <w:p w14:paraId="29D6D687">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102、有色金属铸造3392；</w:t>
            </w:r>
          </w:p>
          <w:p w14:paraId="09DF112A">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103、通用设备制造业34（除属于一类工业项目外的）；</w:t>
            </w:r>
          </w:p>
          <w:p w14:paraId="58A59BE6">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104、专用设备制造业35（除属于一类工业项目外的）；</w:t>
            </w:r>
          </w:p>
          <w:p w14:paraId="315D56AC">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105、汽车制造业36（除属于一类工业项目外的）；</w:t>
            </w:r>
          </w:p>
          <w:p w14:paraId="2C3A969C">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106、铁路运输设备制造371、城市轨道交通设备制造372（除属于一类工业项目外的）；</w:t>
            </w:r>
          </w:p>
          <w:p w14:paraId="6B6B2102">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107、船舶及相关装置制造373（除属于一类工业项目外的）；</w:t>
            </w:r>
          </w:p>
          <w:p w14:paraId="5A78D448">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108、航空、航天器及设备制造374（除属于一类工业项目外的）；</w:t>
            </w:r>
          </w:p>
          <w:p w14:paraId="09E96201">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109、摩托车制造375（除属于一类工业项目外的）；</w:t>
            </w:r>
          </w:p>
          <w:p w14:paraId="55F377EC">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110、自行车和残疾人座车制造376、助动车制造377、非公路休闲车及零配件制造378、潜水救捞及其他未列明运输设备制造379（除属于一类工业项目外的）；</w:t>
            </w:r>
          </w:p>
          <w:p w14:paraId="51EF9D5A">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111、电气机械和器材制造业38（除属于一类工业项目外的）；</w:t>
            </w:r>
          </w:p>
          <w:p w14:paraId="3ABA0537">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112、计算机制造391（除属于一类工业项目外的）；</w:t>
            </w:r>
          </w:p>
          <w:p w14:paraId="5D585783">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113、智能消费设备制造396（除属于一类工业项目外的）；</w:t>
            </w:r>
          </w:p>
          <w:p w14:paraId="4678D0C9">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114、电子器件制造397（除属于一类工业项目外的）；</w:t>
            </w:r>
          </w:p>
          <w:p w14:paraId="77FB51E9">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115、电子元件及电子专用材料制造398（除属于一类、三类工业项目外的）；</w:t>
            </w:r>
          </w:p>
          <w:p w14:paraId="62129BF3">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116、通信设备制造392、广播电视设备制造393、雷达及配套设备制造394、非专业视听设备制造395、其他电子设备制造399（除属于一类工业项目外的）；</w:t>
            </w:r>
          </w:p>
          <w:p w14:paraId="5DDBD4B2">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117、仪器仪表制造业40（除属于一类工业项目外的）；</w:t>
            </w:r>
          </w:p>
          <w:p w14:paraId="43703B36">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118、日用杂品制造411、其他未列明制造业419（除属于三类工业项目外）；</w:t>
            </w:r>
          </w:p>
          <w:p w14:paraId="01C99C53">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119、废弃资源综合利用业42；</w:t>
            </w:r>
          </w:p>
          <w:p w14:paraId="41E0B17B">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120、金属制品、机械和设备修理业43（除属于一类、三类工业项目外的）；</w:t>
            </w:r>
          </w:p>
          <w:p w14:paraId="0D86573A">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121、燃气生产和供应业45（不含供应工程）。</w:t>
            </w:r>
          </w:p>
        </w:tc>
      </w:tr>
      <w:tr w14:paraId="6446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tcBorders>
              <w:top w:val="single" w:color="auto" w:sz="4" w:space="0"/>
              <w:left w:val="single" w:color="auto" w:sz="4" w:space="0"/>
              <w:bottom w:val="single" w:color="auto" w:sz="4" w:space="0"/>
              <w:right w:val="single" w:color="auto" w:sz="4" w:space="0"/>
            </w:tcBorders>
            <w:vAlign w:val="center"/>
          </w:tcPr>
          <w:p w14:paraId="2F6A8DF7">
            <w:pPr>
              <w:adjustRightInd w:val="0"/>
              <w:snapToGrid w:val="0"/>
              <w:spacing w:line="300" w:lineRule="exact"/>
              <w:jc w:val="center"/>
              <w:rPr>
                <w:rFonts w:ascii="Times New Roman" w:hAnsi="Times New Roman" w:eastAsia="仿宋_GB2312" w:cs="Times New Roman"/>
                <w:b/>
                <w:color w:val="auto"/>
                <w:sz w:val="24"/>
                <w:szCs w:val="24"/>
              </w:rPr>
            </w:pPr>
            <w:r>
              <w:rPr>
                <w:rFonts w:ascii="Times New Roman" w:hAnsi="Times New Roman" w:eastAsia="仿宋_GB2312" w:cs="Times New Roman"/>
                <w:b/>
                <w:color w:val="auto"/>
                <w:sz w:val="24"/>
                <w:szCs w:val="24"/>
              </w:rPr>
              <w:t>三类工业</w:t>
            </w:r>
          </w:p>
          <w:p w14:paraId="60734829">
            <w:pPr>
              <w:adjustRightInd w:val="0"/>
              <w:snapToGrid w:val="0"/>
              <w:spacing w:line="300" w:lineRule="exact"/>
              <w:jc w:val="center"/>
              <w:rPr>
                <w:rFonts w:ascii="Times New Roman" w:hAnsi="Times New Roman" w:eastAsia="仿宋_GB2312" w:cs="Times New Roman"/>
                <w:b/>
                <w:color w:val="auto"/>
                <w:sz w:val="24"/>
                <w:szCs w:val="24"/>
              </w:rPr>
            </w:pPr>
            <w:r>
              <w:rPr>
                <w:rFonts w:ascii="Times New Roman" w:hAnsi="Times New Roman" w:eastAsia="仿宋_GB2312" w:cs="Times New Roman"/>
                <w:b/>
                <w:color w:val="auto"/>
                <w:sz w:val="24"/>
                <w:szCs w:val="24"/>
              </w:rPr>
              <w:t>项目</w:t>
            </w:r>
          </w:p>
          <w:p w14:paraId="742CF149">
            <w:pPr>
              <w:adjustRightInd w:val="0"/>
              <w:snapToGrid w:val="0"/>
              <w:spacing w:line="30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（环境风险较高、污染物排放量较大的项目）</w:t>
            </w:r>
          </w:p>
        </w:tc>
        <w:tc>
          <w:tcPr>
            <w:tcW w:w="7602" w:type="dxa"/>
            <w:tcBorders>
              <w:top w:val="single" w:color="auto" w:sz="4" w:space="0"/>
              <w:left w:val="single" w:color="auto" w:sz="4" w:space="0"/>
              <w:bottom w:val="single" w:color="auto" w:sz="4" w:space="0"/>
              <w:right w:val="single" w:color="auto" w:sz="4" w:space="0"/>
            </w:tcBorders>
          </w:tcPr>
          <w:p w14:paraId="78E9F1BE">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122、纺织业17（染整工艺有前处理、染色、印花（喷墨印花和数码印花的除外）工序的；有使用溶剂型原辅料的涂层工艺的）；</w:t>
            </w:r>
          </w:p>
          <w:p w14:paraId="2F8A307A">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123、皮革鞣制加工191、皮革制品制造192、毛皮鞣制及制品加工193（有鞣制、染色工艺的）；</w:t>
            </w:r>
          </w:p>
          <w:p w14:paraId="594B2A28">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124、纸浆制造221、造纸222（含废纸造纸）（不含手工纸制造；不含有涂布、浸渍、印刷、粘胶工艺的加工纸制造）；</w:t>
            </w:r>
          </w:p>
          <w:p w14:paraId="191539FA">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125、印刷231（年用溶剂油墨10吨及以上的）；</w:t>
            </w:r>
          </w:p>
          <w:p w14:paraId="4EC2FEC1">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126、</w:t>
            </w:r>
            <w:r>
              <w:rPr>
                <w:rFonts w:ascii="Times New Roman" w:hAnsi="Times New Roman" w:eastAsia="仿宋_GB2312" w:cs="Times New Roman"/>
                <w:color w:val="auto"/>
                <w:spacing w:val="-11"/>
                <w:sz w:val="24"/>
                <w:szCs w:val="24"/>
              </w:rPr>
              <w:t>精炼石油产品制造251、煤炭加工252（除属于二类工业项目外的）；</w:t>
            </w:r>
          </w:p>
          <w:p w14:paraId="0B6E7A6B">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127、生物质燃料加工254（生物质液体燃料生产）；</w:t>
            </w:r>
          </w:p>
          <w:p w14:paraId="7574A27F">
            <w:pPr>
              <w:adjustRightInd w:val="0"/>
              <w:snapToGrid w:val="0"/>
              <w:spacing w:before="156" w:beforeLines="50" w:line="300" w:lineRule="exact"/>
              <w:ind w:firstLine="240" w:firstLineChars="100"/>
              <w:rPr>
                <w:rFonts w:ascii="Times New Roman" w:hAnsi="Times New Roman" w:eastAsia="仿宋_GB2312" w:cs="Times New Roman"/>
                <w:bCs/>
                <w:color w:val="auto"/>
                <w:sz w:val="24"/>
                <w:szCs w:val="24"/>
              </w:rPr>
            </w:pPr>
            <w:r>
              <w:rPr>
                <w:rFonts w:ascii="Times New Roman" w:hAnsi="Times New Roman" w:eastAsia="仿宋_GB2312" w:cs="Times New Roman"/>
                <w:color w:val="auto"/>
                <w:sz w:val="24"/>
                <w:szCs w:val="24"/>
              </w:rPr>
              <w:t>128、基本化学原料制造261</w:t>
            </w:r>
            <w:r>
              <w:rPr>
                <w:rFonts w:hint="eastAsia" w:ascii="Times New Roman" w:hAnsi="Times New Roman" w:eastAsia="仿宋_GB2312" w:cs="Times New Roman"/>
                <w:color w:val="auto"/>
                <w:sz w:val="24"/>
                <w:szCs w:val="24"/>
              </w:rPr>
              <w:t>，</w:t>
            </w:r>
            <w:r>
              <w:rPr>
                <w:rFonts w:ascii="Times New Roman" w:hAnsi="Times New Roman" w:eastAsia="仿宋_GB2312" w:cs="Times New Roman"/>
                <w:color w:val="auto"/>
                <w:sz w:val="24"/>
                <w:szCs w:val="24"/>
              </w:rPr>
              <w:t>农药制造263，涂料、油墨、颜料及类似产品制造264，合成材料制造265</w:t>
            </w:r>
            <w:r>
              <w:rPr>
                <w:rFonts w:hint="eastAsia" w:ascii="Times New Roman" w:hAnsi="Times New Roman" w:eastAsia="仿宋_GB2312" w:cs="Times New Roman"/>
                <w:color w:val="auto"/>
                <w:sz w:val="24"/>
                <w:szCs w:val="24"/>
              </w:rPr>
              <w:t>，</w:t>
            </w:r>
            <w:r>
              <w:rPr>
                <w:rFonts w:ascii="Times New Roman" w:hAnsi="Times New Roman" w:eastAsia="仿宋_GB2312" w:cs="Times New Roman"/>
                <w:color w:val="auto"/>
                <w:sz w:val="24"/>
                <w:szCs w:val="24"/>
              </w:rPr>
              <w:t>专用化学品制造266，炸药、火工及焰火产品制造267（除单纯物理分离、物理提纯、混合、分装外的）；</w:t>
            </w:r>
          </w:p>
          <w:p w14:paraId="28890B0D">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129、肥料制造262（化学方法生产氮肥、磷肥、复混肥的）；</w:t>
            </w:r>
          </w:p>
          <w:p w14:paraId="78AF8AEE">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130、日用化学产品制造268（以油脂为原料的肥皂或皂粒制造（采用连续皂化工艺、油脂水解工艺的除外）；香料制造（物理方法提取的除外））；</w:t>
            </w:r>
          </w:p>
          <w:p w14:paraId="67FE25E9">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131、化学药品原料药制造271、兽用药品制造275（除单纯药品复配外的）；</w:t>
            </w:r>
          </w:p>
          <w:p w14:paraId="02541DED">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132、纤维素纤维原料及纤维制造281、合成纤维制造282（除单纯纺丝制造和单纯丙纶纤维制造外的）；</w:t>
            </w:r>
          </w:p>
          <w:p w14:paraId="18F3C1EC">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133、生物基材料制造283（除单纯纺丝制造外的）；</w:t>
            </w:r>
          </w:p>
          <w:p w14:paraId="1BB6207C">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134、橡胶制品业291（轮胎制造；再生橡胶制造（常压连续脱硫工艺除外））；</w:t>
            </w:r>
          </w:p>
          <w:p w14:paraId="388910BF">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135、塑料制品业292（有电镀工艺的、以再生塑料为原料生产的）；</w:t>
            </w:r>
          </w:p>
          <w:p w14:paraId="22519F7D">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136、水泥、石灰和石膏制造301（水泥磨粉站除外；石灰和石膏制造除外）；</w:t>
            </w:r>
          </w:p>
          <w:p w14:paraId="4C22A6D5">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137、玻璃制造304、玻璃制品制造305（平板玻璃制造）；</w:t>
            </w:r>
          </w:p>
          <w:p w14:paraId="6326C7FB">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138、耐火材料制品制造308、石墨及其他非金属矿物制品制造309（石棉制品；含焙烧的石墨、碳素制品）；</w:t>
            </w:r>
          </w:p>
          <w:p w14:paraId="632F11B8">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139、炼铁311；</w:t>
            </w:r>
          </w:p>
          <w:p w14:paraId="11D259FC">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140、炼钢312；</w:t>
            </w:r>
          </w:p>
          <w:p w14:paraId="5DDEB7E5">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141、铁合金冶炼314；</w:t>
            </w:r>
          </w:p>
          <w:p w14:paraId="0493A5D9">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142、常用有色金属冶炼321、贵金属冶炼322、稀有稀土金属冶炼323、有色金属合金制造324（除利用单质金属混配重熔生产合金外的）；</w:t>
            </w:r>
          </w:p>
          <w:p w14:paraId="6B01C824">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143、结构性金属制品制造331</w:t>
            </w:r>
            <w:r>
              <w:rPr>
                <w:rFonts w:hint="eastAsia" w:ascii="Times New Roman" w:hAnsi="Times New Roman" w:eastAsia="仿宋_GB2312" w:cs="Times New Roman"/>
                <w:color w:val="auto"/>
                <w:sz w:val="24"/>
                <w:szCs w:val="24"/>
              </w:rPr>
              <w:t>，</w:t>
            </w:r>
            <w:r>
              <w:rPr>
                <w:rFonts w:ascii="Times New Roman" w:hAnsi="Times New Roman" w:eastAsia="仿宋_GB2312" w:cs="Times New Roman"/>
                <w:color w:val="auto"/>
                <w:sz w:val="24"/>
                <w:szCs w:val="24"/>
              </w:rPr>
              <w:t>金属工具制造332</w:t>
            </w:r>
            <w:r>
              <w:rPr>
                <w:rFonts w:hint="eastAsia" w:ascii="Times New Roman" w:hAnsi="Times New Roman" w:eastAsia="仿宋_GB2312" w:cs="Times New Roman"/>
                <w:color w:val="auto"/>
                <w:sz w:val="24"/>
                <w:szCs w:val="24"/>
              </w:rPr>
              <w:t>，</w:t>
            </w:r>
            <w:r>
              <w:rPr>
                <w:rFonts w:ascii="Times New Roman" w:hAnsi="Times New Roman" w:eastAsia="仿宋_GB2312" w:cs="Times New Roman"/>
                <w:color w:val="auto"/>
                <w:sz w:val="24"/>
                <w:szCs w:val="24"/>
              </w:rPr>
              <w:t>集装箱及金属包装容器制造333</w:t>
            </w:r>
            <w:r>
              <w:rPr>
                <w:rFonts w:hint="eastAsia" w:ascii="Times New Roman" w:hAnsi="Times New Roman" w:eastAsia="仿宋_GB2312" w:cs="Times New Roman"/>
                <w:color w:val="auto"/>
                <w:sz w:val="24"/>
                <w:szCs w:val="24"/>
              </w:rPr>
              <w:t>，</w:t>
            </w:r>
            <w:r>
              <w:rPr>
                <w:rFonts w:ascii="Times New Roman" w:hAnsi="Times New Roman" w:eastAsia="仿宋_GB2312" w:cs="Times New Roman"/>
                <w:color w:val="auto"/>
                <w:sz w:val="24"/>
                <w:szCs w:val="24"/>
              </w:rPr>
              <w:t>金属丝绳及其制品制造334，建筑、安全用金属制品制造335，搪瓷制品制造337</w:t>
            </w:r>
            <w:r>
              <w:rPr>
                <w:rFonts w:hint="eastAsia" w:ascii="Times New Roman" w:hAnsi="Times New Roman" w:eastAsia="仿宋_GB2312" w:cs="Times New Roman"/>
                <w:color w:val="auto"/>
                <w:sz w:val="24"/>
                <w:szCs w:val="24"/>
              </w:rPr>
              <w:t>，</w:t>
            </w:r>
            <w:r>
              <w:rPr>
                <w:rFonts w:ascii="Times New Roman" w:hAnsi="Times New Roman" w:eastAsia="仿宋_GB2312" w:cs="Times New Roman"/>
                <w:color w:val="auto"/>
                <w:sz w:val="24"/>
                <w:szCs w:val="24"/>
              </w:rPr>
              <w:t>金属制日用品制造338（有电镀工艺的）；</w:t>
            </w:r>
          </w:p>
          <w:p w14:paraId="520840E3">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144、金属表面处理及热处理加工336（有电镀工艺的；有钝化工艺的热镀锌）；</w:t>
            </w:r>
          </w:p>
          <w:p w14:paraId="6A3E58F1">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145、电子元件及电子专用材料制造398（半导体材料制造；电子化工材料制造）；</w:t>
            </w:r>
          </w:p>
          <w:p w14:paraId="00C00F3E">
            <w:pPr>
              <w:adjustRightInd w:val="0"/>
              <w:snapToGrid w:val="0"/>
              <w:spacing w:before="156" w:beforeLines="50" w:line="300" w:lineRule="exact"/>
              <w:ind w:firstLine="240" w:firstLineChars="1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146、日用杂品制造411、其他未列明制造业419（有电镀工艺的）；</w:t>
            </w:r>
          </w:p>
          <w:p w14:paraId="13C7ED2E">
            <w:pPr>
              <w:adjustRightInd w:val="0"/>
              <w:snapToGrid w:val="0"/>
              <w:spacing w:before="156" w:beforeLines="50" w:line="300" w:lineRule="exact"/>
              <w:ind w:firstLine="240" w:firstLineChars="100"/>
              <w:rPr>
                <w:rFonts w:ascii="Times New Roman" w:hAnsi="Times New Roman" w:eastAsia="仿宋_GB2312" w:cs="Times New Roman"/>
                <w:b/>
                <w:bCs/>
                <w:color w:val="auto"/>
                <w:sz w:val="24"/>
                <w:szCs w:val="24"/>
              </w:rPr>
            </w:pPr>
            <w:r>
              <w:rPr>
                <w:rFonts w:ascii="Times New Roman" w:hAnsi="Times New Roman" w:eastAsia="仿宋_GB2312" w:cs="Times New Roman"/>
                <w:color w:val="auto"/>
                <w:sz w:val="24"/>
                <w:szCs w:val="24"/>
              </w:rPr>
              <w:t>147、金属制品、机械和设备修理业43（有电镀工艺的）等重污染行业项目。</w:t>
            </w:r>
          </w:p>
        </w:tc>
      </w:tr>
    </w:tbl>
    <w:p w14:paraId="18BEDB82">
      <w:pPr>
        <w:ind w:firstLine="640" w:firstLineChars="200"/>
        <w:rPr>
          <w:rFonts w:ascii="仿宋_GB2312" w:hAnsi="Times New Roman" w:eastAsia="仿宋_GB2312" w:cs="Times New Roman"/>
          <w:sz w:val="32"/>
          <w:szCs w:val="20"/>
        </w:rPr>
        <w:sectPr>
          <w:footerReference r:id="rId4" w:type="default"/>
          <w:pgSz w:w="11906" w:h="16838"/>
          <w:pgMar w:top="1440" w:right="1800" w:bottom="1440" w:left="1800" w:header="851" w:footer="992" w:gutter="0"/>
          <w:cols w:space="425" w:num="1"/>
          <w:docGrid w:type="lines" w:linePitch="312" w:charSpace="0"/>
        </w:sectPr>
      </w:pPr>
    </w:p>
    <w:p w14:paraId="73723488">
      <w:pPr>
        <w:widowControl/>
        <w:jc w:val="left"/>
        <w:outlineLvl w:val="0"/>
        <w:rPr>
          <w:rFonts w:ascii="黑体" w:hAnsi="黑体" w:eastAsia="黑体" w:cs="Times New Roman"/>
          <w:sz w:val="32"/>
          <w:szCs w:val="20"/>
        </w:rPr>
      </w:pPr>
      <w:r>
        <w:rPr>
          <w:rFonts w:hint="eastAsia" w:ascii="黑体" w:hAnsi="黑体" w:eastAsia="黑体" w:cs="Times New Roman"/>
          <w:sz w:val="32"/>
          <w:szCs w:val="20"/>
        </w:rPr>
        <w:t>附图：桐乡市生态环境管控单元分类图</w:t>
      </w:r>
    </w:p>
    <w:p w14:paraId="0C759D6F">
      <w:pPr>
        <w:widowControl/>
        <w:jc w:val="center"/>
        <w:rPr>
          <w:rFonts w:ascii="仿宋_GB2312" w:hAnsi="Times New Roman" w:eastAsia="仿宋_GB2312" w:cs="Times New Roman"/>
          <w:sz w:val="32"/>
          <w:szCs w:val="20"/>
        </w:rPr>
      </w:pPr>
      <w:r>
        <w:rPr>
          <w:rFonts w:ascii="仿宋_GB2312" w:hAnsi="Times New Roman" w:eastAsia="仿宋_GB2312" w:cs="Times New Roman"/>
          <w:sz w:val="32"/>
          <w:szCs w:val="20"/>
        </w:rPr>
        <w:drawing>
          <wp:inline distT="0" distB="0" distL="0" distR="0">
            <wp:extent cx="6109335" cy="4582160"/>
            <wp:effectExtent l="0" t="0" r="5715" b="8890"/>
            <wp:docPr id="6092433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43307"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9598" cy="4582198"/>
                    </a:xfrm>
                    <a:prstGeom prst="rect">
                      <a:avLst/>
                    </a:prstGeom>
                  </pic:spPr>
                </pic:pic>
              </a:graphicData>
            </a:graphic>
          </wp:inline>
        </w:drawing>
      </w:r>
      <w:bookmarkEnd w:id="1"/>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9286597"/>
      <w:docPartObj>
        <w:docPartGallery w:val="autotext"/>
      </w:docPartObj>
    </w:sdtPr>
    <w:sdtContent>
      <w:p w14:paraId="3E3C7221">
        <w:pPr>
          <w:pStyle w:val="2"/>
          <w:jc w:val="center"/>
        </w:pPr>
        <w:r>
          <w:fldChar w:fldCharType="begin"/>
        </w:r>
        <w:r>
          <w:instrText xml:space="preserve">PAGE   \* MERGEFORMAT</w:instrText>
        </w:r>
        <w:r>
          <w:fldChar w:fldCharType="separate"/>
        </w:r>
        <w:r>
          <w:rPr>
            <w:lang w:val="zh-CN"/>
          </w:rPr>
          <w:t>19</w:t>
        </w:r>
        <w:r>
          <w:fldChar w:fldCharType="end"/>
        </w:r>
      </w:p>
    </w:sdtContent>
  </w:sdt>
  <w:p w14:paraId="423B942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8813691"/>
      <w:docPartObj>
        <w:docPartGallery w:val="autotext"/>
      </w:docPartObj>
    </w:sdtPr>
    <w:sdtContent>
      <w:p w14:paraId="0FD2CD79">
        <w:pPr>
          <w:pStyle w:val="2"/>
          <w:jc w:val="center"/>
        </w:pPr>
        <w:r>
          <w:fldChar w:fldCharType="begin"/>
        </w:r>
        <w:r>
          <w:instrText xml:space="preserve">PAGE   \* MERGEFORMAT</w:instrText>
        </w:r>
        <w:r>
          <w:fldChar w:fldCharType="separate"/>
        </w:r>
        <w:r>
          <w:rPr>
            <w:lang w:val="zh-CN"/>
          </w:rPr>
          <w:t>45</w:t>
        </w:r>
        <w:r>
          <w:fldChar w:fldCharType="end"/>
        </w:r>
      </w:p>
    </w:sdtContent>
  </w:sdt>
  <w:p w14:paraId="0C2D5AD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2365060"/>
      <w:docPartObj>
        <w:docPartGallery w:val="autotext"/>
      </w:docPartObj>
    </w:sdtPr>
    <w:sdtContent>
      <w:p w14:paraId="58020FD5">
        <w:pPr>
          <w:pStyle w:val="2"/>
          <w:jc w:val="center"/>
        </w:pPr>
        <w:r>
          <w:fldChar w:fldCharType="begin"/>
        </w:r>
        <w:r>
          <w:instrText xml:space="preserve">PAGE   \* MERGEFORMAT</w:instrText>
        </w:r>
        <w:r>
          <w:fldChar w:fldCharType="separate"/>
        </w:r>
        <w:r>
          <w:rPr>
            <w:lang w:val="zh-CN"/>
          </w:rPr>
          <w:t>45</w:t>
        </w:r>
        <w:r>
          <w:fldChar w:fldCharType="end"/>
        </w:r>
      </w:p>
    </w:sdtContent>
  </w:sdt>
  <w:p w14:paraId="1E90D65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ZDhjZWFmZWI5NzI3MmVmMzA1MDdmNzM3Y2QyOTgifQ=="/>
  </w:docVars>
  <w:rsids>
    <w:rsidRoot w:val="006F0CB5"/>
    <w:rsid w:val="00007BAC"/>
    <w:rsid w:val="00014407"/>
    <w:rsid w:val="00015A85"/>
    <w:rsid w:val="000201E6"/>
    <w:rsid w:val="00027637"/>
    <w:rsid w:val="0004043B"/>
    <w:rsid w:val="00041576"/>
    <w:rsid w:val="00042539"/>
    <w:rsid w:val="00046ECF"/>
    <w:rsid w:val="00047C61"/>
    <w:rsid w:val="000506EE"/>
    <w:rsid w:val="00052FCA"/>
    <w:rsid w:val="00071BFB"/>
    <w:rsid w:val="00093C39"/>
    <w:rsid w:val="00094BC8"/>
    <w:rsid w:val="000A5FAE"/>
    <w:rsid w:val="000B13D7"/>
    <w:rsid w:val="000B1445"/>
    <w:rsid w:val="000B1D4A"/>
    <w:rsid w:val="000B4008"/>
    <w:rsid w:val="000E3CBC"/>
    <w:rsid w:val="000E4B1B"/>
    <w:rsid w:val="000F155F"/>
    <w:rsid w:val="00105F92"/>
    <w:rsid w:val="0011113B"/>
    <w:rsid w:val="00115A7E"/>
    <w:rsid w:val="00117E11"/>
    <w:rsid w:val="00135540"/>
    <w:rsid w:val="00150175"/>
    <w:rsid w:val="001578AB"/>
    <w:rsid w:val="00161392"/>
    <w:rsid w:val="0016186B"/>
    <w:rsid w:val="00161CAC"/>
    <w:rsid w:val="00170577"/>
    <w:rsid w:val="001739BF"/>
    <w:rsid w:val="00185021"/>
    <w:rsid w:val="00187A1A"/>
    <w:rsid w:val="00192871"/>
    <w:rsid w:val="00195427"/>
    <w:rsid w:val="001A04DF"/>
    <w:rsid w:val="001C1612"/>
    <w:rsid w:val="001C52E3"/>
    <w:rsid w:val="001D2409"/>
    <w:rsid w:val="001D322D"/>
    <w:rsid w:val="001D45FF"/>
    <w:rsid w:val="001F0485"/>
    <w:rsid w:val="0020161E"/>
    <w:rsid w:val="00204836"/>
    <w:rsid w:val="00213EB9"/>
    <w:rsid w:val="00243A7A"/>
    <w:rsid w:val="002515A6"/>
    <w:rsid w:val="00254E26"/>
    <w:rsid w:val="00255FA9"/>
    <w:rsid w:val="00274FE5"/>
    <w:rsid w:val="002968C6"/>
    <w:rsid w:val="002A5BC1"/>
    <w:rsid w:val="002B124B"/>
    <w:rsid w:val="002B5495"/>
    <w:rsid w:val="002B6EAA"/>
    <w:rsid w:val="002C38A8"/>
    <w:rsid w:val="002D1B32"/>
    <w:rsid w:val="002D3F27"/>
    <w:rsid w:val="002D7586"/>
    <w:rsid w:val="002E3CAE"/>
    <w:rsid w:val="002E54BF"/>
    <w:rsid w:val="002F1CD7"/>
    <w:rsid w:val="00305B1F"/>
    <w:rsid w:val="00316FED"/>
    <w:rsid w:val="003209C6"/>
    <w:rsid w:val="00323718"/>
    <w:rsid w:val="00342406"/>
    <w:rsid w:val="0034549B"/>
    <w:rsid w:val="003727EC"/>
    <w:rsid w:val="0038209E"/>
    <w:rsid w:val="003934B4"/>
    <w:rsid w:val="003B0F72"/>
    <w:rsid w:val="003B459A"/>
    <w:rsid w:val="003B63D7"/>
    <w:rsid w:val="003B784A"/>
    <w:rsid w:val="003C019D"/>
    <w:rsid w:val="003C419A"/>
    <w:rsid w:val="003C75B5"/>
    <w:rsid w:val="003D5494"/>
    <w:rsid w:val="003E02ED"/>
    <w:rsid w:val="003F0628"/>
    <w:rsid w:val="003F0EB5"/>
    <w:rsid w:val="003F7A40"/>
    <w:rsid w:val="00417872"/>
    <w:rsid w:val="0042711A"/>
    <w:rsid w:val="004503BD"/>
    <w:rsid w:val="0045240D"/>
    <w:rsid w:val="00452EF0"/>
    <w:rsid w:val="00464C3F"/>
    <w:rsid w:val="004676E1"/>
    <w:rsid w:val="00475F53"/>
    <w:rsid w:val="00486C22"/>
    <w:rsid w:val="004C0CF5"/>
    <w:rsid w:val="004D571A"/>
    <w:rsid w:val="004E2D8F"/>
    <w:rsid w:val="004F62E1"/>
    <w:rsid w:val="00503CB7"/>
    <w:rsid w:val="00503FF7"/>
    <w:rsid w:val="00521FE3"/>
    <w:rsid w:val="00531A3B"/>
    <w:rsid w:val="00552319"/>
    <w:rsid w:val="00564010"/>
    <w:rsid w:val="0057000F"/>
    <w:rsid w:val="00585A19"/>
    <w:rsid w:val="00593647"/>
    <w:rsid w:val="005C35B3"/>
    <w:rsid w:val="005D0EB1"/>
    <w:rsid w:val="005D4EB4"/>
    <w:rsid w:val="005D5C70"/>
    <w:rsid w:val="005F76B4"/>
    <w:rsid w:val="00633C67"/>
    <w:rsid w:val="00664A66"/>
    <w:rsid w:val="00672A2A"/>
    <w:rsid w:val="00690D28"/>
    <w:rsid w:val="006961B9"/>
    <w:rsid w:val="006A54F5"/>
    <w:rsid w:val="006A602D"/>
    <w:rsid w:val="006B2425"/>
    <w:rsid w:val="006C21D0"/>
    <w:rsid w:val="006C352B"/>
    <w:rsid w:val="006C5D14"/>
    <w:rsid w:val="006C76F8"/>
    <w:rsid w:val="006D2DDD"/>
    <w:rsid w:val="006F0CB5"/>
    <w:rsid w:val="00705089"/>
    <w:rsid w:val="00706969"/>
    <w:rsid w:val="00710881"/>
    <w:rsid w:val="00714D06"/>
    <w:rsid w:val="00722F23"/>
    <w:rsid w:val="0072392E"/>
    <w:rsid w:val="00726FF4"/>
    <w:rsid w:val="00750333"/>
    <w:rsid w:val="00763CDE"/>
    <w:rsid w:val="00781858"/>
    <w:rsid w:val="007A3BB2"/>
    <w:rsid w:val="007B7510"/>
    <w:rsid w:val="007C7971"/>
    <w:rsid w:val="007D4189"/>
    <w:rsid w:val="007E2172"/>
    <w:rsid w:val="007E7AFB"/>
    <w:rsid w:val="007F181A"/>
    <w:rsid w:val="00805450"/>
    <w:rsid w:val="00817A00"/>
    <w:rsid w:val="00833545"/>
    <w:rsid w:val="00835628"/>
    <w:rsid w:val="008407CF"/>
    <w:rsid w:val="008422C7"/>
    <w:rsid w:val="00847201"/>
    <w:rsid w:val="00851711"/>
    <w:rsid w:val="008752CF"/>
    <w:rsid w:val="00875DC2"/>
    <w:rsid w:val="008810DD"/>
    <w:rsid w:val="00885E33"/>
    <w:rsid w:val="008A09FC"/>
    <w:rsid w:val="008C0418"/>
    <w:rsid w:val="008C75FB"/>
    <w:rsid w:val="008C7CDC"/>
    <w:rsid w:val="008E731D"/>
    <w:rsid w:val="008F35CA"/>
    <w:rsid w:val="00905D77"/>
    <w:rsid w:val="00913B94"/>
    <w:rsid w:val="00915A75"/>
    <w:rsid w:val="00963313"/>
    <w:rsid w:val="009736F3"/>
    <w:rsid w:val="00975B18"/>
    <w:rsid w:val="009763F8"/>
    <w:rsid w:val="00981514"/>
    <w:rsid w:val="00991FF6"/>
    <w:rsid w:val="00996890"/>
    <w:rsid w:val="009B17F4"/>
    <w:rsid w:val="009B1AA1"/>
    <w:rsid w:val="009C212D"/>
    <w:rsid w:val="009C263F"/>
    <w:rsid w:val="009E18C0"/>
    <w:rsid w:val="009E25BB"/>
    <w:rsid w:val="009F1BF5"/>
    <w:rsid w:val="009F544C"/>
    <w:rsid w:val="009F6480"/>
    <w:rsid w:val="00A13B82"/>
    <w:rsid w:val="00A1542B"/>
    <w:rsid w:val="00A16D47"/>
    <w:rsid w:val="00A239CF"/>
    <w:rsid w:val="00A32222"/>
    <w:rsid w:val="00A332EB"/>
    <w:rsid w:val="00A455A8"/>
    <w:rsid w:val="00A478E9"/>
    <w:rsid w:val="00A54373"/>
    <w:rsid w:val="00A62A1D"/>
    <w:rsid w:val="00A70AC0"/>
    <w:rsid w:val="00AB51E4"/>
    <w:rsid w:val="00AB6CE0"/>
    <w:rsid w:val="00AD5DAE"/>
    <w:rsid w:val="00B04FF4"/>
    <w:rsid w:val="00B1473E"/>
    <w:rsid w:val="00B25D67"/>
    <w:rsid w:val="00B304BF"/>
    <w:rsid w:val="00B418F0"/>
    <w:rsid w:val="00B42503"/>
    <w:rsid w:val="00B52C45"/>
    <w:rsid w:val="00B575A7"/>
    <w:rsid w:val="00B61F71"/>
    <w:rsid w:val="00B84976"/>
    <w:rsid w:val="00B8579E"/>
    <w:rsid w:val="00B969B1"/>
    <w:rsid w:val="00BA203A"/>
    <w:rsid w:val="00BA359E"/>
    <w:rsid w:val="00BB705D"/>
    <w:rsid w:val="00BD1B06"/>
    <w:rsid w:val="00BD514A"/>
    <w:rsid w:val="00BD6A37"/>
    <w:rsid w:val="00BE198D"/>
    <w:rsid w:val="00BF2CF2"/>
    <w:rsid w:val="00BF5CF0"/>
    <w:rsid w:val="00C17097"/>
    <w:rsid w:val="00C249BE"/>
    <w:rsid w:val="00C24B95"/>
    <w:rsid w:val="00C33A73"/>
    <w:rsid w:val="00C35682"/>
    <w:rsid w:val="00C37F71"/>
    <w:rsid w:val="00C438D2"/>
    <w:rsid w:val="00C55478"/>
    <w:rsid w:val="00C618CE"/>
    <w:rsid w:val="00C8625E"/>
    <w:rsid w:val="00C865B9"/>
    <w:rsid w:val="00C87D6A"/>
    <w:rsid w:val="00C937A8"/>
    <w:rsid w:val="00CB1720"/>
    <w:rsid w:val="00CB7755"/>
    <w:rsid w:val="00CC2378"/>
    <w:rsid w:val="00CD4C4C"/>
    <w:rsid w:val="00CD73AC"/>
    <w:rsid w:val="00CF0B6F"/>
    <w:rsid w:val="00CF1A08"/>
    <w:rsid w:val="00CF1E3B"/>
    <w:rsid w:val="00CF3DD6"/>
    <w:rsid w:val="00CF534E"/>
    <w:rsid w:val="00D051DA"/>
    <w:rsid w:val="00D05D1D"/>
    <w:rsid w:val="00D061BE"/>
    <w:rsid w:val="00D11ABE"/>
    <w:rsid w:val="00D12FDD"/>
    <w:rsid w:val="00D34A6C"/>
    <w:rsid w:val="00D351A1"/>
    <w:rsid w:val="00D5038A"/>
    <w:rsid w:val="00D50391"/>
    <w:rsid w:val="00D505EA"/>
    <w:rsid w:val="00D732AA"/>
    <w:rsid w:val="00D82318"/>
    <w:rsid w:val="00D82FB0"/>
    <w:rsid w:val="00D9437F"/>
    <w:rsid w:val="00D948CF"/>
    <w:rsid w:val="00DA38BD"/>
    <w:rsid w:val="00DA5039"/>
    <w:rsid w:val="00DA7A87"/>
    <w:rsid w:val="00DB61FB"/>
    <w:rsid w:val="00DC1C9F"/>
    <w:rsid w:val="00DD5E59"/>
    <w:rsid w:val="00DE3B26"/>
    <w:rsid w:val="00DE6583"/>
    <w:rsid w:val="00E05ACB"/>
    <w:rsid w:val="00E11451"/>
    <w:rsid w:val="00E139BC"/>
    <w:rsid w:val="00E1678F"/>
    <w:rsid w:val="00E2014A"/>
    <w:rsid w:val="00E273AE"/>
    <w:rsid w:val="00E35FD6"/>
    <w:rsid w:val="00E4483E"/>
    <w:rsid w:val="00E63490"/>
    <w:rsid w:val="00E64981"/>
    <w:rsid w:val="00E666C7"/>
    <w:rsid w:val="00E70740"/>
    <w:rsid w:val="00E73C0D"/>
    <w:rsid w:val="00E80E8C"/>
    <w:rsid w:val="00E8324A"/>
    <w:rsid w:val="00E83DC2"/>
    <w:rsid w:val="00E867F7"/>
    <w:rsid w:val="00E956C4"/>
    <w:rsid w:val="00EA0492"/>
    <w:rsid w:val="00EB0097"/>
    <w:rsid w:val="00EB7561"/>
    <w:rsid w:val="00EC3FCF"/>
    <w:rsid w:val="00EC7EE6"/>
    <w:rsid w:val="00ED1202"/>
    <w:rsid w:val="00ED1991"/>
    <w:rsid w:val="00EE7ADC"/>
    <w:rsid w:val="00EF300F"/>
    <w:rsid w:val="00EF676A"/>
    <w:rsid w:val="00F02FE1"/>
    <w:rsid w:val="00F143F5"/>
    <w:rsid w:val="00F14739"/>
    <w:rsid w:val="00F20811"/>
    <w:rsid w:val="00F41FFA"/>
    <w:rsid w:val="00F460A9"/>
    <w:rsid w:val="00F63692"/>
    <w:rsid w:val="00F664D1"/>
    <w:rsid w:val="00F83B76"/>
    <w:rsid w:val="00F9200A"/>
    <w:rsid w:val="00FB6D91"/>
    <w:rsid w:val="00FC0F0D"/>
    <w:rsid w:val="00FC472A"/>
    <w:rsid w:val="00FC56CC"/>
    <w:rsid w:val="00FD4371"/>
    <w:rsid w:val="00FD50AF"/>
    <w:rsid w:val="00FD5EC1"/>
    <w:rsid w:val="00FF0633"/>
    <w:rsid w:val="00FF7E82"/>
    <w:rsid w:val="0C322DA0"/>
    <w:rsid w:val="14EF1AD1"/>
    <w:rsid w:val="40092964"/>
    <w:rsid w:val="4F7E6B86"/>
    <w:rsid w:val="6CBF8B3F"/>
    <w:rsid w:val="D7EC9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character" w:customStyle="1" w:styleId="9">
    <w:name w:val="fontstyle01"/>
    <w:basedOn w:val="6"/>
    <w:autoRedefine/>
    <w:qFormat/>
    <w:uiPriority w:val="0"/>
    <w:rPr>
      <w:rFonts w:hint="eastAsia" w:ascii="黑体" w:hAnsi="黑体" w:eastAsia="黑体"/>
      <w:color w:val="000000"/>
      <w:sz w:val="32"/>
      <w:szCs w:val="32"/>
    </w:rPr>
  </w:style>
  <w:style w:type="paragraph" w:styleId="10">
    <w:name w:val="List Paragraph"/>
    <w:basedOn w:val="1"/>
    <w:autoRedefine/>
    <w:qFormat/>
    <w:uiPriority w:val="34"/>
    <w:pPr>
      <w:ind w:firstLine="420" w:firstLineChars="200"/>
    </w:pPr>
  </w:style>
  <w:style w:type="table" w:customStyle="1" w:styleId="11">
    <w:name w:val="网格型1"/>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网格型2"/>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4281</Words>
  <Characters>4359</Characters>
  <Lines>192</Lines>
  <Paragraphs>54</Paragraphs>
  <TotalTime>22</TotalTime>
  <ScaleCrop>false</ScaleCrop>
  <LinksUpToDate>false</LinksUpToDate>
  <CharactersWithSpaces>4360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2023-09-11T12:49:00Z</dcterms:created>
  <dc:creator>vivi Lo</dc:creator>
  <cp:lastModifiedBy>Administrator</cp:lastModifiedBy>
  <dcterms:modified xsi:type="dcterms:W3CDTF">2025-04-30T08:50:49Z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0742BF21783EECCD02B5B765F9A9A8EE</vt:lpwstr>
  </property>
  <property fmtid="{D5CDD505-2E9C-101B-9397-08002B2CF9AE}" pid="4" name="KSOTemplateDocerSaveRecord">
    <vt:lpwstr>eyJoZGlkIjoiMTYzYWRkNGJmMjY5ZjE4NWJjZjY3MTBhMWExNzc1ZDIiLCJ1c2VySWQiOiI0MDc1NzU3MTgifQ==</vt:lpwstr>
  </property>
</Properties>
</file>