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12A4F" w14:textId="77777777" w:rsidR="00B62031" w:rsidRDefault="00000000">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p>
    <w:p w14:paraId="1E20C01D" w14:textId="77777777" w:rsidR="00B62031" w:rsidRDefault="00000000">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宁波市中央引导地方科技发展资金管理办法</w:t>
      </w:r>
    </w:p>
    <w:p w14:paraId="6976E0D7" w14:textId="77777777" w:rsidR="00B62031" w:rsidRDefault="00000000">
      <w:pPr>
        <w:spacing w:line="720" w:lineRule="exact"/>
        <w:jc w:val="center"/>
        <w:rPr>
          <w:rFonts w:ascii="Times New Roman" w:eastAsia="楷体_GB2312" w:hAnsi="Times New Roman" w:cs="Times New Roman"/>
          <w:sz w:val="44"/>
          <w:szCs w:val="44"/>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征求意见稿</w:t>
      </w:r>
      <w:r>
        <w:rPr>
          <w:rFonts w:ascii="Times New Roman" w:eastAsia="楷体_GB2312" w:hAnsi="Times New Roman" w:cs="Times New Roman"/>
          <w:sz w:val="32"/>
          <w:szCs w:val="32"/>
        </w:rPr>
        <w:t>）</w:t>
      </w:r>
    </w:p>
    <w:p w14:paraId="109C7CD0" w14:textId="77777777" w:rsidR="00B62031" w:rsidRDefault="00000000">
      <w:pPr>
        <w:spacing w:line="580" w:lineRule="exact"/>
        <w:jc w:val="center"/>
        <w:rPr>
          <w:rFonts w:ascii="黑体" w:eastAsia="黑体" w:hAnsi="黑体" w:cs="Times New Roman" w:hint="eastAsia"/>
          <w:sz w:val="32"/>
          <w:szCs w:val="32"/>
        </w:rPr>
      </w:pPr>
      <w:r>
        <w:rPr>
          <w:rFonts w:ascii="黑体" w:eastAsia="黑体" w:hAnsi="黑体" w:cs="Times New Roman" w:hint="eastAsia"/>
          <w:sz w:val="32"/>
          <w:szCs w:val="32"/>
        </w:rPr>
        <w:t>第一章　总则</w:t>
      </w:r>
    </w:p>
    <w:p w14:paraId="5E6CEFD5"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第一条</w:t>
      </w:r>
      <w:r>
        <w:rPr>
          <w:rFonts w:ascii="仿宋_GB2312" w:eastAsia="仿宋_GB2312" w:hAnsi="Times New Roman" w:cs="Times New Roman" w:hint="eastAsia"/>
          <w:sz w:val="32"/>
          <w:szCs w:val="32"/>
        </w:rPr>
        <w:t>【目的依据】</w:t>
      </w:r>
      <w:r>
        <w:rPr>
          <w:rFonts w:ascii="Times New Roman" w:eastAsia="仿宋_GB2312" w:hAnsi="Times New Roman" w:cs="Times New Roman" w:hint="eastAsia"/>
          <w:sz w:val="32"/>
          <w:szCs w:val="32"/>
        </w:rPr>
        <w:t xml:space="preserve">　为进一步规范中央引导地方科技发展资金（以下</w:t>
      </w:r>
      <w:r>
        <w:rPr>
          <w:rFonts w:ascii="Times New Roman" w:eastAsia="仿宋_GB2312" w:hAnsi="Times New Roman" w:cs="Times New Roman"/>
          <w:sz w:val="32"/>
          <w:szCs w:val="32"/>
        </w:rPr>
        <w:t>简称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引导资金</w:t>
      </w:r>
      <w:r>
        <w:rPr>
          <w:rFonts w:ascii="Times New Roman" w:eastAsia="仿宋_GB2312" w:hAnsi="Times New Roman" w:cs="Times New Roman" w:hint="eastAsia"/>
          <w:sz w:val="32"/>
          <w:szCs w:val="32"/>
        </w:rPr>
        <w:t>”）管理，</w:t>
      </w:r>
      <w:r>
        <w:rPr>
          <w:rFonts w:ascii="仿宋_GB2312" w:eastAsia="仿宋_GB2312" w:hint="eastAsia"/>
          <w:sz w:val="32"/>
          <w:szCs w:val="32"/>
        </w:rPr>
        <w:t>提高</w:t>
      </w:r>
      <w:r>
        <w:rPr>
          <w:rFonts w:ascii="Times New Roman" w:eastAsia="仿宋_GB2312" w:hAnsi="Times New Roman" w:cs="Times New Roman" w:hint="eastAsia"/>
          <w:sz w:val="32"/>
          <w:szCs w:val="32"/>
        </w:rPr>
        <w:t>财政</w:t>
      </w:r>
      <w:r>
        <w:rPr>
          <w:rFonts w:ascii="仿宋_GB2312" w:eastAsia="仿宋_GB2312" w:hint="eastAsia"/>
          <w:sz w:val="32"/>
          <w:szCs w:val="32"/>
        </w:rPr>
        <w:t>资金使用绩效，</w:t>
      </w:r>
      <w:r>
        <w:rPr>
          <w:rFonts w:ascii="Times New Roman" w:eastAsia="仿宋_GB2312" w:hAnsi="Times New Roman" w:cs="Times New Roman" w:hint="eastAsia"/>
          <w:sz w:val="32"/>
          <w:szCs w:val="32"/>
        </w:rPr>
        <w:t>根据《中央引导地方科技发展资金管理办法》（财教〔</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204</w:t>
      </w:r>
      <w:r>
        <w:rPr>
          <w:rFonts w:ascii="Times New Roman" w:eastAsia="仿宋_GB2312" w:hAnsi="Times New Roman" w:cs="Times New Roman" w:hint="eastAsia"/>
          <w:sz w:val="32"/>
          <w:szCs w:val="32"/>
        </w:rPr>
        <w:t>号）有关规定，结合</w:t>
      </w:r>
      <w:r>
        <w:rPr>
          <w:rFonts w:ascii="Times New Roman" w:eastAsia="仿宋_GB2312" w:hAnsi="Times New Roman" w:cs="Times New Roman"/>
          <w:sz w:val="32"/>
          <w:szCs w:val="32"/>
        </w:rPr>
        <w:t>我市</w:t>
      </w:r>
      <w:r>
        <w:rPr>
          <w:rFonts w:ascii="Times New Roman" w:eastAsia="仿宋_GB2312" w:hAnsi="Times New Roman" w:cs="Times New Roman" w:hint="eastAsia"/>
          <w:sz w:val="32"/>
          <w:szCs w:val="32"/>
        </w:rPr>
        <w:t>实际</w:t>
      </w:r>
      <w:r>
        <w:rPr>
          <w:rFonts w:ascii="Times New Roman" w:eastAsia="仿宋_GB2312" w:hAnsi="Times New Roman" w:cs="Times New Roman"/>
          <w:sz w:val="32"/>
          <w:szCs w:val="32"/>
        </w:rPr>
        <w:t>，制定本</w:t>
      </w:r>
      <w:r>
        <w:rPr>
          <w:rFonts w:ascii="Times New Roman" w:eastAsia="仿宋_GB2312" w:hAnsi="Times New Roman" w:cs="Times New Roman" w:hint="eastAsia"/>
          <w:sz w:val="32"/>
          <w:szCs w:val="32"/>
        </w:rPr>
        <w:t>办法</w:t>
      </w:r>
      <w:r>
        <w:rPr>
          <w:rFonts w:ascii="Times New Roman" w:eastAsia="仿宋_GB2312" w:hAnsi="Times New Roman" w:cs="Times New Roman"/>
          <w:sz w:val="32"/>
          <w:szCs w:val="32"/>
        </w:rPr>
        <w:t>。</w:t>
      </w:r>
    </w:p>
    <w:p w14:paraId="1439A808" w14:textId="77777777" w:rsidR="00B62031" w:rsidRDefault="00000000">
      <w:pPr>
        <w:spacing w:line="580" w:lineRule="exact"/>
        <w:ind w:firstLineChars="200" w:firstLine="640"/>
        <w:rPr>
          <w:rFonts w:ascii="仿宋_GB2312" w:eastAsia="仿宋_GB2312" w:hAnsi="Times New Roman"/>
          <w:sz w:val="32"/>
          <w:szCs w:val="32"/>
        </w:rPr>
      </w:pPr>
      <w:r>
        <w:rPr>
          <w:rFonts w:ascii="Times New Roman" w:eastAsia="仿宋_GB2312" w:hAnsi="Times New Roman" w:cs="Times New Roman" w:hint="eastAsia"/>
          <w:sz w:val="32"/>
          <w:szCs w:val="32"/>
        </w:rPr>
        <w:t>第二条</w:t>
      </w:r>
      <w:r>
        <w:rPr>
          <w:rFonts w:ascii="仿宋_GB2312" w:eastAsia="仿宋_GB2312" w:hAnsi="Times New Roman" w:cs="Times New Roman" w:hint="eastAsia"/>
          <w:sz w:val="32"/>
          <w:szCs w:val="32"/>
        </w:rPr>
        <w:t>【定性用途】</w:t>
      </w:r>
      <w:r>
        <w:rPr>
          <w:rFonts w:ascii="Times New Roman" w:eastAsia="仿宋_GB2312" w:hAnsi="Times New Roman" w:cs="Times New Roman" w:hint="eastAsia"/>
          <w:sz w:val="32"/>
          <w:szCs w:val="32"/>
        </w:rPr>
        <w:t xml:space="preserve">　</w:t>
      </w:r>
      <w:r>
        <w:rPr>
          <w:rFonts w:ascii="仿宋_GB2312" w:eastAsia="仿宋_GB2312" w:hAnsi="Times New Roman" w:hint="eastAsia"/>
          <w:sz w:val="32"/>
          <w:szCs w:val="32"/>
        </w:rPr>
        <w:t>本办法所称的引导资金，是指中央财政</w:t>
      </w:r>
      <w:r>
        <w:rPr>
          <w:rFonts w:ascii="仿宋_GB2312" w:eastAsia="仿宋_GB2312" w:hAnsi="Times New Roman"/>
          <w:sz w:val="32"/>
          <w:szCs w:val="32"/>
        </w:rPr>
        <w:t>用于</w:t>
      </w:r>
      <w:r>
        <w:rPr>
          <w:rFonts w:ascii="仿宋_GB2312" w:eastAsia="仿宋_GB2312" w:hAnsi="Times New Roman" w:hint="eastAsia"/>
          <w:sz w:val="32"/>
          <w:szCs w:val="32"/>
        </w:rPr>
        <w:t>支持和引导宁波落实国家创新驱动发展战略和科技改革发展政策、优化区域科技创新环境、提升区域科技创新能力的</w:t>
      </w:r>
      <w:r>
        <w:rPr>
          <w:rFonts w:ascii="仿宋_GB2312" w:eastAsia="仿宋_GB2312" w:hAnsi="Times New Roman"/>
          <w:sz w:val="32"/>
          <w:szCs w:val="32"/>
        </w:rPr>
        <w:t>共同财政事权转移支付</w:t>
      </w:r>
      <w:r>
        <w:rPr>
          <w:rFonts w:ascii="仿宋_GB2312" w:eastAsia="仿宋_GB2312" w:hAnsi="Times New Roman" w:hint="eastAsia"/>
          <w:sz w:val="32"/>
          <w:szCs w:val="32"/>
        </w:rPr>
        <w:t>资金。</w:t>
      </w:r>
    </w:p>
    <w:p w14:paraId="02EFF2BB" w14:textId="77777777" w:rsidR="00B62031" w:rsidRDefault="00000000">
      <w:pPr>
        <w:pStyle w:val="a9"/>
        <w:widowControl/>
        <w:spacing w:beforeAutospacing="0" w:afterAutospacing="0" w:line="580" w:lineRule="exact"/>
        <w:ind w:firstLineChars="200" w:firstLine="640"/>
        <w:rPr>
          <w:rFonts w:eastAsia="仿宋_GB2312"/>
          <w:kern w:val="2"/>
          <w:sz w:val="32"/>
          <w:szCs w:val="32"/>
        </w:rPr>
      </w:pPr>
      <w:r>
        <w:rPr>
          <w:rFonts w:eastAsia="仿宋_GB2312" w:hint="eastAsia"/>
          <w:kern w:val="2"/>
          <w:sz w:val="32"/>
          <w:szCs w:val="32"/>
        </w:rPr>
        <w:t>第三条【职责分工】　市科技局主要职责：</w:t>
      </w:r>
    </w:p>
    <w:p w14:paraId="4A3FAFC6" w14:textId="77777777" w:rsidR="00B62031" w:rsidRDefault="00000000">
      <w:pPr>
        <w:pStyle w:val="a9"/>
        <w:widowControl/>
        <w:spacing w:beforeAutospacing="0" w:afterAutospacing="0" w:line="580" w:lineRule="exact"/>
        <w:ind w:firstLineChars="200" w:firstLine="640"/>
        <w:rPr>
          <w:rFonts w:eastAsia="仿宋_GB2312"/>
          <w:kern w:val="2"/>
          <w:sz w:val="32"/>
          <w:szCs w:val="32"/>
        </w:rPr>
      </w:pPr>
      <w:r>
        <w:rPr>
          <w:rFonts w:eastAsia="仿宋_GB2312" w:hint="eastAsia"/>
          <w:kern w:val="2"/>
          <w:sz w:val="32"/>
          <w:szCs w:val="32"/>
        </w:rPr>
        <w:t>（一）会同市财政局制订引导资金相关管理办法。</w:t>
      </w:r>
    </w:p>
    <w:p w14:paraId="08470F7C" w14:textId="77777777" w:rsidR="00B62031" w:rsidRDefault="00000000">
      <w:pPr>
        <w:pStyle w:val="a9"/>
        <w:widowControl/>
        <w:spacing w:beforeAutospacing="0" w:afterAutospacing="0" w:line="580" w:lineRule="exact"/>
        <w:ind w:firstLineChars="200" w:firstLine="640"/>
        <w:rPr>
          <w:rFonts w:ascii="仿宋_GB2312" w:eastAsia="仿宋_GB2312" w:hAnsi="仿宋_GB2312" w:cs="仿宋_GB2312" w:hint="eastAsia"/>
          <w:sz w:val="32"/>
          <w:szCs w:val="32"/>
        </w:rPr>
      </w:pPr>
      <w:r>
        <w:rPr>
          <w:rFonts w:eastAsia="仿宋_GB2312" w:hint="eastAsia"/>
          <w:kern w:val="2"/>
          <w:sz w:val="32"/>
          <w:szCs w:val="32"/>
        </w:rPr>
        <w:t>（二）根据中央下达</w:t>
      </w:r>
      <w:r>
        <w:rPr>
          <w:rFonts w:ascii="仿宋_GB2312" w:eastAsia="仿宋_GB2312" w:hAnsi="仿宋_GB2312" w:cs="仿宋_GB2312" w:hint="eastAsia"/>
          <w:sz w:val="32"/>
          <w:szCs w:val="32"/>
          <w:shd w:val="clear" w:color="auto" w:fill="FFFFFF"/>
        </w:rPr>
        <w:t>的引导资金预算规模，结合本市科技发展规划和有关政策，编制年度引导资金实施方案（以下简称实施方案），会同市财政局报科技部、财政部备案，并抄送财政部宁波监管局。</w:t>
      </w:r>
    </w:p>
    <w:p w14:paraId="2929B648"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（三）负责引导资金项目全周期管理，包括项目储备、项目日常监管、项目验收、项目监督检查、绩效管理等。</w:t>
      </w:r>
    </w:p>
    <w:p w14:paraId="40429E68"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lastRenderedPageBreak/>
        <w:t xml:space="preserve">　　（四）根据职责分工开展引导资金预算绩效管理，包括审核绩效目标、实施绩效目标监控、开展绩效评价等。</w:t>
      </w:r>
      <w:r>
        <w:rPr>
          <w:rFonts w:ascii="仿宋_GB2312" w:eastAsia="仿宋_GB2312" w:hint="eastAsia"/>
          <w:sz w:val="32"/>
          <w:szCs w:val="32"/>
        </w:rPr>
        <w:t>重点评价科技创新能力提升情况、重点任务落实情况以及资金使用绩效情况等</w:t>
      </w:r>
    </w:p>
    <w:p w14:paraId="56C3C2BD"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（五）职能范围内的其他工作事项。</w:t>
      </w:r>
    </w:p>
    <w:p w14:paraId="2F12A706"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w:t>
      </w:r>
      <w:r>
        <w:rPr>
          <w:rStyle w:val="aa"/>
          <w:rFonts w:ascii="仿宋_GB2312" w:eastAsia="仿宋_GB2312" w:hAnsi="仿宋_GB2312" w:cs="仿宋_GB2312" w:hint="eastAsia"/>
          <w:b w:val="0"/>
          <w:sz w:val="32"/>
          <w:szCs w:val="32"/>
          <w:shd w:val="clear" w:color="auto" w:fill="FFFFFF"/>
        </w:rPr>
        <w:t>第四条</w:t>
      </w:r>
      <w:r>
        <w:rPr>
          <w:rFonts w:eastAsia="仿宋_GB2312" w:hint="eastAsia"/>
          <w:kern w:val="2"/>
          <w:sz w:val="32"/>
          <w:szCs w:val="32"/>
        </w:rPr>
        <w:t>【职责分工】</w:t>
      </w:r>
      <w:r>
        <w:rPr>
          <w:rFonts w:ascii="仿宋_GB2312" w:eastAsia="仿宋_GB2312" w:hAnsi="仿宋_GB2312" w:cs="仿宋_GB2312" w:hint="eastAsia"/>
          <w:sz w:val="32"/>
          <w:szCs w:val="32"/>
          <w:shd w:val="clear" w:color="auto" w:fill="FFFFFF"/>
        </w:rPr>
        <w:t>  市财政局主要职责：</w:t>
      </w:r>
    </w:p>
    <w:p w14:paraId="799E6D43" w14:textId="77777777" w:rsidR="00B62031" w:rsidRDefault="00000000">
      <w:pPr>
        <w:pStyle w:val="a9"/>
        <w:widowControl/>
        <w:spacing w:beforeAutospacing="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（一）协同市科技局制订引导资金相关管理办法。</w:t>
      </w:r>
    </w:p>
    <w:p w14:paraId="4DD2AC9C" w14:textId="77777777" w:rsidR="00B62031" w:rsidRDefault="00000000">
      <w:pPr>
        <w:pStyle w:val="a9"/>
        <w:widowControl/>
        <w:spacing w:beforeAutospacing="0" w:afterAutospacing="0" w:line="58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（二）确定引导资金分配原则、支持重点，确定引导资金分配方案并下达资金。</w:t>
      </w:r>
    </w:p>
    <w:p w14:paraId="2634AD85" w14:textId="77777777" w:rsidR="00B62031" w:rsidRDefault="00000000">
      <w:pPr>
        <w:pStyle w:val="a9"/>
        <w:widowControl/>
        <w:spacing w:beforeAutospacing="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（三）根据工作需要适时对引导资金支出绩效实施财政评价。</w:t>
      </w:r>
    </w:p>
    <w:p w14:paraId="4DF1A0C8" w14:textId="77777777" w:rsidR="00B62031" w:rsidRDefault="00000000">
      <w:pPr>
        <w:pStyle w:val="a9"/>
        <w:widowControl/>
        <w:spacing w:beforeAutospacing="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（四）职能范围内的其他工作事项。</w:t>
      </w:r>
    </w:p>
    <w:p w14:paraId="49B1EDD9"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w:t>
      </w:r>
      <w:r>
        <w:rPr>
          <w:rStyle w:val="aa"/>
          <w:rFonts w:ascii="仿宋_GB2312" w:eastAsia="仿宋_GB2312" w:hAnsi="仿宋_GB2312" w:cs="仿宋_GB2312" w:hint="eastAsia"/>
          <w:b w:val="0"/>
          <w:sz w:val="32"/>
          <w:szCs w:val="32"/>
          <w:shd w:val="clear" w:color="auto" w:fill="FFFFFF"/>
        </w:rPr>
        <w:t>第五条</w:t>
      </w:r>
      <w:r>
        <w:rPr>
          <w:rFonts w:eastAsia="仿宋_GB2312" w:hint="eastAsia"/>
          <w:kern w:val="2"/>
          <w:sz w:val="32"/>
          <w:szCs w:val="32"/>
        </w:rPr>
        <w:t>【职责分工】</w:t>
      </w:r>
      <w:r>
        <w:rPr>
          <w:rFonts w:ascii="仿宋_GB2312" w:eastAsia="仿宋_GB2312" w:hAnsi="仿宋_GB2312" w:cs="仿宋_GB2312" w:hint="eastAsia"/>
          <w:sz w:val="32"/>
          <w:szCs w:val="32"/>
          <w:shd w:val="clear" w:color="auto" w:fill="FFFFFF"/>
        </w:rPr>
        <w:t>  项目承担单位主要职责：</w:t>
      </w:r>
    </w:p>
    <w:p w14:paraId="49FE8BD4"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（一）</w:t>
      </w:r>
      <w:r>
        <w:rPr>
          <w:rFonts w:ascii="仿宋_GB2312" w:eastAsia="仿宋_GB2312" w:hint="eastAsia"/>
          <w:sz w:val="32"/>
          <w:szCs w:val="32"/>
        </w:rPr>
        <w:t>编制申</w:t>
      </w:r>
      <w:r>
        <w:rPr>
          <w:rFonts w:ascii="仿宋_GB2312" w:eastAsia="仿宋_GB2312" w:hAnsi="仿宋_GB2312" w:cs="仿宋_GB2312" w:hint="eastAsia"/>
          <w:sz w:val="32"/>
          <w:szCs w:val="32"/>
          <w:shd w:val="clear" w:color="auto" w:fill="FFFFFF"/>
        </w:rPr>
        <w:t>报</w:t>
      </w:r>
      <w:r>
        <w:rPr>
          <w:rFonts w:ascii="仿宋_GB2312" w:eastAsia="仿宋_GB2312" w:hint="eastAsia"/>
          <w:sz w:val="32"/>
          <w:szCs w:val="32"/>
        </w:rPr>
        <w:t>材料，并对</w:t>
      </w:r>
      <w:r>
        <w:rPr>
          <w:rFonts w:ascii="仿宋_GB2312" w:eastAsia="仿宋_GB2312" w:hAnsi="仿宋_GB2312" w:cs="仿宋_GB2312" w:hint="eastAsia"/>
          <w:sz w:val="32"/>
          <w:szCs w:val="32"/>
          <w:shd w:val="clear" w:color="auto" w:fill="FFFFFF"/>
        </w:rPr>
        <w:t>申报材料的真实性、完整性、有效性和合法性负责</w:t>
      </w:r>
      <w:r>
        <w:rPr>
          <w:rFonts w:eastAsia="仿宋_GB2312" w:hint="eastAsia"/>
          <w:sz w:val="32"/>
          <w:szCs w:val="32"/>
        </w:rPr>
        <w:t>。</w:t>
      </w:r>
    </w:p>
    <w:p w14:paraId="4547105E"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（二）按照规定要求、合同书（任务书）约定</w:t>
      </w:r>
      <w:r>
        <w:rPr>
          <w:rFonts w:ascii="仿宋_GB2312" w:eastAsia="仿宋_GB2312" w:hint="eastAsia"/>
          <w:sz w:val="32"/>
          <w:szCs w:val="32"/>
        </w:rPr>
        <w:t>组织项目实施</w:t>
      </w:r>
      <w:r>
        <w:rPr>
          <w:rFonts w:ascii="仿宋_GB2312" w:eastAsia="仿宋_GB2312" w:hAnsi="仿宋_GB2312" w:cs="仿宋_GB2312" w:hint="eastAsia"/>
          <w:sz w:val="32"/>
          <w:szCs w:val="32"/>
          <w:shd w:val="clear" w:color="auto" w:fill="FFFFFF"/>
        </w:rPr>
        <w:t>。</w:t>
      </w:r>
    </w:p>
    <w:p w14:paraId="524BC382"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（三）按照要求对引导资金进行财务管理和会计核算，履行引导资金使用相关职责。</w:t>
      </w:r>
    </w:p>
    <w:p w14:paraId="3F983881" w14:textId="77777777" w:rsidR="00B62031" w:rsidRDefault="00000000">
      <w:pPr>
        <w:pStyle w:val="a9"/>
        <w:widowControl/>
        <w:spacing w:beforeAutospacing="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（四）配合市科技局、市财政局开展的监督检查，按要求提供预算执行、项目实施情况及绩效报告等材料。</w:t>
      </w:r>
    </w:p>
    <w:p w14:paraId="4DBC8461" w14:textId="77777777" w:rsidR="00B62031" w:rsidRDefault="00000000">
      <w:pPr>
        <w:pStyle w:val="a9"/>
        <w:widowControl/>
        <w:spacing w:beforeAutospacing="0" w:afterAutospacing="0" w:line="580" w:lineRule="exact"/>
        <w:ind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（五）严格执行国家会计法律、法规制度，依法依规管理使用资金，开展全过程绩效管理，并自觉接受监督及绩效评价。</w:t>
      </w:r>
    </w:p>
    <w:p w14:paraId="542F5D12" w14:textId="77777777" w:rsidR="00B62031" w:rsidRDefault="00000000">
      <w:pPr>
        <w:spacing w:line="580" w:lineRule="exact"/>
        <w:jc w:val="center"/>
        <w:rPr>
          <w:rFonts w:ascii="黑体" w:eastAsia="黑体" w:hAnsi="黑体" w:cs="Times New Roman" w:hint="eastAsia"/>
          <w:sz w:val="32"/>
          <w:szCs w:val="32"/>
        </w:rPr>
      </w:pPr>
      <w:r>
        <w:rPr>
          <w:rFonts w:ascii="黑体" w:eastAsia="黑体" w:hAnsi="黑体" w:cs="Times New Roman" w:hint="eastAsia"/>
          <w:sz w:val="32"/>
          <w:szCs w:val="32"/>
        </w:rPr>
        <w:t>第二章　支持</w:t>
      </w:r>
      <w:r>
        <w:rPr>
          <w:rFonts w:ascii="黑体" w:eastAsia="黑体" w:hAnsi="黑体" w:cs="Times New Roman"/>
          <w:sz w:val="32"/>
          <w:szCs w:val="32"/>
        </w:rPr>
        <w:t>对象</w:t>
      </w:r>
      <w:r>
        <w:rPr>
          <w:rFonts w:ascii="黑体" w:eastAsia="黑体" w:hAnsi="黑体" w:cs="Times New Roman" w:hint="eastAsia"/>
          <w:sz w:val="32"/>
          <w:szCs w:val="32"/>
        </w:rPr>
        <w:t>和</w:t>
      </w:r>
      <w:r>
        <w:rPr>
          <w:rFonts w:ascii="黑体" w:eastAsia="黑体" w:hAnsi="黑体" w:cs="Times New Roman"/>
          <w:sz w:val="32"/>
          <w:szCs w:val="32"/>
        </w:rPr>
        <w:t>方式</w:t>
      </w:r>
    </w:p>
    <w:p w14:paraId="38126198"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第六条</w:t>
      </w:r>
      <w:r>
        <w:rPr>
          <w:rFonts w:ascii="仿宋_GB2312" w:eastAsia="仿宋_GB2312" w:hAnsi="Times New Roman" w:cs="Times New Roman" w:hint="eastAsia"/>
          <w:sz w:val="32"/>
          <w:szCs w:val="32"/>
        </w:rPr>
        <w:t>【支持</w:t>
      </w:r>
      <w:r>
        <w:rPr>
          <w:rFonts w:ascii="仿宋_GB2312" w:eastAsia="仿宋_GB2312" w:hAnsi="Times New Roman" w:cs="Times New Roman"/>
          <w:sz w:val="32"/>
          <w:szCs w:val="32"/>
        </w:rPr>
        <w:t>对象</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引导资金分配聚焦三大科创高地和</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大战略领域，遵循“聚焦重点，注重绩效”原则，按照市委、市政府重点工作安排，优先支持预期能取得明显绩效的平台和项目，已获中央、省、市级财政资金支持的项目不予重复支持。</w:t>
      </w:r>
    </w:p>
    <w:p w14:paraId="3436C6D5" w14:textId="77777777" w:rsidR="00B62031" w:rsidRDefault="00000000">
      <w:pPr>
        <w:adjustRightInd w:val="0"/>
        <w:snapToGrid w:val="0"/>
        <w:spacing w:line="62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cs="Times New Roman" w:hint="eastAsia"/>
          <w:sz w:val="32"/>
          <w:szCs w:val="32"/>
        </w:rPr>
        <w:t>第七条</w:t>
      </w:r>
      <w:r>
        <w:rPr>
          <w:rFonts w:ascii="仿宋_GB2312" w:eastAsia="仿宋_GB2312" w:hAnsi="Times New Roman" w:cs="Times New Roman" w:hint="eastAsia"/>
          <w:sz w:val="32"/>
          <w:szCs w:val="32"/>
        </w:rPr>
        <w:t>【支持范围】</w:t>
      </w:r>
      <w:r>
        <w:rPr>
          <w:rFonts w:ascii="Times New Roman" w:eastAsia="仿宋_GB2312" w:hAnsi="Times New Roman" w:cs="Times New Roman" w:hint="eastAsia"/>
          <w:sz w:val="32"/>
          <w:szCs w:val="32"/>
        </w:rPr>
        <w:t xml:space="preserve">　引导资金</w:t>
      </w:r>
      <w:r>
        <w:rPr>
          <w:rFonts w:ascii="仿宋_GB2312" w:eastAsia="仿宋_GB2312" w:hAnsi="仿宋_GB2312" w:cs="仿宋_GB2312" w:hint="eastAsia"/>
          <w:sz w:val="32"/>
          <w:szCs w:val="32"/>
        </w:rPr>
        <w:t>按照</w:t>
      </w:r>
      <w:r>
        <w:rPr>
          <w:rFonts w:ascii="Times New Roman" w:eastAsia="仿宋_GB2312" w:hAnsi="Times New Roman" w:cs="Times New Roman" w:hint="eastAsia"/>
          <w:sz w:val="32"/>
          <w:szCs w:val="32"/>
        </w:rPr>
        <w:t>《中央引导地方科技发展资金管理办法》（财教〔</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204</w:t>
      </w:r>
      <w:r>
        <w:rPr>
          <w:rFonts w:ascii="Times New Roman" w:eastAsia="仿宋_GB2312" w:hAnsi="Times New Roman" w:cs="Times New Roman" w:hint="eastAsia"/>
          <w:sz w:val="32"/>
          <w:szCs w:val="32"/>
        </w:rPr>
        <w:t>号）有关规定，用于支持</w:t>
      </w:r>
      <w:r>
        <w:rPr>
          <w:rFonts w:ascii="仿宋_GB2312" w:eastAsia="仿宋_GB2312" w:hAnsi="仿宋_GB2312" w:cs="仿宋_GB2312" w:hint="eastAsia"/>
          <w:sz w:val="32"/>
          <w:szCs w:val="32"/>
        </w:rPr>
        <w:t>自由探索类基础研究、科技创新基地建设、科技成果转移转化和区域创新体系建设等四个方面。</w:t>
      </w:r>
    </w:p>
    <w:p w14:paraId="34769F37"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第八条</w:t>
      </w:r>
      <w:r>
        <w:rPr>
          <w:rFonts w:ascii="仿宋_GB2312" w:eastAsia="仿宋_GB2312" w:hAnsi="Times New Roman" w:cs="Times New Roman" w:hint="eastAsia"/>
          <w:sz w:val="32"/>
          <w:szCs w:val="32"/>
        </w:rPr>
        <w:t>【支出范围】</w:t>
      </w:r>
      <w:r>
        <w:rPr>
          <w:rFonts w:ascii="Times New Roman" w:eastAsia="仿宋_GB2312" w:hAnsi="Times New Roman" w:cs="Times New Roman" w:hint="eastAsia"/>
          <w:sz w:val="32"/>
          <w:szCs w:val="32"/>
        </w:rPr>
        <w:t xml:space="preserve">　</w:t>
      </w:r>
      <w:r>
        <w:rPr>
          <w:rFonts w:ascii="仿宋_GB2312" w:eastAsia="仿宋_GB2312" w:hint="eastAsia"/>
          <w:sz w:val="32"/>
          <w:szCs w:val="32"/>
        </w:rPr>
        <w:t>引导资金不得用于支付各种罚款、捐款、赞助、投资、偿还债务等支出，不得用于行政事业单位编制内在职人员工资性支出和离退休人员离退休费，以及国家规定禁止列支的其他支出。</w:t>
      </w:r>
    </w:p>
    <w:p w14:paraId="45C6BF8C" w14:textId="77777777" w:rsidR="00B62031" w:rsidRDefault="00000000">
      <w:pPr>
        <w:spacing w:line="580" w:lineRule="exact"/>
        <w:jc w:val="center"/>
        <w:rPr>
          <w:rFonts w:ascii="黑体" w:eastAsia="黑体" w:hAnsi="黑体" w:cs="Times New Roman" w:hint="eastAsia"/>
          <w:sz w:val="32"/>
          <w:szCs w:val="32"/>
        </w:rPr>
      </w:pPr>
      <w:r>
        <w:rPr>
          <w:rFonts w:ascii="黑体" w:eastAsia="黑体" w:hAnsi="黑体" w:cs="Times New Roman" w:hint="eastAsia"/>
          <w:sz w:val="32"/>
          <w:szCs w:val="32"/>
        </w:rPr>
        <w:t>第三章</w:t>
      </w:r>
      <w:r>
        <w:rPr>
          <w:rFonts w:ascii="Times New Roman" w:eastAsia="仿宋_GB2312" w:hAnsi="Times New Roman" w:cs="Times New Roman" w:hint="eastAsia"/>
          <w:sz w:val="32"/>
          <w:szCs w:val="32"/>
        </w:rPr>
        <w:t xml:space="preserve">　</w:t>
      </w:r>
      <w:r>
        <w:rPr>
          <w:rFonts w:ascii="黑体" w:eastAsia="黑体" w:hAnsi="黑体" w:cs="Times New Roman" w:hint="eastAsia"/>
          <w:sz w:val="32"/>
          <w:szCs w:val="32"/>
        </w:rPr>
        <w:t>资金使用</w:t>
      </w:r>
      <w:r>
        <w:rPr>
          <w:rFonts w:ascii="黑体" w:eastAsia="黑体" w:hAnsi="黑体" w:cs="Times New Roman"/>
          <w:sz w:val="32"/>
          <w:szCs w:val="32"/>
        </w:rPr>
        <w:t>管理</w:t>
      </w:r>
    </w:p>
    <w:p w14:paraId="74AF2B08"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第九条</w:t>
      </w:r>
      <w:r>
        <w:rPr>
          <w:rFonts w:ascii="仿宋_GB2312" w:eastAsia="仿宋_GB2312" w:hAnsi="Times New Roman" w:cs="Times New Roman" w:hint="eastAsia"/>
          <w:sz w:val="32"/>
          <w:szCs w:val="32"/>
        </w:rPr>
        <w:t>【项目</w:t>
      </w:r>
      <w:r>
        <w:rPr>
          <w:rFonts w:ascii="仿宋_GB2312" w:eastAsia="仿宋_GB2312" w:hAnsi="Times New Roman" w:cs="Times New Roman"/>
          <w:sz w:val="32"/>
          <w:szCs w:val="32"/>
        </w:rPr>
        <w:t>管理</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项目管理、项目</w:t>
      </w:r>
      <w:r>
        <w:rPr>
          <w:rFonts w:ascii="Times New Roman" w:eastAsia="仿宋_GB2312" w:hAnsi="Times New Roman" w:cs="Times New Roman"/>
          <w:sz w:val="32"/>
          <w:szCs w:val="32"/>
        </w:rPr>
        <w:t>验收</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宁波市</w:t>
      </w:r>
      <w:r>
        <w:rPr>
          <w:rFonts w:ascii="Times New Roman" w:eastAsia="仿宋_GB2312" w:hAnsi="Times New Roman" w:cs="Times New Roman"/>
          <w:sz w:val="32"/>
          <w:szCs w:val="32"/>
        </w:rPr>
        <w:t>科技计划项目管理办法（</w:t>
      </w:r>
      <w:r>
        <w:rPr>
          <w:rFonts w:ascii="Times New Roman" w:eastAsia="仿宋_GB2312" w:hAnsi="Times New Roman" w:cs="Times New Roman" w:hint="eastAsia"/>
          <w:sz w:val="32"/>
          <w:szCs w:val="32"/>
        </w:rPr>
        <w:t>修订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甬科计〔</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61</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宁波市</w:t>
      </w:r>
      <w:r>
        <w:rPr>
          <w:rFonts w:ascii="Times New Roman" w:eastAsia="仿宋_GB2312" w:hAnsi="Times New Roman" w:cs="Times New Roman"/>
          <w:sz w:val="32"/>
          <w:szCs w:val="32"/>
        </w:rPr>
        <w:t>科技计划项目验收管理细则》</w:t>
      </w:r>
      <w:r>
        <w:rPr>
          <w:rFonts w:ascii="Times New Roman" w:eastAsia="仿宋_GB2312" w:hAnsi="Times New Roman" w:cs="Times New Roman" w:hint="eastAsia"/>
          <w:sz w:val="32"/>
          <w:szCs w:val="32"/>
        </w:rPr>
        <w:t>（甬</w:t>
      </w:r>
      <w:r>
        <w:rPr>
          <w:rFonts w:ascii="Times New Roman" w:eastAsia="仿宋_GB2312" w:hAnsi="Times New Roman" w:cs="Times New Roman"/>
          <w:sz w:val="32"/>
          <w:szCs w:val="32"/>
        </w:rPr>
        <w:t>科计</w:t>
      </w:r>
      <w:r>
        <w:rPr>
          <w:rFonts w:ascii="Times New Roman" w:eastAsia="楷体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99</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执行。</w:t>
      </w:r>
    </w:p>
    <w:p w14:paraId="7F12D58D"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第十条</w:t>
      </w:r>
      <w:r>
        <w:rPr>
          <w:rFonts w:ascii="仿宋_GB2312" w:eastAsia="仿宋_GB2312" w:hAnsi="Times New Roman" w:cs="Times New Roman" w:hint="eastAsia"/>
          <w:sz w:val="32"/>
          <w:szCs w:val="32"/>
        </w:rPr>
        <w:t>【公示要求】</w:t>
      </w:r>
      <w:r>
        <w:rPr>
          <w:rFonts w:ascii="Times New Roman" w:eastAsia="仿宋_GB2312" w:hAnsi="Times New Roman" w:cs="Times New Roman" w:hint="eastAsia"/>
          <w:sz w:val="32"/>
          <w:szCs w:val="32"/>
        </w:rPr>
        <w:t xml:space="preserve">　</w:t>
      </w:r>
      <w:r>
        <w:rPr>
          <w:rFonts w:ascii="仿宋_GB2312" w:eastAsia="仿宋_GB2312" w:hint="eastAsia"/>
          <w:sz w:val="32"/>
          <w:szCs w:val="32"/>
        </w:rPr>
        <w:t>对拟分配到企业的引导资金，</w:t>
      </w:r>
      <w:r>
        <w:rPr>
          <w:rFonts w:ascii="Times New Roman" w:eastAsia="仿宋_GB2312" w:hAnsi="Times New Roman" w:cs="Times New Roman" w:hint="eastAsia"/>
          <w:sz w:val="32"/>
          <w:szCs w:val="32"/>
        </w:rPr>
        <w:t>由市科技局、市财政局</w:t>
      </w:r>
      <w:r>
        <w:rPr>
          <w:rFonts w:ascii="仿宋_GB2312" w:eastAsia="仿宋_GB2312" w:hint="eastAsia"/>
          <w:sz w:val="32"/>
          <w:szCs w:val="32"/>
        </w:rPr>
        <w:t>通过</w:t>
      </w:r>
      <w:r>
        <w:rPr>
          <w:rFonts w:ascii="Times New Roman" w:eastAsia="仿宋_GB2312" w:hAnsi="Times New Roman"/>
          <w:sz w:val="32"/>
          <w:szCs w:val="32"/>
        </w:rPr>
        <w:t>官方网站等媒介向社会公示，公示期一般不少于</w:t>
      </w:r>
      <w:r>
        <w:rPr>
          <w:rFonts w:ascii="Times New Roman" w:eastAsia="仿宋_GB2312" w:hAnsi="Times New Roman"/>
          <w:sz w:val="32"/>
          <w:szCs w:val="32"/>
        </w:rPr>
        <w:t>7</w:t>
      </w:r>
      <w:r>
        <w:rPr>
          <w:rFonts w:ascii="Times New Roman" w:eastAsia="仿宋_GB2312" w:hAnsi="Times New Roman"/>
          <w:sz w:val="32"/>
          <w:szCs w:val="32"/>
        </w:rPr>
        <w:t>日，公示无</w:t>
      </w:r>
      <w:r>
        <w:rPr>
          <w:rFonts w:ascii="仿宋_GB2312" w:eastAsia="仿宋_GB2312" w:hint="eastAsia"/>
          <w:sz w:val="32"/>
          <w:szCs w:val="32"/>
        </w:rPr>
        <w:t>异议后组织实施，涉及国家秘密的内容除外。</w:t>
      </w:r>
    </w:p>
    <w:p w14:paraId="109787F9" w14:textId="77777777" w:rsidR="00B62031" w:rsidRDefault="00000000">
      <w:pPr>
        <w:pStyle w:val="a9"/>
        <w:widowControl/>
        <w:spacing w:beforeAutospacing="0" w:afterAutospacing="0" w:line="580" w:lineRule="exact"/>
        <w:ind w:firstLine="640"/>
        <w:rPr>
          <w:rFonts w:ascii="仿宋_GB2312" w:eastAsia="仿宋_GB2312" w:hAnsi="仿宋_GB2312" w:cs="仿宋_GB2312" w:hint="eastAsia"/>
          <w:sz w:val="32"/>
          <w:szCs w:val="32"/>
          <w:shd w:val="clear" w:color="auto" w:fill="FFFFFF"/>
        </w:rPr>
      </w:pPr>
      <w:r>
        <w:rPr>
          <w:rFonts w:eastAsia="仿宋_GB2312" w:hint="eastAsia"/>
          <w:sz w:val="32"/>
          <w:szCs w:val="32"/>
        </w:rPr>
        <w:t>第十一条</w:t>
      </w:r>
      <w:r>
        <w:rPr>
          <w:rFonts w:ascii="仿宋_GB2312" w:eastAsia="仿宋_GB2312" w:hint="eastAsia"/>
          <w:sz w:val="32"/>
          <w:szCs w:val="32"/>
        </w:rPr>
        <w:t>【预算下达】</w:t>
      </w:r>
      <w:r>
        <w:rPr>
          <w:rFonts w:ascii="仿宋_GB2312" w:eastAsia="仿宋_GB2312" w:hAnsi="仿宋_GB2312" w:cs="仿宋_GB2312" w:hint="eastAsia"/>
          <w:sz w:val="32"/>
          <w:szCs w:val="32"/>
          <w:shd w:val="clear" w:color="auto" w:fill="FFFFFF"/>
        </w:rPr>
        <w:t>  市财政局在接到中央财政下达的预算后30日内，</w:t>
      </w:r>
      <w:r>
        <w:rPr>
          <w:rFonts w:eastAsia="仿宋_GB2312"/>
          <w:sz w:val="32"/>
          <w:szCs w:val="32"/>
        </w:rPr>
        <w:t>会同</w:t>
      </w:r>
      <w:r>
        <w:rPr>
          <w:rFonts w:eastAsia="仿宋_GB2312" w:hint="eastAsia"/>
          <w:sz w:val="32"/>
          <w:szCs w:val="32"/>
        </w:rPr>
        <w:t>市科技局</w:t>
      </w:r>
      <w:r>
        <w:rPr>
          <w:rFonts w:eastAsia="仿宋_GB2312"/>
          <w:sz w:val="32"/>
          <w:szCs w:val="32"/>
        </w:rPr>
        <w:t>按照预算级次合理分配</w:t>
      </w:r>
      <w:r>
        <w:rPr>
          <w:rFonts w:ascii="仿宋_GB2312" w:eastAsia="仿宋_GB2312" w:hint="eastAsia"/>
          <w:sz w:val="32"/>
          <w:szCs w:val="32"/>
        </w:rPr>
        <w:t>、及时下达引导资金预算，</w:t>
      </w:r>
      <w:r>
        <w:rPr>
          <w:rFonts w:ascii="仿宋_GB2312" w:eastAsia="仿宋_GB2312" w:hAnsi="仿宋_GB2312" w:cs="仿宋_GB2312" w:hint="eastAsia"/>
          <w:sz w:val="32"/>
          <w:szCs w:val="32"/>
          <w:shd w:val="clear" w:color="auto" w:fill="FFFFFF"/>
        </w:rPr>
        <w:t>并抄送财政部宁波监管局。</w:t>
      </w:r>
    </w:p>
    <w:p w14:paraId="204817C7"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第十二条</w:t>
      </w:r>
      <w:r>
        <w:rPr>
          <w:rFonts w:ascii="仿宋_GB2312" w:eastAsia="仿宋_GB2312" w:hAnsi="Times New Roman" w:cs="Times New Roman" w:hint="eastAsia"/>
          <w:sz w:val="32"/>
          <w:szCs w:val="32"/>
        </w:rPr>
        <w:t>【资金</w:t>
      </w:r>
      <w:r>
        <w:rPr>
          <w:rFonts w:ascii="仿宋_GB2312" w:eastAsia="仿宋_GB2312" w:hAnsi="Times New Roman" w:cs="Times New Roman"/>
          <w:sz w:val="32"/>
          <w:szCs w:val="32"/>
        </w:rPr>
        <w:t>拨付</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仿宋_GB2312" w:eastAsia="仿宋_GB2312" w:hAnsi="仿宋" w:hint="eastAsia"/>
          <w:color w:val="000000"/>
          <w:sz w:val="32"/>
          <w:szCs w:val="32"/>
        </w:rPr>
        <w:t>引导资金支付按照国库集中支付制度有关规定执行。涉及政府采购的，应当按照政府采购法律法规和有关制度执行。</w:t>
      </w:r>
    </w:p>
    <w:p w14:paraId="08C4E93D" w14:textId="77777777" w:rsidR="00B62031" w:rsidRDefault="00000000">
      <w:pPr>
        <w:adjustRightInd w:val="0"/>
        <w:snapToGrid w:val="0"/>
        <w:spacing w:line="620" w:lineRule="exact"/>
        <w:ind w:firstLineChars="200" w:firstLine="640"/>
        <w:rPr>
          <w:rFonts w:ascii="黑体" w:eastAsia="仿宋_GB2312" w:hAnsi="黑体" w:hint="eastAsia"/>
          <w:sz w:val="32"/>
          <w:szCs w:val="32"/>
        </w:rPr>
      </w:pPr>
      <w:r>
        <w:rPr>
          <w:rFonts w:ascii="Times New Roman" w:eastAsia="仿宋_GB2312" w:hAnsi="Times New Roman" w:cs="Times New Roman" w:hint="eastAsia"/>
          <w:sz w:val="32"/>
          <w:szCs w:val="32"/>
        </w:rPr>
        <w:t>第十三条</w:t>
      </w:r>
      <w:r>
        <w:rPr>
          <w:rFonts w:ascii="仿宋_GB2312" w:eastAsia="仿宋_GB2312" w:hAnsi="Times New Roman" w:cs="Times New Roman" w:hint="eastAsia"/>
          <w:sz w:val="32"/>
          <w:szCs w:val="32"/>
        </w:rPr>
        <w:t>【结余资金】</w:t>
      </w:r>
      <w:r>
        <w:rPr>
          <w:rFonts w:ascii="Times New Roman" w:eastAsia="仿宋_GB2312" w:hAnsi="Times New Roman" w:cs="Times New Roman" w:hint="eastAsia"/>
          <w:sz w:val="32"/>
          <w:szCs w:val="32"/>
        </w:rPr>
        <w:t xml:space="preserve">　</w:t>
      </w:r>
      <w:r>
        <w:rPr>
          <w:rFonts w:ascii="仿宋_GB2312" w:eastAsia="仿宋_GB2312" w:hint="eastAsia"/>
          <w:sz w:val="32"/>
          <w:szCs w:val="32"/>
        </w:rPr>
        <w:t>引导资金原则上应在当年执行完毕，项目实施期间，年度未支出的引导资金可结转下一年度继续使用。</w:t>
      </w:r>
    </w:p>
    <w:p w14:paraId="053488A1" w14:textId="77777777" w:rsidR="00B62031" w:rsidRDefault="00000000">
      <w:pPr>
        <w:spacing w:line="580" w:lineRule="exact"/>
        <w:jc w:val="center"/>
        <w:rPr>
          <w:rFonts w:ascii="黑体" w:eastAsia="黑体" w:hAnsi="黑体" w:cs="Times New Roman" w:hint="eastAsia"/>
          <w:sz w:val="32"/>
          <w:szCs w:val="32"/>
        </w:rPr>
      </w:pPr>
      <w:r>
        <w:rPr>
          <w:rFonts w:ascii="黑体" w:eastAsia="黑体" w:hAnsi="黑体" w:cs="Times New Roman" w:hint="eastAsia"/>
          <w:sz w:val="32"/>
          <w:szCs w:val="32"/>
        </w:rPr>
        <w:t>第四章</w:t>
      </w:r>
      <w:r>
        <w:rPr>
          <w:rFonts w:ascii="Times New Roman" w:eastAsia="仿宋_GB2312" w:hAnsi="Times New Roman" w:cs="Times New Roman" w:hint="eastAsia"/>
          <w:sz w:val="32"/>
          <w:szCs w:val="32"/>
        </w:rPr>
        <w:t xml:space="preserve">　</w:t>
      </w:r>
      <w:r>
        <w:rPr>
          <w:rFonts w:ascii="黑体" w:eastAsia="黑体" w:hAnsi="黑体" w:cs="Times New Roman" w:hint="eastAsia"/>
          <w:sz w:val="32"/>
          <w:szCs w:val="32"/>
        </w:rPr>
        <w:t>绩效</w:t>
      </w:r>
      <w:r>
        <w:rPr>
          <w:rFonts w:ascii="黑体" w:eastAsia="黑体" w:hAnsi="黑体" w:cs="Times New Roman"/>
          <w:sz w:val="32"/>
          <w:szCs w:val="32"/>
        </w:rPr>
        <w:t>评价与</w:t>
      </w:r>
      <w:r>
        <w:rPr>
          <w:rFonts w:ascii="黑体" w:eastAsia="黑体" w:hAnsi="黑体" w:cs="Times New Roman" w:hint="eastAsia"/>
          <w:sz w:val="32"/>
          <w:szCs w:val="32"/>
        </w:rPr>
        <w:t>监督检查</w:t>
      </w:r>
    </w:p>
    <w:p w14:paraId="4B6A3632" w14:textId="77777777" w:rsidR="00B62031" w:rsidRDefault="00000000">
      <w:pPr>
        <w:adjustRightInd w:val="0"/>
        <w:snapToGrid w:val="0"/>
        <w:spacing w:line="620" w:lineRule="exact"/>
        <w:ind w:firstLineChars="200" w:firstLine="640"/>
        <w:rPr>
          <w:rFonts w:ascii="仿宋_GB2312" w:eastAsia="仿宋_GB2312" w:hAnsi="仿宋" w:hint="eastAsia"/>
          <w:color w:val="000000"/>
          <w:sz w:val="32"/>
          <w:szCs w:val="32"/>
        </w:rPr>
      </w:pPr>
      <w:r>
        <w:rPr>
          <w:rFonts w:ascii="Times New Roman" w:eastAsia="仿宋_GB2312" w:hAnsi="Times New Roman" w:cs="Times New Roman" w:hint="eastAsia"/>
          <w:sz w:val="32"/>
          <w:szCs w:val="32"/>
        </w:rPr>
        <w:t>第十四条</w:t>
      </w:r>
      <w:r>
        <w:rPr>
          <w:rFonts w:ascii="仿宋_GB2312" w:eastAsia="仿宋_GB2312" w:hAnsi="Times New Roman" w:cs="Times New Roman" w:hint="eastAsia"/>
          <w:sz w:val="32"/>
          <w:szCs w:val="32"/>
        </w:rPr>
        <w:t>【绩效</w:t>
      </w:r>
      <w:r>
        <w:rPr>
          <w:rFonts w:ascii="仿宋_GB2312" w:eastAsia="仿宋_GB2312" w:hAnsi="Times New Roman" w:cs="Times New Roman"/>
          <w:sz w:val="32"/>
          <w:szCs w:val="32"/>
        </w:rPr>
        <w:t>评价</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市</w:t>
      </w:r>
      <w:r>
        <w:rPr>
          <w:rFonts w:ascii="仿宋_GB2312" w:eastAsia="仿宋_GB2312" w:hAnsi="仿宋" w:hint="eastAsia"/>
          <w:color w:val="000000"/>
          <w:sz w:val="32"/>
          <w:szCs w:val="32"/>
        </w:rPr>
        <w:t>科技局会同市财政局</w:t>
      </w:r>
      <w:r>
        <w:rPr>
          <w:rFonts w:ascii="Times New Roman" w:eastAsia="仿宋_GB2312" w:hAnsi="Times New Roman"/>
          <w:color w:val="000000"/>
          <w:sz w:val="32"/>
          <w:szCs w:val="32"/>
        </w:rPr>
        <w:t>于每年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日前向科技部、财政部报送引导资金绩效自评报告，并抄送财政部当地监管局，主要包括本年度引导资金</w:t>
      </w:r>
      <w:r>
        <w:rPr>
          <w:rFonts w:ascii="仿宋_GB2312" w:eastAsia="仿宋_GB2312" w:hAnsi="仿宋" w:hint="eastAsia"/>
          <w:color w:val="000000"/>
          <w:sz w:val="32"/>
          <w:szCs w:val="32"/>
        </w:rPr>
        <w:t>支出情况、组织实施情况、绩效情况等。</w:t>
      </w:r>
    </w:p>
    <w:p w14:paraId="44ADEE5C"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第十五条</w:t>
      </w:r>
      <w:r>
        <w:rPr>
          <w:rFonts w:ascii="仿宋_GB2312" w:eastAsia="仿宋_GB2312" w:hAnsi="Times New Roman" w:cs="Times New Roman" w:hint="eastAsia"/>
          <w:sz w:val="32"/>
          <w:szCs w:val="32"/>
        </w:rPr>
        <w:t>【监督</w:t>
      </w:r>
      <w:r>
        <w:rPr>
          <w:rFonts w:ascii="仿宋_GB2312" w:eastAsia="仿宋_GB2312" w:hAnsi="Times New Roman" w:cs="Times New Roman"/>
          <w:sz w:val="32"/>
          <w:szCs w:val="32"/>
        </w:rPr>
        <w:t>检查</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项目</w:t>
      </w:r>
      <w:r>
        <w:rPr>
          <w:rFonts w:ascii="Times New Roman" w:eastAsia="仿宋_GB2312" w:hAnsi="Times New Roman" w:cs="Times New Roman"/>
          <w:sz w:val="32"/>
          <w:szCs w:val="32"/>
        </w:rPr>
        <w:t>承担单位应</w:t>
      </w:r>
      <w:r>
        <w:rPr>
          <w:rFonts w:ascii="Times New Roman" w:eastAsia="仿宋_GB2312" w:hAnsi="Times New Roman" w:cs="Times New Roman" w:hint="eastAsia"/>
          <w:sz w:val="32"/>
          <w:szCs w:val="32"/>
        </w:rPr>
        <w:t>积极配合市科技局、市财政局、市审计监督部门、市纪检监察部门以及其他监督机构及其授权委托机构的监督检查和</w:t>
      </w:r>
      <w:r>
        <w:rPr>
          <w:rFonts w:ascii="Times New Roman" w:eastAsia="仿宋_GB2312" w:hAnsi="Times New Roman" w:cs="Times New Roman"/>
          <w:sz w:val="32"/>
          <w:szCs w:val="32"/>
        </w:rPr>
        <w:t>财务审计</w:t>
      </w:r>
      <w:r>
        <w:rPr>
          <w:rFonts w:ascii="Times New Roman" w:eastAsia="仿宋_GB2312" w:hAnsi="Times New Roman" w:cs="Times New Roman" w:hint="eastAsia"/>
          <w:sz w:val="32"/>
          <w:szCs w:val="32"/>
        </w:rPr>
        <w:t>。</w:t>
      </w:r>
    </w:p>
    <w:p w14:paraId="5F9E233A" w14:textId="2D8FF3F9" w:rsidR="00B62031" w:rsidRDefault="00000000">
      <w:pPr>
        <w:spacing w:line="580" w:lineRule="exact"/>
        <w:ind w:firstLine="615"/>
        <w:rPr>
          <w:rFonts w:ascii="仿宋_GB2312" w:eastAsia="仿宋_GB2312"/>
          <w:sz w:val="32"/>
          <w:szCs w:val="32"/>
        </w:rPr>
      </w:pPr>
      <w:r>
        <w:rPr>
          <w:rFonts w:ascii="Times New Roman" w:eastAsia="仿宋_GB2312" w:hAnsi="Times New Roman" w:cs="Times New Roman" w:hint="eastAsia"/>
          <w:sz w:val="32"/>
          <w:szCs w:val="32"/>
        </w:rPr>
        <w:t>第十六条</w:t>
      </w:r>
      <w:r>
        <w:rPr>
          <w:rFonts w:ascii="仿宋_GB2312" w:eastAsia="仿宋_GB2312" w:hAnsi="Times New Roman" w:cs="Times New Roman" w:hint="eastAsia"/>
          <w:sz w:val="32"/>
          <w:szCs w:val="32"/>
        </w:rPr>
        <w:t>【承担单位</w:t>
      </w:r>
      <w:r>
        <w:rPr>
          <w:rFonts w:ascii="仿宋_GB2312" w:eastAsia="仿宋_GB2312" w:hAnsi="Times New Roman" w:cs="Times New Roman"/>
          <w:sz w:val="32"/>
          <w:szCs w:val="32"/>
        </w:rPr>
        <w:t>责任</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项目承担单位</w:t>
      </w:r>
      <w:r>
        <w:rPr>
          <w:rFonts w:ascii="仿宋_GB2312" w:eastAsia="仿宋_GB2312" w:hint="eastAsia"/>
          <w:sz w:val="32"/>
          <w:szCs w:val="32"/>
        </w:rPr>
        <w:t>和个人在引导资金使用过程中存在各类违法违规行为的，按照《中华人民共和国</w:t>
      </w:r>
      <w:r>
        <w:rPr>
          <w:rFonts w:ascii="仿宋_GB2312" w:eastAsia="仿宋_GB2312" w:hint="eastAsia"/>
          <w:sz w:val="32"/>
          <w:szCs w:val="32"/>
        </w:rPr>
        <w:lastRenderedPageBreak/>
        <w:t>预算法》及其实施条例、《财政违法行为处罚处分条例》等国家有关规定追究相应责任。涉嫌犯罪的，依法移送有关机关处理。对严重违规、违纪、违法犯罪的相关责任主体，按程序纳入科研严重失信行为记录。</w:t>
      </w:r>
    </w:p>
    <w:p w14:paraId="50BA3FD0" w14:textId="77777777" w:rsidR="00B62031" w:rsidRDefault="00000000">
      <w:pPr>
        <w:spacing w:line="580" w:lineRule="exact"/>
        <w:ind w:firstLineChars="200" w:firstLine="640"/>
        <w:rPr>
          <w:rFonts w:ascii="仿宋_GB2312" w:eastAsia="仿宋_GB2312" w:hAnsi="仿宋_GB2312" w:cs="仿宋_GB2312" w:hint="eastAsia"/>
          <w:sz w:val="32"/>
          <w:szCs w:val="32"/>
          <w:shd w:val="clear" w:color="auto" w:fill="FFFFFF"/>
        </w:rPr>
      </w:pPr>
      <w:r>
        <w:rPr>
          <w:rFonts w:ascii="Times New Roman" w:eastAsia="仿宋_GB2312" w:hAnsi="Times New Roman" w:cs="Times New Roman" w:hint="eastAsia"/>
          <w:sz w:val="32"/>
          <w:szCs w:val="32"/>
        </w:rPr>
        <w:t>第十七条</w:t>
      </w:r>
      <w:r>
        <w:rPr>
          <w:rFonts w:ascii="仿宋_GB2312" w:eastAsia="仿宋_GB2312" w:hAnsi="Times New Roman" w:cs="Times New Roman" w:hint="eastAsia"/>
          <w:sz w:val="32"/>
          <w:szCs w:val="32"/>
        </w:rPr>
        <w:t>【管理人</w:t>
      </w:r>
      <w:r>
        <w:rPr>
          <w:rFonts w:ascii="仿宋_GB2312" w:eastAsia="仿宋_GB2312" w:hAnsi="Times New Roman" w:cs="Times New Roman"/>
          <w:sz w:val="32"/>
          <w:szCs w:val="32"/>
        </w:rPr>
        <w:t>责任</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仿宋_GB2312" w:eastAsia="仿宋_GB2312" w:hAnsi="仿宋_GB2312" w:cs="仿宋_GB2312" w:hint="eastAsia"/>
          <w:sz w:val="32"/>
          <w:szCs w:val="32"/>
          <w:shd w:val="clear" w:color="auto" w:fill="FFFFFF"/>
        </w:rPr>
        <w:t>市科技局、市财政局及其工作人员在引导资金分配、使用、管理等相关工作中，存在违反本办法规定，以及其他滥用职权、玩忽职守、徇私舞弊等违法违纪行为的，依照《中华人民共和国预算法》、《中华人民共和国公务员法》、《中华人民共和国监察法》、《财政违法行为处罚处分条例》等法律、法规规定追究相应责任；涉嫌犯罪的，依法移送司法机关处理。</w:t>
      </w:r>
    </w:p>
    <w:p w14:paraId="142EDCF1" w14:textId="77777777" w:rsidR="00B62031" w:rsidRDefault="00000000">
      <w:pPr>
        <w:spacing w:line="580" w:lineRule="exact"/>
        <w:jc w:val="center"/>
        <w:rPr>
          <w:rFonts w:ascii="黑体" w:eastAsia="黑体" w:hAnsi="黑体" w:cs="Times New Roman" w:hint="eastAsia"/>
          <w:sz w:val="32"/>
          <w:szCs w:val="32"/>
        </w:rPr>
      </w:pPr>
      <w:r>
        <w:rPr>
          <w:rFonts w:ascii="黑体" w:eastAsia="黑体" w:hAnsi="黑体" w:cs="Times New Roman" w:hint="eastAsia"/>
          <w:sz w:val="32"/>
          <w:szCs w:val="32"/>
        </w:rPr>
        <w:t>第五章</w:t>
      </w:r>
      <w:r>
        <w:rPr>
          <w:rFonts w:ascii="Times New Roman" w:eastAsia="仿宋_GB2312" w:hAnsi="Times New Roman" w:cs="Times New Roman" w:hint="eastAsia"/>
          <w:sz w:val="32"/>
          <w:szCs w:val="32"/>
        </w:rPr>
        <w:t xml:space="preserve">　</w:t>
      </w:r>
      <w:r>
        <w:rPr>
          <w:rFonts w:ascii="黑体" w:eastAsia="黑体" w:hAnsi="黑体" w:cs="Times New Roman" w:hint="eastAsia"/>
          <w:sz w:val="32"/>
          <w:szCs w:val="32"/>
        </w:rPr>
        <w:t>附则</w:t>
      </w:r>
    </w:p>
    <w:p w14:paraId="64DEBCE0"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第十八条</w:t>
      </w:r>
      <w:r>
        <w:rPr>
          <w:rFonts w:ascii="黑体" w:eastAsia="黑体" w:hAnsi="黑体" w:cs="Times New Roman"/>
          <w:b/>
          <w:sz w:val="32"/>
          <w:szCs w:val="32"/>
        </w:rPr>
        <w:t>【</w:t>
      </w:r>
      <w:r>
        <w:rPr>
          <w:rFonts w:ascii="仿宋" w:eastAsia="仿宋" w:hAnsi="仿宋" w:cs="Times New Roman" w:hint="eastAsia"/>
          <w:sz w:val="32"/>
          <w:szCs w:val="32"/>
        </w:rPr>
        <w:t>解释权</w:t>
      </w:r>
      <w:r>
        <w:rPr>
          <w:rFonts w:ascii="仿宋" w:eastAsia="仿宋" w:hAnsi="仿宋" w:cs="Times New Roman"/>
          <w:sz w:val="32"/>
          <w:szCs w:val="32"/>
        </w:rPr>
        <w:t>】</w:t>
      </w:r>
      <w:r>
        <w:rPr>
          <w:rFonts w:ascii="Times New Roman" w:eastAsia="仿宋_GB2312" w:hAnsi="Times New Roman" w:cs="Times New Roman" w:hint="eastAsia"/>
          <w:sz w:val="32"/>
          <w:szCs w:val="32"/>
        </w:rPr>
        <w:t xml:space="preserve">　本办法</w:t>
      </w:r>
      <w:r>
        <w:rPr>
          <w:rFonts w:ascii="Times New Roman" w:eastAsia="仿宋_GB2312" w:hAnsi="Times New Roman" w:cs="Times New Roman"/>
          <w:sz w:val="32"/>
          <w:szCs w:val="32"/>
        </w:rPr>
        <w:t>由</w:t>
      </w:r>
      <w:r>
        <w:rPr>
          <w:rFonts w:ascii="Times New Roman" w:eastAsia="仿宋_GB2312" w:hAnsi="Times New Roman" w:cs="Times New Roman"/>
          <w:kern w:val="0"/>
          <w:sz w:val="32"/>
          <w:szCs w:val="32"/>
        </w:rPr>
        <w:t>市科技局、市财政局负责解释。</w:t>
      </w:r>
    </w:p>
    <w:p w14:paraId="5000C779" w14:textId="77777777" w:rsidR="00B62031"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第十九条</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施行日期</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 xml:space="preserve">　本办法</w:t>
      </w:r>
      <w:r>
        <w:rPr>
          <w:rFonts w:ascii="Times New Roman" w:eastAsia="仿宋_GB2312" w:hAnsi="Times New Roman" w:cs="Times New Roman"/>
          <w:sz w:val="32"/>
          <w:szCs w:val="32"/>
        </w:rPr>
        <w:t>自</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起</w:t>
      </w:r>
      <w:r>
        <w:rPr>
          <w:rFonts w:ascii="Times New Roman" w:eastAsia="仿宋_GB2312" w:hAnsi="Times New Roman" w:cs="Times New Roman" w:hint="eastAsia"/>
          <w:sz w:val="32"/>
          <w:szCs w:val="32"/>
        </w:rPr>
        <w:t>施行</w:t>
      </w:r>
      <w:r>
        <w:rPr>
          <w:rFonts w:ascii="Times New Roman" w:eastAsia="仿宋_GB2312" w:hAnsi="Times New Roman" w:cs="Times New Roman"/>
          <w:sz w:val="32"/>
          <w:szCs w:val="32"/>
        </w:rPr>
        <w:t>。</w:t>
      </w:r>
    </w:p>
    <w:p w14:paraId="48F14E97" w14:textId="77777777" w:rsidR="00B62031" w:rsidRDefault="00B62031">
      <w:pPr>
        <w:spacing w:line="580" w:lineRule="exact"/>
        <w:rPr>
          <w:rFonts w:ascii="Times New Roman" w:eastAsia="仿宋_GB2312" w:hAnsi="Times New Roman" w:cs="Times New Roman"/>
          <w:kern w:val="0"/>
          <w:sz w:val="32"/>
          <w:szCs w:val="32"/>
        </w:rPr>
      </w:pPr>
    </w:p>
    <w:sectPr w:rsidR="00B62031">
      <w:footerReference w:type="default" r:id="rId6"/>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25737" w14:textId="77777777" w:rsidR="00A9106F" w:rsidRDefault="00A9106F">
      <w:r>
        <w:separator/>
      </w:r>
    </w:p>
  </w:endnote>
  <w:endnote w:type="continuationSeparator" w:id="0">
    <w:p w14:paraId="3DCE7FEA" w14:textId="77777777" w:rsidR="00A9106F" w:rsidRDefault="00A9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2A1AD7E2" w14:textId="77777777" w:rsidR="00B62031" w:rsidRDefault="00000000">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9992F" w14:textId="77777777" w:rsidR="00A9106F" w:rsidRDefault="00A9106F">
      <w:r>
        <w:separator/>
      </w:r>
    </w:p>
  </w:footnote>
  <w:footnote w:type="continuationSeparator" w:id="0">
    <w:p w14:paraId="5450244C" w14:textId="77777777" w:rsidR="00A9106F" w:rsidRDefault="00A91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5B"/>
    <w:rsid w:val="9DEF7565"/>
    <w:rsid w:val="BDFA1AB7"/>
    <w:rsid w:val="FEA68C46"/>
    <w:rsid w:val="FFF56A26"/>
    <w:rsid w:val="00014C0F"/>
    <w:rsid w:val="00022F32"/>
    <w:rsid w:val="000307CC"/>
    <w:rsid w:val="00034575"/>
    <w:rsid w:val="00042BC5"/>
    <w:rsid w:val="00085512"/>
    <w:rsid w:val="0009276B"/>
    <w:rsid w:val="000A418C"/>
    <w:rsid w:val="000B0EBF"/>
    <w:rsid w:val="000D628D"/>
    <w:rsid w:val="000F0922"/>
    <w:rsid w:val="000F5B19"/>
    <w:rsid w:val="001223A9"/>
    <w:rsid w:val="00125E42"/>
    <w:rsid w:val="001378E7"/>
    <w:rsid w:val="00170799"/>
    <w:rsid w:val="0017216A"/>
    <w:rsid w:val="00182C93"/>
    <w:rsid w:val="00191A4E"/>
    <w:rsid w:val="001B0099"/>
    <w:rsid w:val="001B626C"/>
    <w:rsid w:val="001E465F"/>
    <w:rsid w:val="001F30A7"/>
    <w:rsid w:val="001F4B99"/>
    <w:rsid w:val="0021465E"/>
    <w:rsid w:val="00227634"/>
    <w:rsid w:val="00236728"/>
    <w:rsid w:val="002A3F5B"/>
    <w:rsid w:val="002D4ABE"/>
    <w:rsid w:val="00304040"/>
    <w:rsid w:val="0030412B"/>
    <w:rsid w:val="00305E6B"/>
    <w:rsid w:val="00331E22"/>
    <w:rsid w:val="00334CFA"/>
    <w:rsid w:val="003379B3"/>
    <w:rsid w:val="00346627"/>
    <w:rsid w:val="00357F4C"/>
    <w:rsid w:val="0039354E"/>
    <w:rsid w:val="003A29D5"/>
    <w:rsid w:val="003B5812"/>
    <w:rsid w:val="004058A1"/>
    <w:rsid w:val="00407010"/>
    <w:rsid w:val="00425C5F"/>
    <w:rsid w:val="00427AC8"/>
    <w:rsid w:val="00463B8B"/>
    <w:rsid w:val="0046799A"/>
    <w:rsid w:val="00470F16"/>
    <w:rsid w:val="00473B86"/>
    <w:rsid w:val="004801F5"/>
    <w:rsid w:val="004819E1"/>
    <w:rsid w:val="004B406D"/>
    <w:rsid w:val="004F2B49"/>
    <w:rsid w:val="00540C0B"/>
    <w:rsid w:val="00544E89"/>
    <w:rsid w:val="005451DA"/>
    <w:rsid w:val="00550303"/>
    <w:rsid w:val="0055331F"/>
    <w:rsid w:val="00615917"/>
    <w:rsid w:val="0064460E"/>
    <w:rsid w:val="00652352"/>
    <w:rsid w:val="00690D57"/>
    <w:rsid w:val="006976CD"/>
    <w:rsid w:val="006B35A8"/>
    <w:rsid w:val="006D3F9B"/>
    <w:rsid w:val="0075077E"/>
    <w:rsid w:val="00751F94"/>
    <w:rsid w:val="00757701"/>
    <w:rsid w:val="00780716"/>
    <w:rsid w:val="00791B56"/>
    <w:rsid w:val="007C1162"/>
    <w:rsid w:val="007D748B"/>
    <w:rsid w:val="007E1BE5"/>
    <w:rsid w:val="007F674A"/>
    <w:rsid w:val="0084015B"/>
    <w:rsid w:val="00844AF1"/>
    <w:rsid w:val="00875B04"/>
    <w:rsid w:val="008C7C93"/>
    <w:rsid w:val="008E4E38"/>
    <w:rsid w:val="00905138"/>
    <w:rsid w:val="00912751"/>
    <w:rsid w:val="00912E70"/>
    <w:rsid w:val="00917963"/>
    <w:rsid w:val="0095495A"/>
    <w:rsid w:val="00986962"/>
    <w:rsid w:val="0099400D"/>
    <w:rsid w:val="009A4864"/>
    <w:rsid w:val="009B02D5"/>
    <w:rsid w:val="009E6301"/>
    <w:rsid w:val="009F5080"/>
    <w:rsid w:val="00A04346"/>
    <w:rsid w:val="00A04E78"/>
    <w:rsid w:val="00A54670"/>
    <w:rsid w:val="00A56C45"/>
    <w:rsid w:val="00A70927"/>
    <w:rsid w:val="00A9106F"/>
    <w:rsid w:val="00A9376D"/>
    <w:rsid w:val="00A97AE7"/>
    <w:rsid w:val="00AC4E89"/>
    <w:rsid w:val="00AE6CAA"/>
    <w:rsid w:val="00AF4E6F"/>
    <w:rsid w:val="00B57B38"/>
    <w:rsid w:val="00B62031"/>
    <w:rsid w:val="00B6495B"/>
    <w:rsid w:val="00BD5AFF"/>
    <w:rsid w:val="00BE0E0F"/>
    <w:rsid w:val="00BF014C"/>
    <w:rsid w:val="00C236CB"/>
    <w:rsid w:val="00C36719"/>
    <w:rsid w:val="00C4342C"/>
    <w:rsid w:val="00C44F1F"/>
    <w:rsid w:val="00C45244"/>
    <w:rsid w:val="00C52101"/>
    <w:rsid w:val="00C765BD"/>
    <w:rsid w:val="00C86A77"/>
    <w:rsid w:val="00C9766E"/>
    <w:rsid w:val="00CA1595"/>
    <w:rsid w:val="00CB3F71"/>
    <w:rsid w:val="00CB5ACC"/>
    <w:rsid w:val="00CC1C97"/>
    <w:rsid w:val="00CF2896"/>
    <w:rsid w:val="00D72866"/>
    <w:rsid w:val="00D959CC"/>
    <w:rsid w:val="00DA266A"/>
    <w:rsid w:val="00DC2F4C"/>
    <w:rsid w:val="00DD5389"/>
    <w:rsid w:val="00DD5D85"/>
    <w:rsid w:val="00E32323"/>
    <w:rsid w:val="00E41E48"/>
    <w:rsid w:val="00E50571"/>
    <w:rsid w:val="00E811EA"/>
    <w:rsid w:val="00E843F2"/>
    <w:rsid w:val="00E878F1"/>
    <w:rsid w:val="00E97653"/>
    <w:rsid w:val="00EA7A40"/>
    <w:rsid w:val="00EB2623"/>
    <w:rsid w:val="00EC7C1C"/>
    <w:rsid w:val="00ED5D4E"/>
    <w:rsid w:val="00EE4248"/>
    <w:rsid w:val="00EE7FD8"/>
    <w:rsid w:val="00F01E26"/>
    <w:rsid w:val="00F02F9C"/>
    <w:rsid w:val="00F5317D"/>
    <w:rsid w:val="00F71BB4"/>
    <w:rsid w:val="00FB5077"/>
    <w:rsid w:val="00FD5182"/>
    <w:rsid w:val="2967313A"/>
    <w:rsid w:val="5F36B690"/>
    <w:rsid w:val="789BD8EF"/>
    <w:rsid w:val="79BF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84520"/>
  <w15:docId w15:val="{343F0AC7-02A4-4742-9E66-9F343FB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ascii="Times New Roman" w:eastAsia="宋体" w:hAnsi="Times New Roman" w:cs="Times New Roman"/>
      <w:kern w:val="0"/>
      <w:sz w:val="24"/>
      <w:szCs w:val="24"/>
    </w:rPr>
  </w:style>
  <w:style w:type="character" w:styleId="aa">
    <w:name w:val="Strong"/>
    <w:basedOn w:val="a0"/>
    <w:qFormat/>
    <w:rPr>
      <w:b/>
    </w:rPr>
  </w:style>
  <w:style w:type="paragraph" w:styleId="ab">
    <w:name w:val="List Paragraph"/>
    <w:basedOn w:val="a"/>
    <w:uiPriority w:val="99"/>
    <w:qFormat/>
    <w:pPr>
      <w:ind w:firstLineChars="200" w:firstLine="420"/>
    </w:pPr>
    <w:rPr>
      <w:rFonts w:ascii="Times New Roman" w:eastAsia="宋体" w:hAnsi="Times New Roman" w:cs="Times New Roman"/>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322</Words>
  <Characters>1839</Characters>
  <Application>Microsoft Office Word</Application>
  <DocSecurity>0</DocSecurity>
  <Lines>15</Lines>
  <Paragraphs>4</Paragraphs>
  <ScaleCrop>false</ScaleCrop>
  <Company>Lenovo</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章莉波</cp:lastModifiedBy>
  <cp:revision>3</cp:revision>
  <cp:lastPrinted>2017-03-22T02:51:00Z</cp:lastPrinted>
  <dcterms:created xsi:type="dcterms:W3CDTF">2023-07-06T02:52:00Z</dcterms:created>
  <dcterms:modified xsi:type="dcterms:W3CDTF">2025-05-13T08:46:00Z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1FCF45EA7526BC362CC248649BD55B0E</vt:lpwstr>
  </property>
</Properties>
</file>