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3B77F8">
      <w:pPr>
        <w:pStyle w:val="5"/>
        <w:widowControl/>
        <w:spacing w:line="368" w:lineRule="atLeast"/>
        <w:rPr>
          <w:rFonts w:ascii="仿宋" w:hAnsi="仿宋" w:eastAsia="仿宋" w:cs="仿宋"/>
          <w:sz w:val="32"/>
          <w:szCs w:val="32"/>
        </w:rPr>
      </w:pPr>
    </w:p>
    <w:p w14:paraId="4A93E94C">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《宁波市财政局政府采购监督检查实施</w:t>
      </w:r>
    </w:p>
    <w:p w14:paraId="70278218">
      <w:pPr>
        <w:spacing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“双随机</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一公开”工作细则》政策解读</w:t>
      </w:r>
    </w:p>
    <w:p w14:paraId="714D33F1">
      <w:pPr>
        <w:rPr>
          <w:rFonts w:ascii="仿宋" w:hAnsi="仿宋" w:eastAsia="仿宋" w:cs="仿宋"/>
          <w:sz w:val="32"/>
          <w:szCs w:val="32"/>
        </w:rPr>
      </w:pPr>
      <w:r>
        <w:rPr>
          <w:rFonts w:hint="eastAsia" w:ascii="仿宋" w:hAnsi="仿宋" w:eastAsia="仿宋" w:cs="仿宋"/>
          <w:sz w:val="32"/>
          <w:szCs w:val="32"/>
        </w:rPr>
        <w:t xml:space="preserve">   </w:t>
      </w:r>
    </w:p>
    <w:p w14:paraId="654D21CD">
      <w:pPr>
        <w:rPr>
          <w:rFonts w:ascii="仿宋" w:hAnsi="仿宋" w:eastAsia="仿宋" w:cs="仿宋"/>
          <w:sz w:val="32"/>
          <w:szCs w:val="32"/>
        </w:rPr>
      </w:pPr>
      <w:r>
        <w:rPr>
          <w:rFonts w:hint="eastAsia" w:ascii="仿宋" w:hAnsi="仿宋" w:eastAsia="仿宋" w:cs="仿宋"/>
          <w:sz w:val="32"/>
          <w:szCs w:val="32"/>
        </w:rPr>
        <w:t xml:space="preserve">    根据《宁波市人民政府办公厅关于做好行政规范性文件政策解读工作的通知》要求，现将市财政局制定的《政府采购监督检查实施“双随机</w:t>
      </w:r>
      <w:r>
        <w:rPr>
          <w:rFonts w:hint="eastAsia" w:ascii="仿宋" w:hAnsi="仿宋" w:eastAsia="仿宋" w:cs="仿宋"/>
          <w:sz w:val="32"/>
          <w:szCs w:val="32"/>
          <w:lang w:eastAsia="zh-CN"/>
        </w:rPr>
        <w:t>、</w:t>
      </w:r>
      <w:r>
        <w:rPr>
          <w:rFonts w:hint="eastAsia" w:ascii="仿宋" w:hAnsi="仿宋" w:eastAsia="仿宋" w:cs="仿宋"/>
          <w:sz w:val="32"/>
          <w:szCs w:val="32"/>
        </w:rPr>
        <w:t>一公开”工作细则》（以下简称《细则》）有关政策解读如下：</w:t>
      </w:r>
    </w:p>
    <w:p w14:paraId="107824F8">
      <w:pPr>
        <w:rPr>
          <w:rFonts w:ascii="黑体" w:hAnsi="黑体" w:eastAsia="黑体" w:cs="黑体"/>
          <w:sz w:val="32"/>
          <w:szCs w:val="32"/>
        </w:rPr>
      </w:pPr>
      <w:r>
        <w:rPr>
          <w:rFonts w:hint="eastAsia" w:ascii="仿宋" w:hAnsi="仿宋" w:eastAsia="仿宋" w:cs="仿宋"/>
          <w:sz w:val="32"/>
          <w:szCs w:val="32"/>
        </w:rPr>
        <w:t xml:space="preserve">    </w:t>
      </w:r>
      <w:r>
        <w:rPr>
          <w:rFonts w:hint="eastAsia" w:ascii="黑体" w:hAnsi="黑体" w:eastAsia="黑体" w:cs="黑体"/>
          <w:sz w:val="32"/>
          <w:szCs w:val="32"/>
        </w:rPr>
        <w:t>一、制定背景</w:t>
      </w:r>
    </w:p>
    <w:p w14:paraId="7FEC0731">
      <w:pPr>
        <w:rPr>
          <w:rFonts w:ascii="仿宋" w:hAnsi="仿宋" w:eastAsia="仿宋" w:cs="仿宋"/>
          <w:sz w:val="32"/>
          <w:szCs w:val="32"/>
        </w:rPr>
      </w:pPr>
      <w:r>
        <w:rPr>
          <w:rFonts w:hint="eastAsia" w:ascii="仿宋" w:hAnsi="仿宋" w:eastAsia="仿宋" w:cs="仿宋"/>
          <w:sz w:val="32"/>
          <w:szCs w:val="32"/>
        </w:rPr>
        <w:t xml:space="preserve">    为进一步规范政府采购监督检查执法行为，全面落实“双随机</w:t>
      </w:r>
      <w:r>
        <w:rPr>
          <w:rFonts w:hint="eastAsia" w:ascii="仿宋" w:hAnsi="仿宋" w:eastAsia="仿宋" w:cs="仿宋"/>
          <w:sz w:val="32"/>
          <w:szCs w:val="32"/>
          <w:lang w:eastAsia="zh-CN"/>
        </w:rPr>
        <w:t>、</w:t>
      </w:r>
      <w:r>
        <w:rPr>
          <w:rFonts w:hint="eastAsia" w:ascii="仿宋" w:hAnsi="仿宋" w:eastAsia="仿宋" w:cs="仿宋"/>
          <w:sz w:val="32"/>
          <w:szCs w:val="32"/>
        </w:rPr>
        <w:t>一公开”要求，根据《中华人民共和国政府采购法》及其实施条例，以及《浙江省人民政府办公厅关于全面推行“双随机”抽查监管的意见》（浙政办发〔2016〕93号）、《宁波市人民政府办公厅关于进一步加强和创新政府监管有关工作的实施意见》（甬政办发〔2016〕164号）、《宁波市财政局随机抽查工作细则》等有关规定，制定本细则。</w:t>
      </w:r>
      <w:bookmarkStart w:id="0" w:name="_GoBack"/>
      <w:bookmarkEnd w:id="0"/>
    </w:p>
    <w:p w14:paraId="44D3B720">
      <w:pPr>
        <w:rPr>
          <w:rFonts w:ascii="黑体" w:hAnsi="黑体" w:eastAsia="黑体" w:cs="黑体"/>
          <w:sz w:val="32"/>
          <w:szCs w:val="32"/>
        </w:rPr>
      </w:pPr>
      <w:r>
        <w:rPr>
          <w:rFonts w:hint="eastAsia" w:ascii="仿宋" w:hAnsi="仿宋" w:eastAsia="仿宋" w:cs="仿宋"/>
          <w:b/>
          <w:bCs/>
          <w:sz w:val="32"/>
          <w:szCs w:val="32"/>
        </w:rPr>
        <w:t xml:space="preserve">    </w:t>
      </w:r>
      <w:r>
        <w:rPr>
          <w:rFonts w:hint="eastAsia" w:ascii="黑体" w:hAnsi="黑体" w:eastAsia="黑体" w:cs="黑体"/>
          <w:sz w:val="32"/>
          <w:szCs w:val="32"/>
        </w:rPr>
        <w:t>二、《细则》主要内容</w:t>
      </w:r>
    </w:p>
    <w:p w14:paraId="1DDBD3DF">
      <w:pPr>
        <w:rPr>
          <w:rFonts w:ascii="仿宋" w:hAnsi="仿宋" w:eastAsia="仿宋" w:cs="仿宋"/>
          <w:sz w:val="32"/>
          <w:szCs w:val="32"/>
        </w:rPr>
      </w:pPr>
      <w:r>
        <w:rPr>
          <w:rFonts w:hint="eastAsia" w:ascii="仿宋" w:hAnsi="仿宋" w:eastAsia="仿宋" w:cs="仿宋"/>
          <w:sz w:val="32"/>
          <w:szCs w:val="32"/>
        </w:rPr>
        <w:t xml:space="preserve">    (一）双随机抽查名录库。建立和维护检查对象名录库及执法检查人员名录库，并根据实际情况实施动态调整。</w:t>
      </w:r>
      <w:r>
        <w:rPr>
          <w:rFonts w:hint="eastAsia" w:ascii="仿宋" w:hAnsi="仿宋" w:eastAsia="仿宋" w:cs="仿宋"/>
          <w:sz w:val="32"/>
          <w:szCs w:val="32"/>
        </w:rPr>
        <w:br w:type="textWrapping"/>
      </w:r>
      <w:r>
        <w:rPr>
          <w:rFonts w:hint="eastAsia" w:ascii="仿宋" w:hAnsi="仿宋" w:eastAsia="仿宋" w:cs="仿宋"/>
          <w:sz w:val="32"/>
          <w:szCs w:val="32"/>
        </w:rPr>
        <w:t xml:space="preserve">   （二）双随机抽查范围。检查对象为代理宁波市政府采购业务的社会中介代理机构。</w:t>
      </w:r>
    </w:p>
    <w:p w14:paraId="316307E3">
      <w:pPr>
        <w:rPr>
          <w:rFonts w:ascii="仿宋" w:hAnsi="仿宋" w:eastAsia="仿宋" w:cs="仿宋"/>
          <w:sz w:val="32"/>
          <w:szCs w:val="32"/>
        </w:rPr>
      </w:pPr>
      <w:r>
        <w:rPr>
          <w:rFonts w:hint="eastAsia" w:ascii="仿宋" w:hAnsi="仿宋" w:eastAsia="仿宋" w:cs="仿宋"/>
          <w:sz w:val="32"/>
          <w:szCs w:val="32"/>
        </w:rPr>
        <w:t xml:space="preserve">   （三）随机抽查方式。采取定向抽查和不定向抽查相结合的方式。</w:t>
      </w:r>
    </w:p>
    <w:p w14:paraId="291BBF6C">
      <w:pPr>
        <w:rPr>
          <w:rFonts w:ascii="仿宋" w:hAnsi="仿宋" w:eastAsia="仿宋" w:cs="仿宋"/>
          <w:sz w:val="32"/>
          <w:szCs w:val="32"/>
        </w:rPr>
      </w:pPr>
      <w:r>
        <w:rPr>
          <w:rFonts w:hint="eastAsia" w:ascii="仿宋" w:hAnsi="仿宋" w:eastAsia="仿宋" w:cs="仿宋"/>
          <w:sz w:val="32"/>
          <w:szCs w:val="32"/>
        </w:rPr>
        <w:t xml:space="preserve">   （四）抽查比例。代理机构抽取比例为检查对象名录库中代理机构数量的10%-30%。</w:t>
      </w:r>
    </w:p>
    <w:p w14:paraId="4D2F9983">
      <w:pPr>
        <w:rPr>
          <w:rFonts w:ascii="仿宋" w:hAnsi="仿宋" w:eastAsia="仿宋" w:cs="仿宋"/>
          <w:sz w:val="32"/>
          <w:szCs w:val="32"/>
        </w:rPr>
      </w:pPr>
      <w:r>
        <w:rPr>
          <w:rFonts w:hint="eastAsia" w:ascii="仿宋" w:hAnsi="仿宋" w:eastAsia="仿宋" w:cs="仿宋"/>
          <w:sz w:val="32"/>
          <w:szCs w:val="32"/>
        </w:rPr>
        <w:t xml:space="preserve">   （五）随机抽查事项公开。包括检查对象公开和行政处理处罚结果公开。</w:t>
      </w:r>
    </w:p>
    <w:p w14:paraId="4DCD6C4A">
      <w:pPr>
        <w:rPr>
          <w:rFonts w:ascii="黑体" w:hAnsi="黑体" w:eastAsia="黑体" w:cs="黑体"/>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 xml:space="preserve"> </w:t>
      </w:r>
      <w:r>
        <w:rPr>
          <w:rFonts w:hint="eastAsia" w:ascii="仿宋" w:hAnsi="仿宋" w:eastAsia="仿宋" w:cs="仿宋"/>
          <w:sz w:val="32"/>
          <w:szCs w:val="32"/>
        </w:rPr>
        <w:t xml:space="preserve"> </w:t>
      </w:r>
      <w:r>
        <w:rPr>
          <w:rFonts w:hint="eastAsia" w:ascii="黑体" w:hAnsi="黑体" w:eastAsia="黑体" w:cs="黑体"/>
          <w:sz w:val="32"/>
          <w:szCs w:val="32"/>
        </w:rPr>
        <w:t>三、《细则》解读机关和联系方式</w:t>
      </w:r>
    </w:p>
    <w:p w14:paraId="092198F7">
      <w:pPr>
        <w:rPr>
          <w:rFonts w:ascii="仿宋" w:hAnsi="仿宋" w:eastAsia="仿宋" w:cs="仿宋"/>
          <w:color w:val="FF0000"/>
          <w:sz w:val="32"/>
          <w:szCs w:val="32"/>
        </w:rPr>
      </w:pPr>
      <w:r>
        <w:rPr>
          <w:rFonts w:hint="eastAsia" w:ascii="仿宋" w:hAnsi="仿宋" w:eastAsia="仿宋" w:cs="仿宋"/>
          <w:sz w:val="32"/>
          <w:szCs w:val="32"/>
        </w:rPr>
        <w:t xml:space="preserve">   《细则》由市财政局负责解读，具体联系处室为政府采购管理办公室，联系电话：0574-87188441。</w:t>
      </w:r>
    </w:p>
    <w:p w14:paraId="5853F039">
      <w:pPr>
        <w:rPr>
          <w:rFonts w:ascii="仿宋" w:hAnsi="仿宋" w:eastAsia="仿宋" w:cs="仿宋"/>
          <w:sz w:val="32"/>
          <w:szCs w:val="32"/>
        </w:rPr>
      </w:pPr>
    </w:p>
    <w:p w14:paraId="7DFF0072">
      <w:pPr>
        <w:rPr>
          <w:rFonts w:ascii="仿宋" w:hAnsi="仿宋" w:eastAsia="仿宋" w:cs="仿宋"/>
          <w:sz w:val="32"/>
          <w:szCs w:val="32"/>
        </w:rPr>
      </w:pPr>
    </w:p>
    <w:p w14:paraId="5C15F688">
      <w:pPr>
        <w:pStyle w:val="2"/>
        <w:rPr>
          <w:rFonts w:hAnsi="宋体" w:cs="宋体"/>
        </w:rPr>
      </w:pPr>
    </w:p>
    <w:p w14:paraId="725866DA"/>
    <w:sectPr>
      <w:footerReference r:id="rId3" w:type="default"/>
      <w:pgSz w:w="11906" w:h="16838"/>
      <w:pgMar w:top="1440" w:right="1753" w:bottom="1440" w:left="175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0000000000000000000"/>
    <w:charset w:val="86"/>
    <w:family w:val="script"/>
    <w:pitch w:val="default"/>
    <w:sig w:usb0="00000000" w:usb1="00000000" w:usb2="0000000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72076410"/>
      <w:docPartObj>
        <w:docPartGallery w:val="AutoText"/>
      </w:docPartObj>
    </w:sdtPr>
    <w:sdtContent>
      <w:p w14:paraId="2979E298">
        <w:pPr>
          <w:pStyle w:val="3"/>
          <w:jc w:val="center"/>
        </w:pPr>
        <w:r>
          <w:fldChar w:fldCharType="begin"/>
        </w:r>
        <w:r>
          <w:instrText xml:space="preserve"> PAGE   \* MERGEFORMAT </w:instrText>
        </w:r>
        <w:r>
          <w:fldChar w:fldCharType="separate"/>
        </w:r>
        <w:r>
          <w:rPr>
            <w:lang w:val="zh-CN"/>
          </w:rPr>
          <w:t>1</w:t>
        </w:r>
        <w:r>
          <w:rPr>
            <w:lang w:val="zh-CN"/>
          </w:rPr>
          <w:fldChar w:fldCharType="end"/>
        </w:r>
      </w:p>
    </w:sdtContent>
  </w:sdt>
  <w:p w14:paraId="015F3591">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21BC1"/>
    <w:rsid w:val="00047F79"/>
    <w:rsid w:val="00221BC1"/>
    <w:rsid w:val="00847AED"/>
    <w:rsid w:val="00CC2FB4"/>
    <w:rsid w:val="00CD0B8D"/>
    <w:rsid w:val="00FF039F"/>
    <w:rsid w:val="2B692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8"/>
    <w:unhideWhenUsed/>
    <w:uiPriority w:val="99"/>
    <w:rPr>
      <w:rFonts w:ascii="宋体" w:hAnsi="Courier New" w:cs="Courier New"/>
      <w:szCs w:val="21"/>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100" w:beforeAutospacing="1" w:after="100" w:afterAutospacing="1"/>
      <w:jc w:val="left"/>
    </w:pPr>
    <w:rPr>
      <w:kern w:val="0"/>
      <w:sz w:val="24"/>
    </w:rPr>
  </w:style>
  <w:style w:type="character" w:customStyle="1" w:styleId="8">
    <w:name w:val="纯文本 Char"/>
    <w:basedOn w:val="7"/>
    <w:link w:val="2"/>
    <w:uiPriority w:val="99"/>
    <w:rPr>
      <w:rFonts w:ascii="宋体" w:hAnsi="Courier New" w:eastAsia="宋体" w:cs="Courier New"/>
      <w:szCs w:val="21"/>
    </w:rPr>
  </w:style>
  <w:style w:type="character" w:customStyle="1" w:styleId="9">
    <w:name w:val="页眉 Char"/>
    <w:basedOn w:val="7"/>
    <w:link w:val="4"/>
    <w:semiHidden/>
    <w:uiPriority w:val="99"/>
    <w:rPr>
      <w:rFonts w:ascii="Times New Roman" w:hAnsi="Times New Roman" w:eastAsia="宋体" w:cs="Times New Roman"/>
      <w:sz w:val="18"/>
      <w:szCs w:val="18"/>
    </w:rPr>
  </w:style>
  <w:style w:type="character" w:customStyle="1" w:styleId="10">
    <w:name w:val="页脚 Char"/>
    <w:basedOn w:val="7"/>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549</Words>
  <Characters>576</Characters>
  <Lines>4</Lines>
  <Paragraphs>1</Paragraphs>
  <TotalTime>1</TotalTime>
  <ScaleCrop>false</ScaleCrop>
  <LinksUpToDate>false</LinksUpToDate>
  <CharactersWithSpaces>618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2018-08-24T07:59:00Z</dcterms:created>
  <dc:creator>陈勰</dc:creator>
  <cp:lastModifiedBy>故事难戒</cp:lastModifiedBy>
  <dcterms:modified xsi:type="dcterms:W3CDTF">2025-04-21T03:15:52Z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eyJoZGlkIjoiOWY1MWI0OTY1YWYxN2RjZTUyNWZlZWE1ZGZlYjBiNDAiLCJ1c2VySWQiOiIxMjA3OTgwOTIwIn0=</vt:lpwstr>
  </property>
  <property fmtid="{D5CDD505-2E9C-101B-9397-08002B2CF9AE}" pid="3" name="KSOProductBuildVer">
    <vt:lpwstr>2052-12.1.0.20784</vt:lpwstr>
  </property>
  <property fmtid="{D5CDD505-2E9C-101B-9397-08002B2CF9AE}" pid="4" name="ICV">
    <vt:lpwstr>FBA36F00FECF4F7DB00340E743FF3E6D_12</vt:lpwstr>
  </property>
</Properties>
</file>