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方正楷体_GBK" w:hAnsi="方正楷体_GBK" w:eastAsia="方正楷体_GBK" w:cs="方正楷体_GBK"/>
          <w:b/>
          <w:sz w:val="36"/>
          <w:szCs w:val="36"/>
          <w:lang w:val="en-US" w:eastAsia="zh-CN"/>
        </w:rPr>
      </w:pPr>
      <w:r>
        <w:rPr>
          <w:rFonts w:hint="eastAsia" w:ascii="方正小标宋简体" w:hAnsi="方正小标宋简体" w:eastAsia="方正小标宋简体" w:cs="方正小标宋简体"/>
          <w:b/>
          <w:sz w:val="44"/>
          <w:szCs w:val="44"/>
        </w:rPr>
        <w:t>衢州</w:t>
      </w:r>
      <w:r>
        <w:rPr>
          <w:rFonts w:hint="eastAsia" w:ascii="方正小标宋简体" w:hAnsi="方正小标宋简体" w:eastAsia="方正小标宋简体" w:cs="方正小标宋简体"/>
          <w:b/>
          <w:sz w:val="44"/>
          <w:szCs w:val="44"/>
          <w:lang w:eastAsia="zh-CN"/>
        </w:rPr>
        <w:t>市</w:t>
      </w:r>
      <w:r>
        <w:rPr>
          <w:rFonts w:hint="eastAsia" w:ascii="方正小标宋简体" w:hAnsi="方正小标宋简体" w:eastAsia="方正小标宋简体" w:cs="方正小标宋简体"/>
          <w:b/>
          <w:sz w:val="44"/>
          <w:szCs w:val="44"/>
          <w:lang w:eastAsia="zh-CN"/>
        </w:rPr>
        <w:t>城乡规划管理技术规定未来社区规划管理补充规定（</w:t>
      </w:r>
      <w:r>
        <w:rPr>
          <w:rFonts w:hint="eastAsia" w:ascii="方正小标宋简体" w:hAnsi="方正小标宋简体" w:eastAsia="方正小标宋简体" w:cs="方正小标宋简体"/>
          <w:b/>
          <w:sz w:val="44"/>
          <w:szCs w:val="44"/>
          <w:lang w:val="en-US" w:eastAsia="zh-CN"/>
        </w:rPr>
        <w:t>征求意见稿）</w:t>
      </w:r>
    </w:p>
    <w:p>
      <w:pPr>
        <w:rPr>
          <w:sz w:val="30"/>
          <w:szCs w:val="30"/>
        </w:rPr>
      </w:pPr>
      <w:bookmarkStart w:id="0" w:name="_GoBack"/>
      <w:bookmarkEnd w:id="0"/>
    </w:p>
    <w:p>
      <w:pPr>
        <w:rPr>
          <w:rFonts w:hint="eastAsia" w:ascii="仿宋_GB2312" w:hAnsi="仿宋_GB2312" w:eastAsia="仿宋_GB2312" w:cs="仿宋_GB2312"/>
          <w:sz w:val="30"/>
          <w:szCs w:val="30"/>
        </w:rPr>
      </w:pPr>
      <w:r>
        <w:rPr>
          <w:rFonts w:hint="eastAsia"/>
          <w:sz w:val="30"/>
          <w:szCs w:val="30"/>
        </w:rPr>
        <w:t xml:space="preserve">    </w:t>
      </w:r>
      <w:r>
        <w:rPr>
          <w:rFonts w:hint="eastAsia" w:ascii="仿宋_GB2312" w:hAnsi="仿宋_GB2312" w:eastAsia="仿宋_GB2312" w:cs="仿宋_GB2312"/>
          <w:sz w:val="30"/>
          <w:szCs w:val="30"/>
        </w:rPr>
        <w:t>为了进一步贯彻落实</w:t>
      </w:r>
      <w:r>
        <w:rPr>
          <w:rFonts w:hint="eastAsia" w:ascii="仿宋_GB2312" w:hAnsi="仿宋_GB2312" w:eastAsia="仿宋_GB2312" w:cs="仿宋_GB2312"/>
          <w:sz w:val="30"/>
          <w:szCs w:val="30"/>
          <w:lang w:eastAsia="zh-CN"/>
        </w:rPr>
        <w:t>《浙江省人民政府办公厅关于全域推进未来社区建设的指导意见》</w:t>
      </w:r>
      <w:r>
        <w:rPr>
          <w:rFonts w:hint="eastAsia" w:ascii="仿宋_GB2312" w:hAnsi="仿宋_GB2312" w:eastAsia="仿宋_GB2312" w:cs="仿宋_GB2312"/>
          <w:sz w:val="30"/>
          <w:szCs w:val="30"/>
          <w:lang w:val="en-US" w:eastAsia="zh-CN"/>
        </w:rPr>
        <w:t>(</w:t>
      </w:r>
      <w:r>
        <w:rPr>
          <w:rFonts w:hint="eastAsia" w:ascii="仿宋_GB2312" w:hAnsi="仿宋_GB2312" w:eastAsia="仿宋_GB2312" w:cs="仿宋_GB2312"/>
          <w:sz w:val="30"/>
          <w:szCs w:val="30"/>
          <w:lang w:eastAsia="zh-CN"/>
        </w:rPr>
        <w:t>浙政办发</w:t>
      </w:r>
      <w:r>
        <w:rPr>
          <w:rFonts w:hint="eastAsia" w:ascii="仿宋_GB2312" w:hAnsi="仿宋_GB2312" w:eastAsia="仿宋_GB2312" w:cs="仿宋_GB2312"/>
          <w:sz w:val="30"/>
          <w:szCs w:val="30"/>
          <w:u w:val="none"/>
          <w:lang w:eastAsia="zh-CN"/>
        </w:rPr>
        <w:t>〔2023〕</w:t>
      </w:r>
      <w:r>
        <w:rPr>
          <w:rFonts w:hint="eastAsia" w:ascii="仿宋_GB2312" w:hAnsi="仿宋_GB2312" w:eastAsia="仿宋_GB2312" w:cs="仿宋_GB2312"/>
          <w:sz w:val="30"/>
          <w:szCs w:val="30"/>
          <w:lang w:eastAsia="zh-CN"/>
        </w:rPr>
        <w:t>4号</w:t>
      </w:r>
      <w:r>
        <w:rPr>
          <w:rFonts w:hint="eastAsia" w:ascii="仿宋_GB2312" w:hAnsi="仿宋_GB2312" w:eastAsia="仿宋_GB2312" w:cs="仿宋_GB2312"/>
          <w:sz w:val="30"/>
          <w:szCs w:val="30"/>
          <w:lang w:val="en-US" w:eastAsia="zh-CN"/>
        </w:rPr>
        <w:t>)</w:t>
      </w:r>
      <w:r>
        <w:rPr>
          <w:rFonts w:hint="eastAsia" w:ascii="仿宋_GB2312" w:eastAsia="仿宋_GB2312"/>
          <w:sz w:val="32"/>
          <w:szCs w:val="32"/>
          <w:lang w:val="en-US" w:eastAsia="zh-CN"/>
        </w:rPr>
        <w:t>等</w:t>
      </w:r>
      <w:r>
        <w:rPr>
          <w:rFonts w:hint="eastAsia" w:ascii="仿宋_GB2312" w:hAnsi="仿宋_GB2312" w:eastAsia="仿宋_GB2312" w:cs="仿宋_GB2312"/>
          <w:sz w:val="30"/>
          <w:szCs w:val="30"/>
        </w:rPr>
        <w:t>有关文件精神，高质量推进衢州未来社区建设，经研究，现将衢州市未来社区规划管理规定如下：</w:t>
      </w:r>
    </w:p>
    <w:p>
      <w:pP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w:t>
      </w:r>
      <w:r>
        <w:rPr>
          <w:rFonts w:hint="eastAsia" w:ascii="黑体" w:hAnsi="黑体" w:eastAsia="黑体" w:cs="黑体"/>
          <w:sz w:val="30"/>
          <w:szCs w:val="30"/>
        </w:rPr>
        <w:t>一、适用范围</w:t>
      </w:r>
    </w:p>
    <w:p>
      <w:pPr>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 xml:space="preserve">    衢州市域内含下属县（市、区）经省</w:t>
      </w:r>
      <w:r>
        <w:rPr>
          <w:rFonts w:hint="eastAsia" w:ascii="仿宋_GB2312" w:hAnsi="仿宋_GB2312" w:eastAsia="仿宋_GB2312" w:cs="仿宋_GB2312"/>
          <w:sz w:val="30"/>
          <w:szCs w:val="30"/>
          <w:lang w:val="en-US" w:eastAsia="zh-CN"/>
        </w:rPr>
        <w:t>住房和城乡建设厅、省城乡风貌整治提升工作专班办公室</w:t>
      </w:r>
      <w:r>
        <w:rPr>
          <w:rFonts w:hint="eastAsia" w:ascii="仿宋_GB2312" w:hAnsi="仿宋_GB2312" w:eastAsia="仿宋_GB2312" w:cs="仿宋_GB2312"/>
          <w:sz w:val="30"/>
          <w:szCs w:val="30"/>
        </w:rPr>
        <w:t>公布列入浙江省未来社区</w:t>
      </w:r>
      <w:r>
        <w:rPr>
          <w:rFonts w:hint="eastAsia" w:ascii="仿宋_GB2312" w:hAnsi="仿宋_GB2312" w:eastAsia="仿宋_GB2312" w:cs="仿宋_GB2312"/>
          <w:sz w:val="30"/>
          <w:szCs w:val="30"/>
          <w:lang w:val="en-US" w:eastAsia="zh-CN"/>
        </w:rPr>
        <w:t>创建名单的</w:t>
      </w:r>
      <w:r>
        <w:rPr>
          <w:rFonts w:hint="eastAsia" w:ascii="仿宋_GB2312" w:hAnsi="仿宋_GB2312" w:eastAsia="仿宋_GB2312" w:cs="仿宋_GB2312"/>
          <w:sz w:val="30"/>
          <w:szCs w:val="30"/>
        </w:rPr>
        <w:t>建设试点项目的规划设计和审批。</w:t>
      </w:r>
    </w:p>
    <w:p>
      <w:pP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w:t>
      </w:r>
      <w:r>
        <w:rPr>
          <w:rFonts w:hint="eastAsia" w:ascii="黑体" w:hAnsi="黑体" w:eastAsia="黑体" w:cs="黑体"/>
          <w:sz w:val="30"/>
          <w:szCs w:val="30"/>
        </w:rPr>
        <w:t xml:space="preserve">   二、总体原则</w:t>
      </w:r>
    </w:p>
    <w:p>
      <w:pPr>
        <w:bidi w:val="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未来社区的建筑、规划设计应符合《城市居住区规划设计标准》（GB5018-2018）</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住宅设计规范（GB50096-2011）</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《民用建筑</w:t>
      </w:r>
      <w:r>
        <w:rPr>
          <w:rFonts w:hint="eastAsia" w:ascii="仿宋_GB2312" w:hAnsi="仿宋_GB2312" w:eastAsia="仿宋_GB2312" w:cs="仿宋_GB2312"/>
          <w:sz w:val="30"/>
          <w:szCs w:val="30"/>
          <w:lang w:val="en-US" w:eastAsia="zh-CN"/>
        </w:rPr>
        <w:t>通用规范</w:t>
      </w:r>
      <w:r>
        <w:rPr>
          <w:rFonts w:hint="eastAsia" w:ascii="仿宋_GB2312" w:hAnsi="仿宋_GB2312" w:eastAsia="仿宋_GB2312" w:cs="仿宋_GB2312"/>
          <w:sz w:val="30"/>
          <w:szCs w:val="30"/>
        </w:rPr>
        <w:t>》（GB5</w:t>
      </w:r>
      <w:r>
        <w:rPr>
          <w:rFonts w:hint="eastAsia" w:ascii="仿宋_GB2312" w:hAnsi="仿宋_GB2312" w:eastAsia="仿宋_GB2312" w:cs="仿宋_GB2312"/>
          <w:sz w:val="30"/>
          <w:szCs w:val="30"/>
          <w:lang w:val="en-US" w:eastAsia="zh-CN"/>
        </w:rPr>
        <w:t>5031-2022</w:t>
      </w:r>
      <w:r>
        <w:rPr>
          <w:rFonts w:hint="eastAsia" w:ascii="仿宋_GB2312" w:hAnsi="仿宋_GB2312" w:eastAsia="仿宋_GB2312" w:cs="仿宋_GB2312"/>
          <w:sz w:val="30"/>
          <w:szCs w:val="30"/>
        </w:rPr>
        <w:t>）</w:t>
      </w:r>
      <w:r>
        <w:rPr>
          <w:rFonts w:hint="eastAsia" w:ascii="仿宋_GB2312" w:hAnsi="仿宋_GB2312" w:eastAsia="仿宋_GB2312" w:cs="仿宋_GB2312"/>
          <w:sz w:val="30"/>
          <w:szCs w:val="30"/>
          <w:lang w:eastAsia="zh-CN"/>
        </w:rPr>
        <w:t>、《衢州市城乡规划管理技术规定》</w:t>
      </w:r>
      <w:r>
        <w:rPr>
          <w:rFonts w:hint="eastAsia" w:ascii="仿宋_GB2312" w:hAnsi="仿宋_GB2312" w:eastAsia="仿宋_GB2312" w:cs="仿宋_GB2312"/>
          <w:sz w:val="30"/>
          <w:szCs w:val="30"/>
        </w:rPr>
        <w:t>等有关技术标准、规范、规程；建设工程项目建筑面积等经济技术指标计算和竣工综合测量严格按照浙江省工程建设标准《建筑工程建筑面积计算和竣工综合测量技术规程》（DB33/T 1152-2018）</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浙江省自然资源厅 浙江省住房和城乡建设厅关于调整&lt;建筑工程建筑面积计算和竣工综合测量技术规程&gt;有关技术标准的通知》(</w:t>
      </w:r>
      <w:r>
        <w:rPr>
          <w:rFonts w:hint="eastAsia" w:ascii="仿宋_GB2312" w:hAnsi="仿宋_GB2312" w:eastAsia="仿宋_GB2312" w:cs="仿宋_GB2312"/>
          <w:sz w:val="30"/>
          <w:szCs w:val="30"/>
          <w:lang w:eastAsia="zh-CN"/>
        </w:rPr>
        <w:t>浙</w:t>
      </w:r>
      <w:r>
        <w:rPr>
          <w:rFonts w:hint="eastAsia" w:ascii="仿宋_GB2312" w:hAnsi="仿宋_GB2312" w:eastAsia="仿宋_GB2312" w:cs="仿宋_GB2312"/>
          <w:sz w:val="30"/>
          <w:szCs w:val="30"/>
          <w:lang w:val="en-US" w:eastAsia="zh-CN"/>
        </w:rPr>
        <w:t>自然资发</w:t>
      </w:r>
      <w:r>
        <w:rPr>
          <w:rFonts w:hint="eastAsia" w:ascii="仿宋_GB2312" w:hAnsi="仿宋_GB2312" w:eastAsia="仿宋_GB2312" w:cs="仿宋_GB2312"/>
          <w:sz w:val="30"/>
          <w:szCs w:val="30"/>
          <w:u w:val="none"/>
          <w:lang w:eastAsia="zh-CN"/>
        </w:rPr>
        <w:t>〔2023〕</w:t>
      </w:r>
      <w:r>
        <w:rPr>
          <w:rFonts w:hint="eastAsia" w:ascii="仿宋_GB2312" w:hAnsi="仿宋_GB2312" w:eastAsia="仿宋_GB2312" w:cs="仿宋_GB2312"/>
          <w:sz w:val="30"/>
          <w:szCs w:val="30"/>
          <w:lang w:val="en-US" w:eastAsia="zh-CN"/>
        </w:rPr>
        <w:t>20</w:t>
      </w:r>
      <w:r>
        <w:rPr>
          <w:rFonts w:hint="eastAsia" w:ascii="仿宋_GB2312" w:hAnsi="仿宋_GB2312" w:eastAsia="仿宋_GB2312" w:cs="仿宋_GB2312"/>
          <w:sz w:val="30"/>
          <w:szCs w:val="30"/>
          <w:lang w:eastAsia="zh-CN"/>
        </w:rPr>
        <w:t>号</w:t>
      </w:r>
      <w:r>
        <w:rPr>
          <w:rFonts w:hint="eastAsia" w:ascii="仿宋_GB2312" w:hAnsi="仿宋_GB2312" w:eastAsia="仿宋_GB2312" w:cs="仿宋_GB2312"/>
          <w:sz w:val="30"/>
          <w:szCs w:val="30"/>
          <w:lang w:val="en-US" w:eastAsia="zh-CN"/>
        </w:rPr>
        <w:t>)</w:t>
      </w:r>
      <w:r>
        <w:rPr>
          <w:rFonts w:hint="eastAsia" w:ascii="仿宋_GB2312" w:hAnsi="仿宋_GB2312" w:eastAsia="仿宋_GB2312" w:cs="仿宋_GB2312"/>
          <w:sz w:val="30"/>
          <w:szCs w:val="30"/>
        </w:rPr>
        <w:t>执行。根据</w:t>
      </w:r>
      <w:r>
        <w:rPr>
          <w:rFonts w:hint="eastAsia" w:ascii="仿宋_GB2312" w:hAnsi="仿宋_GB2312" w:eastAsia="仿宋_GB2312" w:cs="仿宋_GB2312"/>
          <w:sz w:val="30"/>
          <w:szCs w:val="30"/>
          <w:lang w:eastAsia="zh-CN"/>
        </w:rPr>
        <w:t>《浙江省人民政府办公厅关于全域推进未来社区建设的指导意见》</w:t>
      </w:r>
      <w:r>
        <w:rPr>
          <w:rFonts w:hint="eastAsia" w:ascii="仿宋_GB2312" w:hAnsi="仿宋_GB2312" w:eastAsia="仿宋_GB2312" w:cs="仿宋_GB2312"/>
          <w:sz w:val="30"/>
          <w:szCs w:val="30"/>
          <w:lang w:val="en-US" w:eastAsia="zh-CN"/>
        </w:rPr>
        <w:t>(</w:t>
      </w:r>
      <w:r>
        <w:rPr>
          <w:rFonts w:hint="eastAsia" w:ascii="仿宋_GB2312" w:hAnsi="仿宋_GB2312" w:eastAsia="仿宋_GB2312" w:cs="仿宋_GB2312"/>
          <w:sz w:val="30"/>
          <w:szCs w:val="30"/>
          <w:lang w:eastAsia="zh-CN"/>
        </w:rPr>
        <w:t>浙政办发</w:t>
      </w:r>
      <w:r>
        <w:rPr>
          <w:rFonts w:hint="eastAsia" w:ascii="仿宋_GB2312" w:hAnsi="仿宋_GB2312" w:eastAsia="仿宋_GB2312" w:cs="仿宋_GB2312"/>
          <w:sz w:val="30"/>
          <w:szCs w:val="30"/>
          <w:u w:val="none"/>
          <w:lang w:eastAsia="zh-CN"/>
        </w:rPr>
        <w:t>〔2023〕</w:t>
      </w:r>
      <w:r>
        <w:rPr>
          <w:rFonts w:hint="eastAsia" w:ascii="仿宋_GB2312" w:hAnsi="仿宋_GB2312" w:eastAsia="仿宋_GB2312" w:cs="仿宋_GB2312"/>
          <w:sz w:val="30"/>
          <w:szCs w:val="30"/>
          <w:lang w:eastAsia="zh-CN"/>
        </w:rPr>
        <w:t>4号</w:t>
      </w:r>
      <w:r>
        <w:rPr>
          <w:rFonts w:hint="eastAsia" w:ascii="仿宋_GB2312" w:hAnsi="仿宋_GB2312" w:eastAsia="仿宋_GB2312" w:cs="仿宋_GB2312"/>
          <w:sz w:val="30"/>
          <w:szCs w:val="30"/>
          <w:lang w:val="en-US" w:eastAsia="zh-CN"/>
        </w:rPr>
        <w:t>)</w:t>
      </w:r>
      <w:r>
        <w:rPr>
          <w:rFonts w:hint="eastAsia" w:ascii="仿宋_GB2312" w:hAnsi="仿宋_GB2312" w:eastAsia="仿宋_GB2312" w:cs="仿宋_GB2312"/>
          <w:sz w:val="30"/>
          <w:szCs w:val="30"/>
          <w:lang w:eastAsia="zh-CN"/>
        </w:rPr>
        <w:t>鼓励有效利用存量空间，研究制定防灾安全通道、用于公共服务的公共开敞空间和架空空间等特殊空间的建筑面积和容积率计算规则</w:t>
      </w:r>
      <w:r>
        <w:rPr>
          <w:rFonts w:hint="eastAsia" w:ascii="仿宋_GB2312" w:hAnsi="仿宋_GB2312" w:eastAsia="仿宋_GB2312" w:cs="仿宋_GB2312"/>
          <w:sz w:val="30"/>
          <w:szCs w:val="30"/>
        </w:rPr>
        <w:t>等的政策规定，细化相关执行标准来认定执行。</w:t>
      </w:r>
    </w:p>
    <w:p>
      <w:pPr>
        <w:ind w:firstLine="600" w:firstLineChars="200"/>
        <w:rPr>
          <w:rFonts w:hint="eastAsia" w:ascii="黑体" w:hAnsi="黑体" w:eastAsia="黑体" w:cs="黑体"/>
          <w:sz w:val="30"/>
          <w:szCs w:val="30"/>
        </w:rPr>
      </w:pPr>
      <w:r>
        <w:rPr>
          <w:rFonts w:hint="eastAsia" w:ascii="黑体" w:hAnsi="黑体" w:eastAsia="黑体" w:cs="黑体"/>
          <w:sz w:val="30"/>
          <w:szCs w:val="30"/>
          <w:lang w:val="en-US" w:eastAsia="zh-CN"/>
        </w:rPr>
        <w:t>三、</w:t>
      </w:r>
      <w:r>
        <w:rPr>
          <w:rFonts w:hint="eastAsia" w:ascii="黑体" w:hAnsi="黑体" w:eastAsia="黑体" w:cs="黑体"/>
          <w:sz w:val="30"/>
          <w:szCs w:val="30"/>
        </w:rPr>
        <w:t>相关执行标准</w:t>
      </w:r>
    </w:p>
    <w:p>
      <w:pPr>
        <w:numPr>
          <w:ilvl w:val="0"/>
          <w:numId w:val="0"/>
        </w:numPr>
        <w:ind w:firstLine="600" w:firstLineChars="200"/>
        <w:rPr>
          <w:rFonts w:hint="eastAsia" w:ascii="仿宋_GB2312" w:hAnsi="仿宋_GB2312" w:eastAsia="仿宋_GB2312" w:cs="仿宋_GB2312"/>
          <w:sz w:val="30"/>
          <w:szCs w:val="30"/>
        </w:rPr>
      </w:pPr>
      <w:r>
        <w:rPr>
          <w:rFonts w:hint="eastAsia" w:ascii="方正楷体_GBK" w:hAnsi="方正楷体_GBK" w:eastAsia="方正楷体_GBK" w:cs="方正楷体_GBK"/>
          <w:sz w:val="30"/>
          <w:szCs w:val="30"/>
        </w:rPr>
        <w:t>（一）关于防灾安全通道、架空空间和公共开敞空间</w:t>
      </w:r>
    </w:p>
    <w:p>
      <w:pP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w:t>
      </w:r>
      <w:r>
        <w:rPr>
          <w:rFonts w:hint="eastAsia" w:ascii="仿宋_GB2312" w:hAnsi="仿宋_GB2312" w:eastAsia="仿宋_GB2312" w:cs="仿宋_GB2312"/>
          <w:b/>
          <w:bCs/>
          <w:sz w:val="30"/>
          <w:szCs w:val="30"/>
        </w:rPr>
        <w:t xml:space="preserve"> 1、防灾安全通道：</w:t>
      </w:r>
    </w:p>
    <w:p>
      <w:pP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用于地块间跨城市道路连通的公共通行空间，不计建筑面积，不计容积率指标。</w:t>
      </w:r>
    </w:p>
    <w:p>
      <w:pPr>
        <w:rPr>
          <w:rFonts w:hint="eastAsia" w:ascii="仿宋_GB2312" w:hAnsi="仿宋_GB2312" w:eastAsia="仿宋_GB2312" w:cs="仿宋_GB2312"/>
          <w:sz w:val="30"/>
          <w:szCs w:val="30"/>
        </w:rPr>
      </w:pPr>
      <w:r>
        <w:rPr>
          <w:rFonts w:hint="eastAsia" w:ascii="仿宋_GB2312" w:hAnsi="仿宋_GB2312" w:eastAsia="仿宋_GB2312" w:cs="仿宋_GB2312"/>
          <w:b/>
          <w:bCs/>
          <w:sz w:val="30"/>
          <w:szCs w:val="30"/>
        </w:rPr>
        <w:t xml:space="preserve">   2、架空</w:t>
      </w:r>
      <w:r>
        <w:rPr>
          <w:rFonts w:hint="eastAsia" w:ascii="仿宋_GB2312" w:hAnsi="仿宋_GB2312" w:eastAsia="仿宋_GB2312" w:cs="仿宋_GB2312"/>
          <w:b/>
          <w:bCs/>
          <w:sz w:val="30"/>
          <w:szCs w:val="30"/>
          <w:lang w:val="en-US" w:eastAsia="zh-CN"/>
        </w:rPr>
        <w:t>空间</w:t>
      </w:r>
      <w:r>
        <w:rPr>
          <w:rFonts w:hint="eastAsia" w:ascii="仿宋_GB2312" w:hAnsi="仿宋_GB2312" w:eastAsia="仿宋_GB2312" w:cs="仿宋_GB2312"/>
          <w:b/>
          <w:bCs/>
          <w:sz w:val="30"/>
          <w:szCs w:val="30"/>
        </w:rPr>
        <w:t>：</w:t>
      </w:r>
      <w:r>
        <w:rPr>
          <w:rFonts w:hint="eastAsia" w:ascii="仿宋_GB2312" w:hAnsi="仿宋_GB2312" w:eastAsia="仿宋_GB2312" w:cs="仿宋_GB2312"/>
          <w:sz w:val="30"/>
          <w:szCs w:val="30"/>
        </w:rPr>
        <w:t xml:space="preserve">   </w:t>
      </w:r>
    </w:p>
    <w:p>
      <w:pP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设置于地上一层，视线通透且不围合和无特定使用功能，只作为公共休闲、交通、绿化等空间使用，不计入工程项目容积率指标。该部分的面积地块拍卖要件有约定的依约定执行。报批图</w:t>
      </w:r>
      <w:r>
        <w:rPr>
          <w:rFonts w:hint="eastAsia" w:ascii="仿宋_GB2312" w:hAnsi="仿宋_GB2312" w:eastAsia="仿宋_GB2312" w:cs="仿宋_GB2312"/>
          <w:sz w:val="30"/>
          <w:szCs w:val="30"/>
          <w:lang w:eastAsia="zh-CN"/>
        </w:rPr>
        <w:t>纸</w:t>
      </w:r>
      <w:r>
        <w:rPr>
          <w:rFonts w:hint="eastAsia" w:ascii="仿宋_GB2312" w:hAnsi="仿宋_GB2312" w:eastAsia="仿宋_GB2312" w:cs="仿宋_GB2312"/>
          <w:sz w:val="30"/>
          <w:szCs w:val="30"/>
        </w:rPr>
        <w:t>中需明确各架空空间的落位范围界限、面积指标等。</w:t>
      </w:r>
    </w:p>
    <w:p>
      <w:pPr>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 xml:space="preserve">   3、公共开敞空间:</w:t>
      </w:r>
    </w:p>
    <w:p>
      <w:pPr>
        <w:rPr>
          <w:rFonts w:hint="default" w:ascii="Times New Roman" w:hAnsi="Times New Roman" w:eastAsia="仿宋_GB2312" w:cs="Times New Roman"/>
          <w:sz w:val="30"/>
          <w:szCs w:val="30"/>
        </w:rPr>
      </w:pPr>
      <w:r>
        <w:rPr>
          <w:rFonts w:hint="eastAsia" w:ascii="仿宋_GB2312" w:hAnsi="仿宋_GB2312" w:eastAsia="仿宋_GB2312" w:cs="仿宋_GB2312"/>
          <w:sz w:val="30"/>
          <w:szCs w:val="30"/>
        </w:rPr>
        <w:t xml:space="preserve"> </w:t>
      </w:r>
      <w:r>
        <w:rPr>
          <w:rFonts w:hint="default" w:ascii="Times New Roman" w:hAnsi="Times New Roman" w:eastAsia="仿宋_GB2312" w:cs="Times New Roman"/>
          <w:sz w:val="30"/>
          <w:szCs w:val="30"/>
        </w:rPr>
        <w:t xml:space="preserve">   功能作为公共共享和公共开敞空间使用，全年全天候24小时公共开放，建筑主要交通空间以外，可以独立使用而不影响建筑正常使用功能的非公共交通空间，且不办理产权，归全体业主使用的，按照《建筑工程建筑面积计算和竣工综合测量技术规程》（DB33/T 1152-2018）</w:t>
      </w:r>
      <w:r>
        <w:rPr>
          <w:rFonts w:hint="eastAsia" w:ascii="Times New Roman" w:hAnsi="Times New Roman" w:eastAsia="仿宋_GB2312" w:cs="Times New Roman"/>
          <w:sz w:val="30"/>
          <w:szCs w:val="30"/>
          <w:lang w:eastAsia="zh-CN"/>
        </w:rPr>
        <w:t>、</w:t>
      </w:r>
      <w:r>
        <w:rPr>
          <w:rFonts w:hint="eastAsia" w:ascii="Times New Roman" w:hAnsi="Times New Roman" w:eastAsia="仿宋_GB2312" w:cs="Times New Roman"/>
          <w:sz w:val="30"/>
          <w:szCs w:val="30"/>
          <w:lang w:val="en-US" w:eastAsia="zh-CN"/>
        </w:rPr>
        <w:t>《浙江省住房和城乡建设厅 浙江省自然资源厅关于调整&lt;建筑工程建筑面积计算和竣工综合测量技术规程&gt;部分技术规定的通知》(浙建房发〔2024〕29号)</w:t>
      </w:r>
      <w:r>
        <w:rPr>
          <w:rFonts w:hint="default" w:ascii="Times New Roman" w:hAnsi="Times New Roman" w:eastAsia="仿宋_GB2312" w:cs="Times New Roman"/>
          <w:sz w:val="30"/>
          <w:szCs w:val="30"/>
        </w:rPr>
        <w:t>计建筑面积，可不计入工程项目容积率指标。该部分的面积地块拍卖要件有约定的依约定执行。报批施工图中需明确各公共开敞空间的落位范围界限、面积指标等。</w:t>
      </w:r>
    </w:p>
    <w:p>
      <w:pPr>
        <w:ind w:firstLine="600" w:firstLineChars="200"/>
        <w:rPr>
          <w:rFonts w:hint="default" w:ascii="Times New Roman" w:hAnsi="Times New Roman" w:eastAsia="方正楷体_GBK" w:cs="Times New Roman"/>
          <w:sz w:val="30"/>
          <w:szCs w:val="30"/>
        </w:rPr>
      </w:pPr>
      <w:r>
        <w:rPr>
          <w:rFonts w:hint="default" w:ascii="Times New Roman" w:hAnsi="Times New Roman" w:eastAsia="方正楷体_GBK" w:cs="Times New Roman"/>
          <w:sz w:val="30"/>
          <w:szCs w:val="30"/>
        </w:rPr>
        <w:t>（二）关于空中花园阳台的绿化部分空间</w:t>
      </w:r>
    </w:p>
    <w:p>
      <w:pPr>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 xml:space="preserve"> </w:t>
      </w:r>
      <w:r>
        <w:rPr>
          <w:rFonts w:hint="eastAsia" w:ascii="仿宋_GB2312" w:hAnsi="仿宋_GB2312" w:eastAsia="仿宋_GB2312" w:cs="仿宋_GB2312"/>
          <w:b/>
          <w:bCs/>
          <w:sz w:val="30"/>
          <w:szCs w:val="30"/>
          <w:lang w:val="en-US" w:eastAsia="zh-CN"/>
        </w:rPr>
        <w:t xml:space="preserve">  </w:t>
      </w:r>
      <w:r>
        <w:rPr>
          <w:rFonts w:hint="eastAsia" w:ascii="仿宋_GB2312" w:hAnsi="仿宋_GB2312" w:eastAsia="仿宋_GB2312" w:cs="仿宋_GB2312"/>
          <w:b/>
          <w:bCs/>
          <w:sz w:val="30"/>
          <w:szCs w:val="30"/>
        </w:rPr>
        <w:t xml:space="preserve"> 1、住宅户内空中花园阳台的绿化部分（花池）</w:t>
      </w:r>
    </w:p>
    <w:p>
      <w:pP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不得设置于北侧；花池底板板面与室内地面结构板板面或阳台板板面高差0.3米及以上，且不超过套内建筑面积（不含阳台）的7%，其花池面积可不计入该工程项目建筑面积和容积率，超过部分按水平投影计算全面积，计入工程项目容积率指标。</w:t>
      </w:r>
    </w:p>
    <w:p>
      <w:pPr>
        <w:ind w:firstLine="602" w:firstLineChars="200"/>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2、与公共通道相连的空中花园</w:t>
      </w:r>
    </w:p>
    <w:p>
      <w:pP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公共开敞并作为绿化休闲功能使用的，可不计入工程项目容积率指标。</w:t>
      </w:r>
    </w:p>
    <w:p>
      <w:pPr>
        <w:rPr>
          <w:sz w:val="30"/>
          <w:szCs w:val="30"/>
        </w:rPr>
      </w:pPr>
      <w:r>
        <w:rPr>
          <w:rFonts w:hint="eastAsia"/>
          <w:sz w:val="30"/>
          <w:szCs w:val="30"/>
        </w:rPr>
        <w:t xml:space="preserve">       </w:t>
      </w:r>
    </w:p>
    <w:p>
      <w:pPr>
        <w:rPr>
          <w:rFonts w:hint="eastAsia"/>
          <w:sz w:val="30"/>
          <w:szCs w:val="30"/>
        </w:rPr>
      </w:pPr>
      <w:r>
        <w:rPr>
          <w:rFonts w:hint="eastAsia"/>
          <w:sz w:val="30"/>
          <w:szCs w:val="30"/>
        </w:rPr>
        <w:t xml:space="preserve">      </w:t>
      </w:r>
    </w:p>
    <w:p>
      <w:pPr>
        <w:rPr>
          <w:rFonts w:hint="eastAsia"/>
          <w:sz w:val="30"/>
          <w:szCs w:val="30"/>
        </w:rPr>
      </w:pPr>
    </w:p>
    <w:p>
      <w:pPr>
        <w:rPr>
          <w:rFonts w:hint="eastAsia"/>
          <w:sz w:val="30"/>
          <w:szCs w:val="30"/>
        </w:rPr>
      </w:pPr>
    </w:p>
    <w:p>
      <w:pPr>
        <w:rPr>
          <w:rFonts w:hint="eastAsia"/>
          <w:sz w:val="30"/>
          <w:szCs w:val="30"/>
        </w:rPr>
      </w:pPr>
    </w:p>
    <w:p>
      <w:pPr>
        <w:rPr>
          <w:rFonts w:hint="eastAsia"/>
          <w:sz w:val="30"/>
          <w:szCs w:val="30"/>
        </w:rPr>
      </w:pPr>
    </w:p>
    <w:p>
      <w:pPr>
        <w:rPr>
          <w:rFonts w:hint="eastAsia"/>
          <w:sz w:val="30"/>
          <w:szCs w:val="30"/>
        </w:rPr>
      </w:pPr>
    </w:p>
    <w:p>
      <w:pPr>
        <w:rPr>
          <w:sz w:val="30"/>
          <w:szCs w:val="30"/>
        </w:rPr>
      </w:pPr>
      <w:r>
        <w:rPr>
          <w:rFonts w:hint="eastAsia"/>
          <w:sz w:val="30"/>
          <w:szCs w:val="30"/>
        </w:rPr>
        <w:t xml:space="preserve">                        </w:t>
      </w:r>
    </w:p>
    <w:p>
      <w:pPr>
        <w:rPr>
          <w:sz w:val="30"/>
          <w:szCs w:val="30"/>
        </w:rPr>
      </w:pPr>
    </w:p>
    <w:sectPr>
      <w:pgSz w:w="11906" w:h="16838"/>
      <w:pgMar w:top="1440" w:right="179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楷体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U5M2E3ODIzNDgyZDhjMjFmODExYjYxN2U3OTJiYmQifQ=="/>
  </w:docVars>
  <w:rsids>
    <w:rsidRoot w:val="00FA64C7"/>
    <w:rsid w:val="000A13EA"/>
    <w:rsid w:val="001005BE"/>
    <w:rsid w:val="00103E54"/>
    <w:rsid w:val="00122322"/>
    <w:rsid w:val="00196C85"/>
    <w:rsid w:val="001A0207"/>
    <w:rsid w:val="001B67A9"/>
    <w:rsid w:val="00201633"/>
    <w:rsid w:val="0021131B"/>
    <w:rsid w:val="00232E81"/>
    <w:rsid w:val="002D504F"/>
    <w:rsid w:val="003015B5"/>
    <w:rsid w:val="00316D68"/>
    <w:rsid w:val="00330909"/>
    <w:rsid w:val="00372085"/>
    <w:rsid w:val="00375D77"/>
    <w:rsid w:val="0043488F"/>
    <w:rsid w:val="00436A54"/>
    <w:rsid w:val="005038BC"/>
    <w:rsid w:val="00547557"/>
    <w:rsid w:val="00555B89"/>
    <w:rsid w:val="00563A68"/>
    <w:rsid w:val="00567BFD"/>
    <w:rsid w:val="005B10F3"/>
    <w:rsid w:val="006905A1"/>
    <w:rsid w:val="006B7C9F"/>
    <w:rsid w:val="006D3E17"/>
    <w:rsid w:val="00700875"/>
    <w:rsid w:val="0071144C"/>
    <w:rsid w:val="00783DE0"/>
    <w:rsid w:val="007A12F3"/>
    <w:rsid w:val="007A33DF"/>
    <w:rsid w:val="007A75DF"/>
    <w:rsid w:val="00805B54"/>
    <w:rsid w:val="008A2C2D"/>
    <w:rsid w:val="008D3383"/>
    <w:rsid w:val="008E2DB5"/>
    <w:rsid w:val="008E58AE"/>
    <w:rsid w:val="0091015D"/>
    <w:rsid w:val="0094679E"/>
    <w:rsid w:val="00995086"/>
    <w:rsid w:val="00A27347"/>
    <w:rsid w:val="00A56555"/>
    <w:rsid w:val="00A66F03"/>
    <w:rsid w:val="00AD3BAC"/>
    <w:rsid w:val="00B540CF"/>
    <w:rsid w:val="00B80EB3"/>
    <w:rsid w:val="00BC75E2"/>
    <w:rsid w:val="00BE3E6F"/>
    <w:rsid w:val="00C31514"/>
    <w:rsid w:val="00C447CB"/>
    <w:rsid w:val="00CB2960"/>
    <w:rsid w:val="00CD09BC"/>
    <w:rsid w:val="00CD745F"/>
    <w:rsid w:val="00CF1B6B"/>
    <w:rsid w:val="00D014F2"/>
    <w:rsid w:val="00D303A8"/>
    <w:rsid w:val="00DB4899"/>
    <w:rsid w:val="00DC0D52"/>
    <w:rsid w:val="00DC1FA7"/>
    <w:rsid w:val="00E20B4A"/>
    <w:rsid w:val="00E42C03"/>
    <w:rsid w:val="00EC4D90"/>
    <w:rsid w:val="00F218AC"/>
    <w:rsid w:val="00FA64C7"/>
    <w:rsid w:val="00FB4F9E"/>
    <w:rsid w:val="00FC00F2"/>
    <w:rsid w:val="0D843D46"/>
    <w:rsid w:val="0E46484F"/>
    <w:rsid w:val="13115D7B"/>
    <w:rsid w:val="16C659B0"/>
    <w:rsid w:val="210C39B9"/>
    <w:rsid w:val="21993C64"/>
    <w:rsid w:val="21AF36FB"/>
    <w:rsid w:val="23A8403F"/>
    <w:rsid w:val="25E92BA6"/>
    <w:rsid w:val="29E35D54"/>
    <w:rsid w:val="35247BBC"/>
    <w:rsid w:val="3862781A"/>
    <w:rsid w:val="397F5D60"/>
    <w:rsid w:val="41EA4EE3"/>
    <w:rsid w:val="426E267E"/>
    <w:rsid w:val="434A211A"/>
    <w:rsid w:val="4919317B"/>
    <w:rsid w:val="532739EA"/>
    <w:rsid w:val="596D271B"/>
    <w:rsid w:val="617457B3"/>
    <w:rsid w:val="65D5552C"/>
    <w:rsid w:val="680F3984"/>
    <w:rsid w:val="72E230E0"/>
    <w:rsid w:val="753222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2">
    <w:name w:val="annotation text"/>
    <w:basedOn w:val="1"/>
    <w:autoRedefine/>
    <w:semiHidden/>
    <w:unhideWhenUsed/>
    <w:qFormat/>
    <w:uiPriority w:val="99"/>
    <w:pPr>
      <w:jc w:val="left"/>
    </w:pPr>
  </w:style>
  <w:style w:type="paragraph" w:styleId="3">
    <w:name w:val="Body Text"/>
    <w:basedOn w:val="1"/>
    <w:autoRedefine/>
    <w:qFormat/>
    <w:uiPriority w:val="0"/>
    <w:pPr>
      <w:spacing w:line="360" w:lineRule="auto"/>
      <w:ind w:firstLine="200" w:firstLineChars="200"/>
      <w:jc w:val="center"/>
    </w:pPr>
    <w:rPr>
      <w:rFonts w:ascii="等线" w:hAnsi="等线" w:eastAsia="等线" w:cs="Times New Roman"/>
      <w:b/>
      <w:bCs/>
      <w:sz w:val="36"/>
      <w:szCs w:val="22"/>
    </w:rPr>
  </w:style>
  <w:style w:type="paragraph" w:styleId="4">
    <w:name w:val="footer"/>
    <w:basedOn w:val="1"/>
    <w:link w:val="11"/>
    <w:autoRedefine/>
    <w:semiHidden/>
    <w:unhideWhenUsed/>
    <w:qFormat/>
    <w:uiPriority w:val="99"/>
    <w:pPr>
      <w:tabs>
        <w:tab w:val="center" w:pos="4153"/>
        <w:tab w:val="right" w:pos="8306"/>
      </w:tabs>
      <w:snapToGrid w:val="0"/>
      <w:jc w:val="left"/>
    </w:pPr>
    <w:rPr>
      <w:sz w:val="18"/>
      <w:szCs w:val="18"/>
    </w:rPr>
  </w:style>
  <w:style w:type="paragraph" w:styleId="5">
    <w:name w:val="header"/>
    <w:basedOn w:val="1"/>
    <w:link w:val="10"/>
    <w:autoRedefine/>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Body Text First Indent"/>
    <w:basedOn w:val="3"/>
    <w:autoRedefine/>
    <w:qFormat/>
    <w:uiPriority w:val="0"/>
    <w:pPr>
      <w:adjustRightInd w:val="0"/>
      <w:spacing w:line="360" w:lineRule="auto"/>
      <w:ind w:firstLine="420"/>
      <w:textAlignment w:val="baseline"/>
    </w:pPr>
    <w:rPr>
      <w:rFonts w:eastAsia="楷体_GB2312"/>
      <w:sz w:val="24"/>
    </w:rPr>
  </w:style>
  <w:style w:type="character" w:styleId="9">
    <w:name w:val="Emphasis"/>
    <w:basedOn w:val="8"/>
    <w:autoRedefine/>
    <w:qFormat/>
    <w:uiPriority w:val="20"/>
    <w:rPr>
      <w:i/>
      <w:iCs/>
    </w:rPr>
  </w:style>
  <w:style w:type="character" w:customStyle="1" w:styleId="10">
    <w:name w:val="页眉 Char"/>
    <w:basedOn w:val="8"/>
    <w:link w:val="5"/>
    <w:autoRedefine/>
    <w:semiHidden/>
    <w:qFormat/>
    <w:uiPriority w:val="99"/>
    <w:rPr>
      <w:sz w:val="18"/>
      <w:szCs w:val="18"/>
    </w:rPr>
  </w:style>
  <w:style w:type="character" w:customStyle="1" w:styleId="11">
    <w:name w:val="页脚 Char"/>
    <w:basedOn w:val="8"/>
    <w:link w:val="4"/>
    <w:autoRedefine/>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微软公司</Company>
  <Pages>3</Pages>
  <Words>1201</Words>
  <Characters>1281</Characters>
  <Lines>9</Lines>
  <Paragraphs>2</Paragraphs>
  <TotalTime>936</TotalTime>
  <ScaleCrop>false</ScaleCrop>
  <LinksUpToDate>false</LinksUpToDate>
  <CharactersWithSpaces>1446</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2020-12-04T01:06:00Z</dcterms:created>
  <dc:creator>微软用户</dc:creator>
  <cp:lastModifiedBy>LUCIAAANA</cp:lastModifiedBy>
  <cp:lastPrinted>2024-05-23T08:54:00Z</cp:lastPrinted>
  <dcterms:modified xsi:type="dcterms:W3CDTF">2024-05-24T01:23:35Z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0399C91B65CD40759E687323C9A888E3_13</vt:lpwstr>
  </property>
</Properties>
</file>