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6E5F4">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jc w:val="center"/>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兰溪市市场监督管理局 兰溪市人民检察院 兰溪市司法局关于在市场监管领域实施“全过程普惠制合规”制度的指导意见（征求意见稿）</w:t>
      </w:r>
    </w:p>
    <w:p w14:paraId="0F615DB8">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rPr>
          <w:rFonts w:hint="eastAsia" w:ascii="仿宋_GB2312" w:hAnsi="仿宋_GB2312" w:eastAsia="仿宋_GB2312" w:cs="仿宋_GB2312"/>
          <w:color w:val="auto"/>
          <w:kern w:val="0"/>
          <w:sz w:val="36"/>
          <w:szCs w:val="36"/>
          <w:lang w:val="en-US" w:eastAsia="zh-CN" w:bidi="ar-SA"/>
        </w:rPr>
      </w:pPr>
    </w:p>
    <w:p w14:paraId="59EEAC62">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为营造一流法治化营商环境，助力兰溪“新时代典型工业城市”建设，促进共同富裕，根据《优化营商环境条例》《浙江省优化营商环境条例》等有关规定，结合兰溪工作实际和“普惠化合规”试点情况，决定在市场监管领域实施“全过程普惠制合规”制度，现提出如下指导意见。</w:t>
      </w:r>
    </w:p>
    <w:p w14:paraId="7C2A0D7A">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3" w:firstLineChars="200"/>
        <w:jc w:val="both"/>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一、定义</w:t>
      </w:r>
    </w:p>
    <w:p w14:paraId="419896E7">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意见所指“合规”是指提供商品或服务的经营者及其员工的经营行为符合法律、法规、规章及其他规范性文件规定的要求，同时符合国际条约、社会道德、行业规范、公司章程等方面的要求，能为促进经济社会发展承担社会责任。</w:t>
      </w:r>
    </w:p>
    <w:p w14:paraId="2CFFE2B0">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意见所称“合规治理”是指以有效预防和降低违规风险以及增强企业社会贡献能力为目的，以企业及其员工经营管理行为为对象，开展包括合规承诺、合规管控、违规风险识别、合规运行与合规保障等有组织、有计划的管理活动。</w:t>
      </w:r>
    </w:p>
    <w:p w14:paraId="23DC356C">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意见所称“全过程普惠制合规”是指市场监管部门面向广大经营者开展事前预防性合规指导、合规体检；事中审慎处罚，开展合规治理帮扶，对开展合规治理的经营者实施差异化监管执法；事后预防提升，引导经营者开展长效合规治理和信用修复，渐进式提升全行业合规治理水平的制度。</w:t>
      </w:r>
    </w:p>
    <w:p w14:paraId="07B02BF0">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3" w:firstLineChars="200"/>
        <w:jc w:val="both"/>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二、基本要求</w:t>
      </w:r>
    </w:p>
    <w:p w14:paraId="1027237E">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开展“全过程普惠制合规”，应当坚持依法公正、实事求是、标本兼治、预防为主、循序渐进的原则，贯穿普法、监管、执法全过程，激励经营者提高合规管理水平，帮扶经营者防控违规风险，减轻或消除违规影响。</w:t>
      </w:r>
    </w:p>
    <w:p w14:paraId="4C4D1682">
      <w:pPr>
        <w:pStyle w:val="8"/>
        <w:keepNext w:val="0"/>
        <w:keepLines w:val="0"/>
        <w:pageBreakBefore w:val="0"/>
        <w:widowControl w:val="0"/>
        <w:numPr>
          <w:ilvl w:val="0"/>
          <w:numId w:val="1"/>
        </w:numPr>
        <w:suppressLineNumbers w:val="0"/>
        <w:shd w:val="clear"/>
        <w:kinsoku/>
        <w:overflowPunct/>
        <w:topLinePunct w:val="0"/>
        <w:bidi w:val="0"/>
        <w:spacing w:before="0" w:beforeAutospacing="0" w:after="0" w:afterAutospacing="0" w:line="240" w:lineRule="auto"/>
        <w:ind w:left="0" w:leftChars="0" w:right="0" w:firstLine="643" w:firstLineChars="200"/>
        <w:jc w:val="both"/>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主要内容</w:t>
      </w:r>
    </w:p>
    <w:p w14:paraId="7CE56F51">
      <w:pPr>
        <w:pStyle w:val="8"/>
        <w:keepNext w:val="0"/>
        <w:keepLines w:val="0"/>
        <w:pageBreakBefore w:val="0"/>
        <w:widowControl w:val="0"/>
        <w:numPr>
          <w:ilvl w:val="0"/>
          <w:numId w:val="2"/>
        </w:numPr>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广泛开展行政合规指导。</w:t>
      </w:r>
      <w:r>
        <w:rPr>
          <w:rFonts w:hint="eastAsia" w:ascii="仿宋_GB2312" w:hAnsi="仿宋_GB2312" w:eastAsia="仿宋_GB2312" w:cs="仿宋_GB2312"/>
          <w:color w:val="auto"/>
          <w:kern w:val="0"/>
          <w:sz w:val="32"/>
          <w:szCs w:val="32"/>
          <w:lang w:val="en-US" w:eastAsia="zh-CN" w:bidi="ar-SA"/>
        </w:rPr>
        <w:t>丰富合规载体</w:t>
      </w:r>
      <w:r>
        <w:rPr>
          <w:rFonts w:hint="eastAsia" w:ascii="仿宋" w:hAnsi="仿宋" w:eastAsia="仿宋" w:cs="仿宋"/>
          <w:color w:val="auto"/>
          <w:kern w:val="0"/>
          <w:sz w:val="32"/>
          <w:szCs w:val="32"/>
          <w:lang w:val="en-US" w:eastAsia="zh-CN" w:bidi="ar-SA"/>
        </w:rPr>
        <w:t>，浓厚合规氛围，建设“市场监管合规指导中心”，努力实现“全员发动、全行业参与、全过程合规治理”目标</w:t>
      </w:r>
      <w:r>
        <w:rPr>
          <w:rFonts w:hint="eastAsia" w:ascii="仿宋_GB2312" w:hAnsi="仿宋_GB2312" w:eastAsia="仿宋_GB2312" w:cs="仿宋_GB2312"/>
          <w:color w:val="auto"/>
          <w:kern w:val="0"/>
          <w:sz w:val="32"/>
          <w:szCs w:val="32"/>
          <w:lang w:val="en-US" w:eastAsia="zh-CN" w:bidi="ar-SA"/>
        </w:rPr>
        <w:t>。局机关各业务科室要开展违规风险研判和预警，推动产业合规指引与监管标准的统一，加强行业性合规指导。在基层市场监管所全面建成“合规指导室”，推动一线执法人员将合规指导同日常普法、监管、执法工作深度融合。</w:t>
      </w:r>
    </w:p>
    <w:p w14:paraId="148B6155">
      <w:pPr>
        <w:pStyle w:val="8"/>
        <w:keepNext w:val="0"/>
        <w:keepLines w:val="0"/>
        <w:pageBreakBefore w:val="0"/>
        <w:widowControl w:val="0"/>
        <w:numPr>
          <w:ilvl w:val="0"/>
          <w:numId w:val="2"/>
        </w:numPr>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建立预约式合规体检机制。</w:t>
      </w:r>
      <w:r>
        <w:rPr>
          <w:rFonts w:hint="eastAsia" w:ascii="仿宋_GB2312" w:hAnsi="仿宋_GB2312" w:eastAsia="仿宋_GB2312" w:cs="仿宋_GB2312"/>
          <w:color w:val="auto"/>
          <w:kern w:val="0"/>
          <w:sz w:val="32"/>
          <w:szCs w:val="32"/>
          <w:lang w:val="en-US" w:eastAsia="zh-CN" w:bidi="ar-SA"/>
        </w:rPr>
        <w:t>依托线上线下平台，鼓励经营者主动提出合规“体检”需求。组织合规指导人员着便装对经营者提供个性化的精准合规指导，对发现的问题积极帮助整改。对合规体检中新发现的问题，经营者积极改正且未造成明显危害后果的，不启动案件核查程序。</w:t>
      </w:r>
    </w:p>
    <w:p w14:paraId="75E389B8">
      <w:pPr>
        <w:pStyle w:val="8"/>
        <w:keepNext w:val="0"/>
        <w:keepLines w:val="0"/>
        <w:pageBreakBefore w:val="0"/>
        <w:widowControl w:val="0"/>
        <w:numPr>
          <w:ilvl w:val="0"/>
          <w:numId w:val="2"/>
        </w:numPr>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加强合规结果运用。</w:t>
      </w:r>
      <w:r>
        <w:rPr>
          <w:rFonts w:hint="eastAsia" w:ascii="仿宋_GB2312" w:hAnsi="仿宋_GB2312" w:eastAsia="仿宋_GB2312" w:cs="仿宋_GB2312"/>
          <w:color w:val="auto"/>
          <w:kern w:val="0"/>
          <w:sz w:val="32"/>
          <w:szCs w:val="32"/>
          <w:lang w:val="en-US" w:eastAsia="zh-CN" w:bidi="ar-SA"/>
        </w:rPr>
        <w:t>一是优化信用监管体系，将经营者合规治理效果与行政检查比例、频次等相衔接；二是鼓励经营者开展预防性合规治理，对过失性、偶然性违规行为落实“无过错不罚”“首违不罚”“轻微违法免罚”等政策；三是对应当处罚的涉案经营者，案后及时主动开展合规治理减轻违法行为危害后果的，纳入从轻减轻处罚的裁量情节考虑。</w:t>
      </w:r>
    </w:p>
    <w:p w14:paraId="14FEA190">
      <w:pPr>
        <w:pStyle w:val="8"/>
        <w:keepNext w:val="0"/>
        <w:keepLines w:val="0"/>
        <w:pageBreakBefore w:val="0"/>
        <w:widowControl w:val="0"/>
        <w:numPr>
          <w:ilvl w:val="0"/>
          <w:numId w:val="2"/>
        </w:numPr>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大幅降低合规治理成本。</w:t>
      </w:r>
      <w:r>
        <w:rPr>
          <w:rFonts w:hint="eastAsia" w:ascii="仿宋_GB2312" w:hAnsi="仿宋_GB2312" w:eastAsia="仿宋_GB2312" w:cs="仿宋_GB2312"/>
          <w:color w:val="auto"/>
          <w:kern w:val="0"/>
          <w:sz w:val="32"/>
          <w:szCs w:val="32"/>
          <w:lang w:val="en-US" w:eastAsia="zh-CN" w:bidi="ar-SA"/>
        </w:rPr>
        <w:t>坚持因地制宜、实事求是原则，简化合规流程，不设置硬性达标门槛，鼓励中小微经营主体在现有经济条件下开展阶段性的的合规治理。</w:t>
      </w:r>
    </w:p>
    <w:p w14:paraId="7A5C0032">
      <w:pPr>
        <w:pStyle w:val="8"/>
        <w:keepNext w:val="0"/>
        <w:keepLines w:val="0"/>
        <w:pageBreakBefore w:val="0"/>
        <w:widowControl w:val="0"/>
        <w:numPr>
          <w:ilvl w:val="0"/>
          <w:numId w:val="2"/>
        </w:numPr>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科学评估合规治理价值。</w:t>
      </w:r>
      <w:r>
        <w:rPr>
          <w:rFonts w:hint="eastAsia" w:ascii="仿宋_GB2312" w:hAnsi="仿宋_GB2312" w:eastAsia="仿宋_GB2312" w:cs="仿宋_GB2312"/>
          <w:color w:val="auto"/>
          <w:kern w:val="0"/>
          <w:sz w:val="32"/>
          <w:szCs w:val="32"/>
          <w:lang w:val="en-US" w:eastAsia="zh-CN" w:bidi="ar-SA"/>
        </w:rPr>
        <w:t>坚持早合规优于晚合规、全面合规优于部分合规、主动合规优于被动合规、长效性合规优于阶段性合规等原则，认可任何程度的合规都有一定价值，在评价上不搞一刀切；既要关注违法行为改正情况，更要关注经营者是否增强违规风险识别和管控能力；既要考量法规标准遵守情况，也要考量经营者拔高要求情况，引导和鼓励经营者技术创新、提高产品质量和服务水平。</w:t>
      </w:r>
    </w:p>
    <w:p w14:paraId="54773043">
      <w:pPr>
        <w:pStyle w:val="8"/>
        <w:keepNext w:val="0"/>
        <w:keepLines w:val="0"/>
        <w:pageBreakBefore w:val="0"/>
        <w:widowControl w:val="0"/>
        <w:numPr>
          <w:ilvl w:val="0"/>
          <w:numId w:val="1"/>
        </w:numPr>
        <w:suppressLineNumbers w:val="0"/>
        <w:shd w:val="clear"/>
        <w:kinsoku/>
        <w:overflowPunct/>
        <w:topLinePunct w:val="0"/>
        <w:bidi w:val="0"/>
        <w:spacing w:before="0" w:beforeAutospacing="0" w:after="0" w:afterAutospacing="0" w:line="240" w:lineRule="auto"/>
        <w:ind w:left="0" w:leftChars="0" w:right="0" w:rightChars="0" w:firstLine="643" w:firstLineChars="200"/>
        <w:jc w:val="both"/>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工作要求</w:t>
      </w:r>
    </w:p>
    <w:p w14:paraId="0E59E545">
      <w:pPr>
        <w:pStyle w:val="8"/>
        <w:keepNext w:val="0"/>
        <w:keepLines w:val="0"/>
        <w:pageBreakBefore w:val="0"/>
        <w:widowControl w:val="0"/>
        <w:numPr>
          <w:ilvl w:val="0"/>
          <w:numId w:val="3"/>
        </w:numPr>
        <w:suppressLineNumbers w:val="0"/>
        <w:shd w:val="clear"/>
        <w:kinsoku/>
        <w:overflowPunct/>
        <w:topLinePunct w:val="0"/>
        <w:bidi w:val="0"/>
        <w:spacing w:before="0" w:beforeAutospacing="0" w:after="0" w:afterAutospacing="0" w:line="240" w:lineRule="auto"/>
        <w:ind w:left="0" w:leftChars="0" w:right="0" w:rightChars="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坚持普惠导向，做到开放包容。</w:t>
      </w:r>
      <w:r>
        <w:rPr>
          <w:rFonts w:hint="eastAsia" w:ascii="仿宋_GB2312" w:hAnsi="仿宋_GB2312" w:eastAsia="仿宋_GB2312" w:cs="仿宋_GB2312"/>
          <w:color w:val="auto"/>
          <w:kern w:val="0"/>
          <w:sz w:val="32"/>
          <w:szCs w:val="32"/>
          <w:lang w:val="en-US" w:eastAsia="zh-CN" w:bidi="ar-SA"/>
        </w:rPr>
        <w:t>在合规对象上不设置负面清单，鼓励任何行业、任何类型、任何规模的经营主体都积极开展合规治理。要推动从事后整改到事前预防、单项要求到双向规范、一个企业到一个行业的转变。</w:t>
      </w:r>
    </w:p>
    <w:p w14:paraId="3690EA2B">
      <w:pPr>
        <w:pStyle w:val="8"/>
        <w:keepNext w:val="0"/>
        <w:keepLines w:val="0"/>
        <w:pageBreakBefore w:val="0"/>
        <w:widowControl w:val="0"/>
        <w:numPr>
          <w:ilvl w:val="0"/>
          <w:numId w:val="3"/>
        </w:numPr>
        <w:suppressLineNumbers w:val="0"/>
        <w:shd w:val="clear"/>
        <w:kinsoku/>
        <w:overflowPunct/>
        <w:topLinePunct w:val="0"/>
        <w:bidi w:val="0"/>
        <w:spacing w:before="0" w:beforeAutospacing="0" w:after="0" w:afterAutospacing="0" w:line="240" w:lineRule="auto"/>
        <w:ind w:left="0" w:leftChars="0" w:right="0" w:rightChars="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坚持依法行政，做到公平公正。</w:t>
      </w:r>
      <w:r>
        <w:rPr>
          <w:rFonts w:hint="eastAsia" w:ascii="仿宋_GB2312" w:hAnsi="仿宋_GB2312" w:eastAsia="仿宋_GB2312" w:cs="仿宋_GB2312"/>
          <w:color w:val="auto"/>
          <w:kern w:val="0"/>
          <w:sz w:val="32"/>
          <w:szCs w:val="32"/>
          <w:lang w:val="en-US" w:eastAsia="zh-CN" w:bidi="ar-SA"/>
        </w:rPr>
        <w:t>在实施“全过程普惠制合规”工作时，要坚持依法公正、教育为主、标本兼治，要实现政治效果、社会效果和法律效果的统一。</w:t>
      </w:r>
    </w:p>
    <w:p w14:paraId="3AA13181">
      <w:pPr>
        <w:pStyle w:val="8"/>
        <w:keepNext w:val="0"/>
        <w:keepLines w:val="0"/>
        <w:pageBreakBefore w:val="0"/>
        <w:widowControl w:val="0"/>
        <w:numPr>
          <w:ilvl w:val="0"/>
          <w:numId w:val="3"/>
        </w:numPr>
        <w:suppressLineNumbers w:val="0"/>
        <w:shd w:val="clear"/>
        <w:kinsoku/>
        <w:overflowPunct/>
        <w:topLinePunct w:val="0"/>
        <w:bidi w:val="0"/>
        <w:spacing w:before="0" w:beforeAutospacing="0" w:after="0" w:afterAutospacing="0" w:line="240" w:lineRule="auto"/>
        <w:ind w:left="0" w:leftChars="0" w:right="0" w:rightChars="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坚持公开透明，做到程序规范。</w:t>
      </w:r>
      <w:r>
        <w:rPr>
          <w:rFonts w:hint="eastAsia" w:ascii="仿宋_GB2312" w:hAnsi="仿宋_GB2312" w:eastAsia="仿宋_GB2312" w:cs="仿宋_GB2312"/>
          <w:color w:val="auto"/>
          <w:kern w:val="0"/>
          <w:sz w:val="32"/>
          <w:szCs w:val="32"/>
          <w:lang w:val="en-US" w:eastAsia="zh-CN" w:bidi="ar-SA"/>
        </w:rPr>
        <w:t>要通过多种形式主动公开“全过程普惠制合规”有关政策和相关监管标准，不断规范工作流程，明确工作要求，对疑难复杂问题要落实集体决策制度，有关重大执法决定及时报司法局备案。检察院和司法局对市场监管局合规工作进行指导和监督。</w:t>
      </w:r>
    </w:p>
    <w:p w14:paraId="3147FE6C">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本指导意见自印发之日起30日后开始实施。</w:t>
      </w:r>
    </w:p>
    <w:p w14:paraId="7A3DEF64">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jc w:val="both"/>
        <w:rPr>
          <w:rFonts w:hint="eastAsia" w:ascii="仿宋_GB2312" w:hAnsi="仿宋_GB2312" w:eastAsia="仿宋_GB2312" w:cs="仿宋_GB2312"/>
          <w:color w:val="auto"/>
          <w:kern w:val="0"/>
          <w:sz w:val="32"/>
          <w:szCs w:val="32"/>
          <w:lang w:val="en-US" w:eastAsia="zh-CN" w:bidi="ar-SA"/>
        </w:rPr>
      </w:pPr>
    </w:p>
    <w:p w14:paraId="195650E8">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附件：1.兰溪市场监管领域全过程普惠制合规工作指引</w:t>
      </w:r>
    </w:p>
    <w:p w14:paraId="26AA99DC">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firstLine="640" w:firstLineChars="200"/>
        <w:jc w:val="both"/>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2.合规建设有关文书范本1份</w:t>
      </w:r>
    </w:p>
    <w:p w14:paraId="7AAB8EE7">
      <w:pPr>
        <w:keepNext w:val="0"/>
        <w:keepLines w:val="0"/>
        <w:pageBreakBefore w:val="0"/>
        <w:widowControl w:val="0"/>
        <w:shd w:val="clear"/>
        <w:kinsoku/>
        <w:overflowPunct/>
        <w:topLinePunct w:val="0"/>
        <w:bidi w:val="0"/>
        <w:spacing w:beforeAutospacing="0" w:afterAutospacing="0" w:line="240" w:lineRule="auto"/>
        <w:ind w:left="0" w:leftChars="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br w:type="page"/>
      </w:r>
      <w:bookmarkStart w:id="0" w:name="_GoBack"/>
      <w:bookmarkEnd w:id="0"/>
    </w:p>
    <w:p w14:paraId="2A885A9C">
      <w:pPr>
        <w:pStyle w:val="8"/>
        <w:keepNext w:val="0"/>
        <w:keepLines w:val="0"/>
        <w:pageBreakBefore w:val="0"/>
        <w:widowControl w:val="0"/>
        <w:suppressLineNumbers w:val="0"/>
        <w:shd w:val="clear"/>
        <w:kinsoku/>
        <w:overflowPunct/>
        <w:topLinePunct w:val="0"/>
        <w:bidi w:val="0"/>
        <w:spacing w:before="0" w:beforeAutospacing="0" w:after="0" w:afterAutospacing="0" w:line="240" w:lineRule="auto"/>
        <w:ind w:left="0" w:leftChars="0" w:right="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附件1</w:t>
      </w:r>
    </w:p>
    <w:p w14:paraId="480E2A7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bidi w:val="0"/>
        <w:spacing w:before="0" w:beforeAutospacing="0" w:after="0" w:afterAutospacing="0" w:line="240" w:lineRule="auto"/>
        <w:ind w:left="0" w:leftChars="0" w:right="0" w:firstLine="0"/>
        <w:jc w:val="center"/>
        <w:textAlignment w:val="baseline"/>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vertAlign w:val="baseline"/>
          <w:lang w:eastAsia="zh-CN"/>
        </w:rPr>
        <w:t>兰溪</w:t>
      </w:r>
      <w:r>
        <w:rPr>
          <w:rFonts w:hint="eastAsia" w:ascii="方正小标宋简体" w:hAnsi="方正小标宋简体" w:eastAsia="方正小标宋简体" w:cs="方正小标宋简体"/>
          <w:i w:val="0"/>
          <w:caps w:val="0"/>
          <w:color w:val="auto"/>
          <w:spacing w:val="0"/>
          <w:sz w:val="44"/>
          <w:szCs w:val="44"/>
          <w:vertAlign w:val="baseline"/>
        </w:rPr>
        <w:t>市场监管领域</w:t>
      </w:r>
      <w:r>
        <w:rPr>
          <w:rFonts w:hint="eastAsia" w:ascii="方正小标宋简体" w:hAnsi="方正小标宋简体" w:eastAsia="方正小标宋简体" w:cs="方正小标宋简体"/>
          <w:i w:val="0"/>
          <w:caps w:val="0"/>
          <w:color w:val="auto"/>
          <w:spacing w:val="0"/>
          <w:sz w:val="44"/>
          <w:szCs w:val="44"/>
          <w:vertAlign w:val="baseline"/>
          <w:lang w:eastAsia="zh-CN"/>
        </w:rPr>
        <w:t>全过程普惠制</w:t>
      </w:r>
      <w:r>
        <w:rPr>
          <w:rFonts w:hint="eastAsia" w:ascii="方正小标宋简体" w:hAnsi="方正小标宋简体" w:eastAsia="方正小标宋简体" w:cs="方正小标宋简体"/>
          <w:i w:val="0"/>
          <w:caps w:val="0"/>
          <w:color w:val="auto"/>
          <w:spacing w:val="0"/>
          <w:sz w:val="44"/>
          <w:szCs w:val="44"/>
          <w:vertAlign w:val="baseline"/>
        </w:rPr>
        <w:t>合规工作指引</w:t>
      </w:r>
    </w:p>
    <w:p w14:paraId="75DBF67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6"/>
          <w:szCs w:val="36"/>
          <w:vertAlign w:val="baseline"/>
        </w:rPr>
      </w:pPr>
    </w:p>
    <w:p w14:paraId="30B9864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vertAlign w:val="baseline"/>
        </w:rPr>
        <w:t>为规范市场监管领域</w:t>
      </w:r>
      <w:r>
        <w:rPr>
          <w:rFonts w:hint="eastAsia" w:ascii="仿宋_GB2312" w:hAnsi="仿宋_GB2312" w:eastAsia="仿宋_GB2312" w:cs="仿宋_GB2312"/>
          <w:i w:val="0"/>
          <w:caps w:val="0"/>
          <w:color w:val="auto"/>
          <w:spacing w:val="0"/>
          <w:sz w:val="32"/>
          <w:szCs w:val="32"/>
          <w:vertAlign w:val="baseline"/>
          <w:lang w:eastAsia="zh-CN"/>
        </w:rPr>
        <w:t>全过程普惠制合规工作开展</w:t>
      </w:r>
      <w:r>
        <w:rPr>
          <w:rFonts w:hint="eastAsia" w:ascii="仿宋_GB2312" w:hAnsi="仿宋_GB2312" w:eastAsia="仿宋_GB2312" w:cs="仿宋_GB2312"/>
          <w:i w:val="0"/>
          <w:caps w:val="0"/>
          <w:color w:val="auto"/>
          <w:spacing w:val="0"/>
          <w:sz w:val="32"/>
          <w:szCs w:val="32"/>
          <w:vertAlign w:val="baseline"/>
        </w:rPr>
        <w:t>，结合</w:t>
      </w:r>
      <w:r>
        <w:rPr>
          <w:rFonts w:hint="eastAsia" w:ascii="仿宋_GB2312" w:hAnsi="仿宋_GB2312" w:eastAsia="仿宋_GB2312" w:cs="仿宋_GB2312"/>
          <w:i w:val="0"/>
          <w:caps w:val="0"/>
          <w:color w:val="auto"/>
          <w:spacing w:val="0"/>
          <w:sz w:val="32"/>
          <w:szCs w:val="32"/>
          <w:vertAlign w:val="baseline"/>
          <w:lang w:eastAsia="zh-CN"/>
        </w:rPr>
        <w:t>兰溪</w:t>
      </w:r>
      <w:r>
        <w:rPr>
          <w:rFonts w:hint="eastAsia" w:ascii="仿宋_GB2312" w:hAnsi="仿宋_GB2312" w:eastAsia="仿宋_GB2312" w:cs="仿宋_GB2312"/>
          <w:i w:val="0"/>
          <w:caps w:val="0"/>
          <w:color w:val="auto"/>
          <w:spacing w:val="0"/>
          <w:sz w:val="32"/>
          <w:szCs w:val="32"/>
          <w:vertAlign w:val="baseline"/>
        </w:rPr>
        <w:t>工作实际，制定本工作指引。</w:t>
      </w:r>
    </w:p>
    <w:p w14:paraId="607E444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baseline"/>
        <w:rPr>
          <w:rFonts w:hint="eastAsia" w:ascii="仿宋_GB2312" w:hAnsi="仿宋_GB2312" w:eastAsia="仿宋_GB2312" w:cs="仿宋_GB2312"/>
          <w:i w:val="0"/>
          <w:caps w:val="0"/>
          <w:color w:val="auto"/>
          <w:spacing w:val="0"/>
          <w:sz w:val="32"/>
          <w:szCs w:val="32"/>
        </w:rPr>
      </w:pPr>
      <w:r>
        <w:rPr>
          <w:rStyle w:val="12"/>
          <w:rFonts w:hint="eastAsia" w:ascii="仿宋_GB2312" w:hAnsi="仿宋_GB2312" w:eastAsia="仿宋_GB2312" w:cs="仿宋_GB2312"/>
          <w:b/>
          <w:i w:val="0"/>
          <w:caps w:val="0"/>
          <w:color w:val="auto"/>
          <w:spacing w:val="0"/>
          <w:sz w:val="32"/>
          <w:szCs w:val="32"/>
          <w:vertAlign w:val="baseline"/>
        </w:rPr>
        <w:t>第一章 一般规定</w:t>
      </w:r>
    </w:p>
    <w:p w14:paraId="284FFF70">
      <w:pPr>
        <w:pStyle w:val="2"/>
        <w:keepNext w:val="0"/>
        <w:keepLines w:val="0"/>
        <w:pageBreakBefore w:val="0"/>
        <w:shd w:val="clear"/>
        <w:kinsoku/>
        <w:overflowPunct/>
        <w:topLinePunct w:val="0"/>
        <w:bidi w:val="0"/>
        <w:spacing w:beforeAutospacing="0" w:afterAutospacing="0" w:line="240" w:lineRule="auto"/>
        <w:ind w:left="0" w:leftChars="0" w:firstLine="640" w:firstLineChars="200"/>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i w:val="0"/>
          <w:caps w:val="0"/>
          <w:color w:val="auto"/>
          <w:spacing w:val="0"/>
          <w:sz w:val="32"/>
          <w:szCs w:val="32"/>
          <w:vertAlign w:val="baseline"/>
        </w:rPr>
        <w:t>第一条</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rPr>
        <w:t>本工作指引</w:t>
      </w:r>
      <w:r>
        <w:rPr>
          <w:rFonts w:hint="eastAsia" w:ascii="仿宋_GB2312" w:hAnsi="仿宋_GB2312" w:eastAsia="仿宋_GB2312" w:cs="仿宋_GB2312"/>
          <w:i w:val="0"/>
          <w:caps w:val="0"/>
          <w:color w:val="auto"/>
          <w:spacing w:val="0"/>
          <w:sz w:val="32"/>
          <w:szCs w:val="32"/>
          <w:vertAlign w:val="baseline"/>
          <w:lang w:eastAsia="zh-CN"/>
        </w:rPr>
        <w:t>规范的内容，主要为</w:t>
      </w:r>
      <w:r>
        <w:rPr>
          <w:rFonts w:hint="eastAsia" w:ascii="仿宋_GB2312" w:hAnsi="仿宋_GB2312" w:eastAsia="仿宋_GB2312" w:cs="仿宋_GB2312"/>
          <w:i w:val="0"/>
          <w:caps w:val="0"/>
          <w:color w:val="auto"/>
          <w:spacing w:val="0"/>
          <w:sz w:val="32"/>
          <w:szCs w:val="32"/>
          <w:vertAlign w:val="baseline"/>
        </w:rPr>
        <w:t>市场监管部门在</w:t>
      </w:r>
      <w:r>
        <w:rPr>
          <w:rFonts w:hint="eastAsia" w:ascii="仿宋_GB2312" w:hAnsi="仿宋_GB2312" w:eastAsia="仿宋_GB2312" w:cs="仿宋_GB2312"/>
          <w:i w:val="0"/>
          <w:caps w:val="0"/>
          <w:color w:val="auto"/>
          <w:spacing w:val="0"/>
          <w:sz w:val="32"/>
          <w:szCs w:val="32"/>
          <w:vertAlign w:val="baseline"/>
          <w:lang w:eastAsia="zh-CN"/>
        </w:rPr>
        <w:t>开展行政合规指导</w:t>
      </w:r>
      <w:r>
        <w:rPr>
          <w:rFonts w:hint="eastAsia" w:ascii="仿宋_GB2312" w:hAnsi="仿宋_GB2312" w:eastAsia="仿宋_GB2312" w:cs="仿宋_GB2312"/>
          <w:i w:val="0"/>
          <w:caps w:val="0"/>
          <w:color w:val="auto"/>
          <w:spacing w:val="0"/>
          <w:sz w:val="32"/>
          <w:szCs w:val="32"/>
          <w:vertAlign w:val="baseline"/>
        </w:rPr>
        <w:t>过程中，针对</w:t>
      </w:r>
      <w:r>
        <w:rPr>
          <w:rFonts w:hint="eastAsia" w:ascii="仿宋_GB2312" w:hAnsi="仿宋_GB2312" w:eastAsia="仿宋_GB2312" w:cs="仿宋_GB2312"/>
          <w:i w:val="0"/>
          <w:caps w:val="0"/>
          <w:color w:val="auto"/>
          <w:spacing w:val="0"/>
          <w:sz w:val="32"/>
          <w:szCs w:val="32"/>
          <w:vertAlign w:val="baseline"/>
          <w:lang w:eastAsia="zh-CN"/>
        </w:rPr>
        <w:t>经营者具体情况</w:t>
      </w:r>
      <w:r>
        <w:rPr>
          <w:rFonts w:hint="eastAsia" w:ascii="仿宋_GB2312" w:hAnsi="仿宋_GB2312" w:eastAsia="仿宋_GB2312" w:cs="仿宋_GB2312"/>
          <w:i w:val="0"/>
          <w:caps w:val="0"/>
          <w:color w:val="auto"/>
          <w:spacing w:val="0"/>
          <w:sz w:val="32"/>
          <w:szCs w:val="32"/>
          <w:vertAlign w:val="baseline"/>
        </w:rPr>
        <w:t>，结合</w:t>
      </w:r>
      <w:r>
        <w:rPr>
          <w:rFonts w:hint="eastAsia" w:ascii="仿宋_GB2312" w:hAnsi="仿宋_GB2312" w:eastAsia="仿宋_GB2312" w:cs="仿宋_GB2312"/>
          <w:i w:val="0"/>
          <w:caps w:val="0"/>
          <w:color w:val="auto"/>
          <w:spacing w:val="0"/>
          <w:sz w:val="32"/>
          <w:szCs w:val="32"/>
          <w:vertAlign w:val="baseline"/>
          <w:lang w:eastAsia="zh-CN"/>
        </w:rPr>
        <w:t>行业特点</w:t>
      </w:r>
      <w:r>
        <w:rPr>
          <w:rFonts w:hint="eastAsia" w:ascii="仿宋_GB2312" w:hAnsi="仿宋_GB2312" w:eastAsia="仿宋_GB2312" w:cs="仿宋_GB2312"/>
          <w:i w:val="0"/>
          <w:caps w:val="0"/>
          <w:color w:val="auto"/>
          <w:spacing w:val="0"/>
          <w:sz w:val="32"/>
          <w:szCs w:val="32"/>
          <w:vertAlign w:val="baseline"/>
        </w:rPr>
        <w:t>，</w:t>
      </w:r>
      <w:r>
        <w:rPr>
          <w:rFonts w:hint="eastAsia" w:ascii="仿宋_GB2312" w:hAnsi="仿宋_GB2312" w:eastAsia="仿宋_GB2312" w:cs="仿宋_GB2312"/>
          <w:i w:val="0"/>
          <w:caps w:val="0"/>
          <w:color w:val="auto"/>
          <w:spacing w:val="0"/>
          <w:sz w:val="32"/>
          <w:szCs w:val="32"/>
          <w:vertAlign w:val="baseline"/>
          <w:lang w:eastAsia="zh-CN"/>
        </w:rPr>
        <w:t>鼓励和帮扶经营者开展合规治理</w:t>
      </w:r>
      <w:r>
        <w:rPr>
          <w:rFonts w:hint="eastAsia" w:ascii="仿宋_GB2312" w:hAnsi="仿宋_GB2312" w:eastAsia="仿宋_GB2312" w:cs="仿宋_GB2312"/>
          <w:i w:val="0"/>
          <w:caps w:val="0"/>
          <w:color w:val="auto"/>
          <w:spacing w:val="0"/>
          <w:sz w:val="32"/>
          <w:szCs w:val="32"/>
          <w:vertAlign w:val="baseline"/>
        </w:rPr>
        <w:t>，促进</w:t>
      </w:r>
      <w:r>
        <w:rPr>
          <w:rFonts w:hint="eastAsia" w:ascii="仿宋_GB2312" w:hAnsi="仿宋_GB2312" w:eastAsia="仿宋_GB2312" w:cs="仿宋_GB2312"/>
          <w:i w:val="0"/>
          <w:caps w:val="0"/>
          <w:color w:val="auto"/>
          <w:spacing w:val="0"/>
          <w:sz w:val="32"/>
          <w:szCs w:val="32"/>
          <w:vertAlign w:val="baseline"/>
          <w:lang w:eastAsia="zh-CN"/>
        </w:rPr>
        <w:t>经营者</w:t>
      </w:r>
      <w:r>
        <w:rPr>
          <w:rFonts w:hint="eastAsia" w:ascii="仿宋_GB2312" w:hAnsi="仿宋_GB2312" w:eastAsia="仿宋_GB2312" w:cs="仿宋_GB2312"/>
          <w:i w:val="0"/>
          <w:caps w:val="0"/>
          <w:color w:val="auto"/>
          <w:spacing w:val="0"/>
          <w:sz w:val="32"/>
          <w:szCs w:val="32"/>
          <w:vertAlign w:val="baseline"/>
        </w:rPr>
        <w:t>合规守法经营，</w:t>
      </w:r>
      <w:r>
        <w:rPr>
          <w:rFonts w:hint="eastAsia" w:ascii="仿宋_GB2312" w:hAnsi="仿宋_GB2312" w:eastAsia="仿宋_GB2312" w:cs="仿宋_GB2312"/>
          <w:i w:val="0"/>
          <w:caps w:val="0"/>
          <w:color w:val="auto"/>
          <w:spacing w:val="0"/>
          <w:sz w:val="32"/>
          <w:szCs w:val="32"/>
          <w:vertAlign w:val="baseline"/>
          <w:lang w:eastAsia="zh-CN"/>
        </w:rPr>
        <w:t>防控违规发生，促进经营者健康可持续发展</w:t>
      </w:r>
      <w:r>
        <w:rPr>
          <w:rFonts w:hint="eastAsia" w:ascii="仿宋_GB2312" w:hAnsi="仿宋_GB2312" w:eastAsia="仿宋_GB2312" w:cs="仿宋_GB2312"/>
          <w:i w:val="0"/>
          <w:caps w:val="0"/>
          <w:color w:val="auto"/>
          <w:spacing w:val="0"/>
          <w:sz w:val="32"/>
          <w:szCs w:val="32"/>
          <w:vertAlign w:val="baseline"/>
        </w:rPr>
        <w:t>。</w:t>
      </w:r>
    </w:p>
    <w:p w14:paraId="753D2490">
      <w:pPr>
        <w:pStyle w:val="8"/>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rPr>
          <w:rFonts w:hint="eastAsia" w:ascii="仿宋_GB2312" w:hAnsi="仿宋_GB2312" w:eastAsia="仿宋_GB2312" w:cs="仿宋_GB2312"/>
          <w:i w:val="0"/>
          <w:caps w:val="0"/>
          <w:color w:val="auto"/>
          <w:spacing w:val="0"/>
          <w:sz w:val="32"/>
          <w:szCs w:val="32"/>
          <w:vertAlign w:val="baseline"/>
          <w:lang w:eastAsia="zh-CN"/>
        </w:rPr>
      </w:pPr>
      <w:r>
        <w:rPr>
          <w:rFonts w:hint="eastAsia" w:ascii="楷体_GB2312" w:hAnsi="楷体_GB2312" w:eastAsia="楷体_GB2312" w:cs="楷体_GB2312"/>
          <w:i w:val="0"/>
          <w:caps w:val="0"/>
          <w:color w:val="auto"/>
          <w:spacing w:val="0"/>
          <w:sz w:val="32"/>
          <w:szCs w:val="32"/>
          <w:vertAlign w:val="baseline"/>
        </w:rPr>
        <w:t>第二条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开展行政合规指导</w:t>
      </w:r>
      <w:r>
        <w:rPr>
          <w:rFonts w:hint="eastAsia" w:ascii="仿宋_GB2312" w:hAnsi="仿宋_GB2312" w:eastAsia="仿宋_GB2312" w:cs="仿宋_GB2312"/>
          <w:i w:val="0"/>
          <w:caps w:val="0"/>
          <w:color w:val="auto"/>
          <w:spacing w:val="0"/>
          <w:sz w:val="32"/>
          <w:szCs w:val="32"/>
          <w:vertAlign w:val="baseline"/>
        </w:rPr>
        <w:t>，应当坚持依法公正、平等保护、标本兼治原则</w:t>
      </w:r>
      <w:r>
        <w:rPr>
          <w:rFonts w:hint="eastAsia" w:ascii="仿宋_GB2312" w:hAnsi="仿宋_GB2312" w:eastAsia="仿宋_GB2312" w:cs="仿宋_GB2312"/>
          <w:i w:val="0"/>
          <w:caps w:val="0"/>
          <w:color w:val="auto"/>
          <w:spacing w:val="0"/>
          <w:sz w:val="32"/>
          <w:szCs w:val="32"/>
          <w:vertAlign w:val="baseline"/>
          <w:lang w:eastAsia="zh-CN"/>
        </w:rPr>
        <w:t>，树立包容审慎执法理念，贯彻适用轻微违法首违不罚制度，激励经营者及时自我纠错，减轻、消除社会危害后果，提高合规经营的自觉性，增强服务社会的意识和能力。</w:t>
      </w:r>
    </w:p>
    <w:p w14:paraId="5A09251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baseline"/>
        <w:rPr>
          <w:rFonts w:hint="eastAsia" w:ascii="仿宋_GB2312" w:hAnsi="仿宋_GB2312" w:eastAsia="仿宋_GB2312" w:cs="仿宋_GB2312"/>
          <w:i w:val="0"/>
          <w:caps w:val="0"/>
          <w:color w:val="auto"/>
          <w:spacing w:val="0"/>
          <w:sz w:val="32"/>
          <w:szCs w:val="32"/>
          <w:lang w:eastAsia="zh-CN"/>
        </w:rPr>
      </w:pPr>
      <w:r>
        <w:rPr>
          <w:rStyle w:val="12"/>
          <w:rFonts w:hint="eastAsia" w:ascii="仿宋_GB2312" w:hAnsi="仿宋_GB2312" w:eastAsia="仿宋_GB2312" w:cs="仿宋_GB2312"/>
          <w:b/>
          <w:i w:val="0"/>
          <w:caps w:val="0"/>
          <w:color w:val="auto"/>
          <w:spacing w:val="0"/>
          <w:sz w:val="32"/>
          <w:szCs w:val="32"/>
          <w:vertAlign w:val="baseline"/>
        </w:rPr>
        <w:t>第</w:t>
      </w:r>
      <w:r>
        <w:rPr>
          <w:rStyle w:val="12"/>
          <w:rFonts w:hint="eastAsia" w:ascii="仿宋_GB2312" w:hAnsi="仿宋_GB2312" w:eastAsia="仿宋_GB2312" w:cs="仿宋_GB2312"/>
          <w:b/>
          <w:i w:val="0"/>
          <w:caps w:val="0"/>
          <w:color w:val="auto"/>
          <w:spacing w:val="0"/>
          <w:sz w:val="32"/>
          <w:szCs w:val="32"/>
          <w:vertAlign w:val="baseline"/>
          <w:lang w:eastAsia="zh-CN"/>
        </w:rPr>
        <w:t>二</w:t>
      </w:r>
      <w:r>
        <w:rPr>
          <w:rStyle w:val="12"/>
          <w:rFonts w:hint="eastAsia" w:ascii="仿宋_GB2312" w:hAnsi="仿宋_GB2312" w:eastAsia="仿宋_GB2312" w:cs="仿宋_GB2312"/>
          <w:b/>
          <w:i w:val="0"/>
          <w:caps w:val="0"/>
          <w:color w:val="auto"/>
          <w:spacing w:val="0"/>
          <w:sz w:val="32"/>
          <w:szCs w:val="32"/>
          <w:vertAlign w:val="baseline"/>
        </w:rPr>
        <w:t xml:space="preserve">章 </w:t>
      </w:r>
      <w:r>
        <w:rPr>
          <w:rStyle w:val="12"/>
          <w:rFonts w:hint="eastAsia" w:ascii="仿宋_GB2312" w:hAnsi="仿宋_GB2312" w:eastAsia="仿宋_GB2312" w:cs="仿宋_GB2312"/>
          <w:b/>
          <w:i w:val="0"/>
          <w:caps w:val="0"/>
          <w:color w:val="auto"/>
          <w:spacing w:val="0"/>
          <w:sz w:val="32"/>
          <w:szCs w:val="32"/>
          <w:vertAlign w:val="baseline"/>
          <w:lang w:eastAsia="zh-CN"/>
        </w:rPr>
        <w:t>合规指导计划</w:t>
      </w:r>
    </w:p>
    <w:p w14:paraId="7A84D16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三</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lang w:val="en-US" w:eastAsia="zh-CN"/>
        </w:rPr>
        <w:t xml:space="preserve">  市场监管局要通过走访调研、投诉举报数据分析、监管执法等途径，掌握经营者的合规需求，结合监管履职需要，制定年度合规指导计划。各科室、所队可以根据需要，制定细化的实施方案。</w:t>
      </w:r>
    </w:p>
    <w:p w14:paraId="40CCEA3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四</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lang w:val="en-US" w:eastAsia="zh-CN"/>
        </w:rPr>
        <w:t xml:space="preserve">  合规指导计划，要重点突出，分类推进，务求实效。可以先在部分行业、部分区域、部分企业先行开展，再推广到更大的领域。</w:t>
      </w:r>
    </w:p>
    <w:p w14:paraId="1DB79A2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baseline"/>
        <w:rPr>
          <w:rFonts w:hint="eastAsia" w:ascii="仿宋_GB2312" w:hAnsi="仿宋_GB2312" w:eastAsia="仿宋_GB2312" w:cs="仿宋_GB2312"/>
          <w:i w:val="0"/>
          <w:caps w:val="0"/>
          <w:color w:val="auto"/>
          <w:spacing w:val="0"/>
          <w:sz w:val="32"/>
          <w:szCs w:val="32"/>
          <w:lang w:eastAsia="zh-CN"/>
        </w:rPr>
      </w:pPr>
      <w:r>
        <w:rPr>
          <w:rStyle w:val="12"/>
          <w:rFonts w:hint="eastAsia" w:ascii="仿宋_GB2312" w:hAnsi="仿宋_GB2312" w:eastAsia="仿宋_GB2312" w:cs="仿宋_GB2312"/>
          <w:b/>
          <w:i w:val="0"/>
          <w:caps w:val="0"/>
          <w:color w:val="auto"/>
          <w:spacing w:val="0"/>
          <w:sz w:val="32"/>
          <w:szCs w:val="32"/>
          <w:vertAlign w:val="baseline"/>
        </w:rPr>
        <w:t>第</w:t>
      </w:r>
      <w:r>
        <w:rPr>
          <w:rStyle w:val="12"/>
          <w:rFonts w:hint="eastAsia" w:ascii="仿宋_GB2312" w:hAnsi="仿宋_GB2312" w:eastAsia="仿宋_GB2312" w:cs="仿宋_GB2312"/>
          <w:b/>
          <w:i w:val="0"/>
          <w:caps w:val="0"/>
          <w:color w:val="auto"/>
          <w:spacing w:val="0"/>
          <w:sz w:val="32"/>
          <w:szCs w:val="32"/>
          <w:vertAlign w:val="baseline"/>
          <w:lang w:eastAsia="zh-CN"/>
        </w:rPr>
        <w:t>三</w:t>
      </w:r>
      <w:r>
        <w:rPr>
          <w:rStyle w:val="12"/>
          <w:rFonts w:hint="eastAsia" w:ascii="仿宋_GB2312" w:hAnsi="仿宋_GB2312" w:eastAsia="仿宋_GB2312" w:cs="仿宋_GB2312"/>
          <w:b/>
          <w:i w:val="0"/>
          <w:caps w:val="0"/>
          <w:color w:val="auto"/>
          <w:spacing w:val="0"/>
          <w:sz w:val="32"/>
          <w:szCs w:val="32"/>
          <w:vertAlign w:val="baseline"/>
        </w:rPr>
        <w:t xml:space="preserve">章 </w:t>
      </w:r>
      <w:r>
        <w:rPr>
          <w:rStyle w:val="12"/>
          <w:rFonts w:hint="eastAsia" w:ascii="仿宋_GB2312" w:hAnsi="仿宋_GB2312" w:eastAsia="仿宋_GB2312" w:cs="仿宋_GB2312"/>
          <w:b/>
          <w:i w:val="0"/>
          <w:caps w:val="0"/>
          <w:color w:val="auto"/>
          <w:spacing w:val="0"/>
          <w:sz w:val="32"/>
          <w:szCs w:val="32"/>
          <w:vertAlign w:val="baseline"/>
          <w:lang w:eastAsia="zh-CN"/>
        </w:rPr>
        <w:t>预防性合规指导</w:t>
      </w:r>
    </w:p>
    <w:p w14:paraId="72B6C0C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jc w:val="left"/>
        <w:textAlignment w:val="baseline"/>
        <w:rPr>
          <w:rFonts w:hint="eastAsia" w:ascii="仿宋_GB2312" w:hAnsi="仿宋_GB2312" w:eastAsia="仿宋_GB2312" w:cs="仿宋_GB2312"/>
          <w:i w:val="0"/>
          <w:caps w:val="0"/>
          <w:color w:val="auto"/>
          <w:spacing w:val="0"/>
          <w:sz w:val="32"/>
          <w:szCs w:val="32"/>
          <w:vertAlign w:val="baseline"/>
          <w:lang w:val="en-US" w:eastAsia="zh-CN"/>
        </w:rPr>
      </w:pPr>
    </w:p>
    <w:p w14:paraId="74F4414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vertAlign w:val="baseline"/>
          <w:lang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五</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eastAsia="zh-CN"/>
        </w:rPr>
        <w:t>市场监管局要根据合规计划，结合服务、普法、监管、执法工作，主动开展经营者合规指导。要结合行业特点，通过集中培训、合规约谈等指导从业者识别违规风险，通过组织再造、制度建设等增强风险管控能力，积极预防或降低违规行为的发生。</w:t>
      </w:r>
    </w:p>
    <w:p w14:paraId="18CF83E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vertAlign w:val="baseline"/>
          <w:lang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六</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eastAsia="zh-CN"/>
        </w:rPr>
        <w:t>市场监管局要总结提炼合规指导经验，编制分行业、分领域的合规指引、合规指南、违规警示案例、合规案例、合规范本等，为经营者开展合规治理提供可借鉴的资料。</w:t>
      </w:r>
    </w:p>
    <w:p w14:paraId="2943C27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vertAlign w:val="baseline"/>
          <w:lang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七</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eastAsia="zh-CN"/>
        </w:rPr>
        <w:t>在基层市场监管所设立“合规指导室”，推动一线执法人员将合规指导同日常普法、监管、执法工作深度融合。</w:t>
      </w:r>
    </w:p>
    <w:p w14:paraId="080710A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baseline"/>
        <w:rPr>
          <w:rFonts w:hint="eastAsia" w:ascii="仿宋_GB2312" w:hAnsi="仿宋_GB2312" w:eastAsia="仿宋_GB2312" w:cs="仿宋_GB2312"/>
          <w:i w:val="0"/>
          <w:caps w:val="0"/>
          <w:color w:val="auto"/>
          <w:spacing w:val="0"/>
          <w:sz w:val="32"/>
          <w:szCs w:val="32"/>
          <w:lang w:eastAsia="zh-CN"/>
        </w:rPr>
      </w:pPr>
      <w:r>
        <w:rPr>
          <w:rStyle w:val="12"/>
          <w:rFonts w:hint="eastAsia" w:ascii="仿宋_GB2312" w:hAnsi="仿宋_GB2312" w:eastAsia="仿宋_GB2312" w:cs="仿宋_GB2312"/>
          <w:b/>
          <w:i w:val="0"/>
          <w:caps w:val="0"/>
          <w:color w:val="auto"/>
          <w:spacing w:val="0"/>
          <w:sz w:val="32"/>
          <w:szCs w:val="32"/>
          <w:vertAlign w:val="baseline"/>
        </w:rPr>
        <w:t>第</w:t>
      </w:r>
      <w:r>
        <w:rPr>
          <w:rStyle w:val="12"/>
          <w:rFonts w:hint="eastAsia" w:ascii="仿宋_GB2312" w:hAnsi="仿宋_GB2312" w:eastAsia="仿宋_GB2312" w:cs="仿宋_GB2312"/>
          <w:b/>
          <w:i w:val="0"/>
          <w:caps w:val="0"/>
          <w:color w:val="auto"/>
          <w:spacing w:val="0"/>
          <w:sz w:val="32"/>
          <w:szCs w:val="32"/>
          <w:vertAlign w:val="baseline"/>
          <w:lang w:eastAsia="zh-CN"/>
        </w:rPr>
        <w:t>四</w:t>
      </w:r>
      <w:r>
        <w:rPr>
          <w:rStyle w:val="12"/>
          <w:rFonts w:hint="eastAsia" w:ascii="仿宋_GB2312" w:hAnsi="仿宋_GB2312" w:eastAsia="仿宋_GB2312" w:cs="仿宋_GB2312"/>
          <w:b/>
          <w:i w:val="0"/>
          <w:caps w:val="0"/>
          <w:color w:val="auto"/>
          <w:spacing w:val="0"/>
          <w:sz w:val="32"/>
          <w:szCs w:val="32"/>
          <w:vertAlign w:val="baseline"/>
        </w:rPr>
        <w:t xml:space="preserve">章 </w:t>
      </w:r>
      <w:r>
        <w:rPr>
          <w:rStyle w:val="12"/>
          <w:rFonts w:hint="eastAsia" w:ascii="仿宋_GB2312" w:hAnsi="仿宋_GB2312" w:eastAsia="仿宋_GB2312" w:cs="仿宋_GB2312"/>
          <w:b/>
          <w:i w:val="0"/>
          <w:caps w:val="0"/>
          <w:color w:val="auto"/>
          <w:spacing w:val="0"/>
          <w:sz w:val="32"/>
          <w:szCs w:val="32"/>
          <w:vertAlign w:val="baseline"/>
          <w:lang w:eastAsia="zh-CN"/>
        </w:rPr>
        <w:t>合规体检</w:t>
      </w:r>
    </w:p>
    <w:p w14:paraId="557B058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vertAlign w:val="baseline"/>
          <w:lang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八</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eastAsia="zh-CN"/>
        </w:rPr>
        <w:t>经营者可以根据自身发展需要，通过多种渠道向市场监管局提出合规体检需求。市场监管局在收到需求信息后，应在三个工作日安排专人内与经营者了解需求情况，并在五个工作日内确定合规指导人员（不得少于两人）。</w:t>
      </w:r>
    </w:p>
    <w:p w14:paraId="113C27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default"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九</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eastAsia="zh-CN"/>
        </w:rPr>
        <w:t>合规指导人员确定后，应在五个工作日内开展线上或线下的合规指导，帮助经营者查找违规风险，提出合规治理建议。</w:t>
      </w:r>
    </w:p>
    <w:p w14:paraId="24C68ED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vertAlign w:val="baseline"/>
          <w:lang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十</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eastAsia="zh-CN"/>
        </w:rPr>
        <w:t>合规指导人员现场指导的，原则上着便装，对合规指导过程中发现的违法行为，应及时向经营者指出并帮助经营者改正，消除影响。对合规体检中新发现的问题，经营者积极改正且未造成明显危害后果的，不启动案件核查程序。</w:t>
      </w:r>
    </w:p>
    <w:p w14:paraId="331FE23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baseline"/>
        <w:rPr>
          <w:rFonts w:hint="eastAsia" w:ascii="仿宋_GB2312" w:hAnsi="仿宋_GB2312" w:eastAsia="仿宋_GB2312" w:cs="仿宋_GB2312"/>
          <w:i w:val="0"/>
          <w:caps w:val="0"/>
          <w:color w:val="auto"/>
          <w:spacing w:val="0"/>
          <w:sz w:val="32"/>
          <w:szCs w:val="32"/>
          <w:lang w:eastAsia="zh-CN"/>
        </w:rPr>
      </w:pPr>
      <w:r>
        <w:rPr>
          <w:rStyle w:val="12"/>
          <w:rFonts w:hint="eastAsia" w:ascii="仿宋_GB2312" w:hAnsi="仿宋_GB2312" w:eastAsia="仿宋_GB2312" w:cs="仿宋_GB2312"/>
          <w:b/>
          <w:i w:val="0"/>
          <w:caps w:val="0"/>
          <w:color w:val="auto"/>
          <w:spacing w:val="0"/>
          <w:sz w:val="32"/>
          <w:szCs w:val="32"/>
          <w:vertAlign w:val="baseline"/>
        </w:rPr>
        <w:t>第</w:t>
      </w:r>
      <w:r>
        <w:rPr>
          <w:rStyle w:val="12"/>
          <w:rFonts w:hint="eastAsia" w:ascii="仿宋_GB2312" w:hAnsi="仿宋_GB2312" w:eastAsia="仿宋_GB2312" w:cs="仿宋_GB2312"/>
          <w:b/>
          <w:i w:val="0"/>
          <w:caps w:val="0"/>
          <w:color w:val="auto"/>
          <w:spacing w:val="0"/>
          <w:sz w:val="32"/>
          <w:szCs w:val="32"/>
          <w:vertAlign w:val="baseline"/>
          <w:lang w:eastAsia="zh-CN"/>
        </w:rPr>
        <w:t>五</w:t>
      </w:r>
      <w:r>
        <w:rPr>
          <w:rStyle w:val="12"/>
          <w:rFonts w:hint="eastAsia" w:ascii="仿宋_GB2312" w:hAnsi="仿宋_GB2312" w:eastAsia="仿宋_GB2312" w:cs="仿宋_GB2312"/>
          <w:b/>
          <w:i w:val="0"/>
          <w:caps w:val="0"/>
          <w:color w:val="auto"/>
          <w:spacing w:val="0"/>
          <w:sz w:val="32"/>
          <w:szCs w:val="32"/>
          <w:vertAlign w:val="baseline"/>
        </w:rPr>
        <w:t xml:space="preserve">章 </w:t>
      </w:r>
      <w:r>
        <w:rPr>
          <w:rStyle w:val="12"/>
          <w:rFonts w:hint="eastAsia" w:ascii="仿宋_GB2312" w:hAnsi="仿宋_GB2312" w:eastAsia="仿宋_GB2312" w:cs="仿宋_GB2312"/>
          <w:b/>
          <w:i w:val="0"/>
          <w:caps w:val="0"/>
          <w:color w:val="auto"/>
          <w:spacing w:val="0"/>
          <w:sz w:val="32"/>
          <w:szCs w:val="32"/>
          <w:vertAlign w:val="baseline"/>
          <w:lang w:eastAsia="zh-CN"/>
        </w:rPr>
        <w:t>案后合规指导</w:t>
      </w:r>
    </w:p>
    <w:p w14:paraId="3F575B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420"/>
        <w:jc w:val="left"/>
        <w:textAlignment w:val="baseline"/>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十一</w:t>
      </w:r>
      <w:r>
        <w:rPr>
          <w:rFonts w:hint="eastAsia" w:ascii="楷体_GB2312" w:hAnsi="楷体_GB2312" w:eastAsia="楷体_GB2312" w:cs="楷体_GB2312"/>
          <w:i w:val="0"/>
          <w:caps w:val="0"/>
          <w:color w:val="auto"/>
          <w:spacing w:val="0"/>
          <w:sz w:val="32"/>
          <w:szCs w:val="32"/>
          <w:vertAlign w:val="baseline"/>
        </w:rPr>
        <w:t>条</w:t>
      </w:r>
      <w:r>
        <w:rPr>
          <w:rFonts w:hint="eastAsia" w:ascii="楷体_GB2312" w:hAnsi="楷体_GB2312" w:eastAsia="楷体_GB2312" w:cs="楷体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仿宋_GB2312" w:hAnsi="仿宋_GB2312" w:eastAsia="仿宋_GB2312" w:cs="仿宋_GB2312"/>
          <w:i w:val="0"/>
          <w:caps w:val="0"/>
          <w:color w:val="auto"/>
          <w:spacing w:val="0"/>
          <w:sz w:val="32"/>
          <w:szCs w:val="32"/>
          <w:vertAlign w:val="baseline"/>
          <w:lang w:eastAsia="zh-CN"/>
        </w:rPr>
        <w:t>市场监管局在查办一般程序违法案件（简案快办除外）过程中，要对涉案经营者送达《“合规治理从宽”告知书》，告知有关激励政策，引导经营者如实供述违法，自愿认罚，积极开展合规治理，主动消除或减轻违法后果。</w:t>
      </w:r>
    </w:p>
    <w:p w14:paraId="796F419E">
      <w:pPr>
        <w:pStyle w:val="8"/>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十二</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涉案经营者在自愿基础上提出合规建设申请后，办案人员应当填写《有关事项审批表》报局分管领导审批。由领导确定合规指导和评估的等级，其中三级评估的确定，需报局主要负责人确定。</w:t>
      </w:r>
    </w:p>
    <w:p w14:paraId="6D3BEF8C">
      <w:pPr>
        <w:pStyle w:val="8"/>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lang w:val="en-US" w:eastAsia="zh-CN"/>
        </w:rPr>
        <w:t>第十三条</w:t>
      </w:r>
      <w:r>
        <w:rPr>
          <w:rFonts w:hint="eastAsia" w:ascii="仿宋_GB2312" w:hAnsi="仿宋_GB2312" w:eastAsia="仿宋_GB2312" w:cs="仿宋_GB2312"/>
          <w:i w:val="0"/>
          <w:caps w:val="0"/>
          <w:color w:val="auto"/>
          <w:spacing w:val="0"/>
          <w:sz w:val="32"/>
          <w:szCs w:val="32"/>
          <w:vertAlign w:val="baseline"/>
          <w:lang w:val="en-US" w:eastAsia="zh-CN"/>
        </w:rPr>
        <w:t xml:space="preserve"> 根据案情和合规建设的复杂程度，合规指导和评估分为三个等级：</w:t>
      </w:r>
    </w:p>
    <w:p w14:paraId="244480AE">
      <w:pPr>
        <w:pStyle w:val="8"/>
        <w:keepNext w:val="0"/>
        <w:keepLines w:val="0"/>
        <w:pageBreakBefore w:val="0"/>
        <w:widowControl w:val="0"/>
        <w:numPr>
          <w:ilvl w:val="0"/>
          <w:numId w:val="4"/>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464" w:firstLineChars="145"/>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仿宋_GB2312" w:hAnsi="仿宋_GB2312" w:eastAsia="仿宋_GB2312" w:cs="仿宋_GB2312"/>
          <w:i w:val="0"/>
          <w:caps w:val="0"/>
          <w:color w:val="auto"/>
          <w:spacing w:val="0"/>
          <w:sz w:val="32"/>
          <w:szCs w:val="32"/>
          <w:vertAlign w:val="baseline"/>
          <w:lang w:val="en-US" w:eastAsia="zh-CN"/>
        </w:rPr>
        <w:t>一级合规：案情简单，合规建设能在30日内完成，一般适用于从业人员不足100人的经营主体；原则上由所在网格员任合规组长；合规组长可以协调承办该案件的执法中队内部力量参与合规指导和评估；</w:t>
      </w:r>
    </w:p>
    <w:p w14:paraId="54400DC8">
      <w:pPr>
        <w:pStyle w:val="8"/>
        <w:keepNext w:val="0"/>
        <w:keepLines w:val="0"/>
        <w:pageBreakBefore w:val="0"/>
        <w:widowControl w:val="0"/>
        <w:numPr>
          <w:ilvl w:val="0"/>
          <w:numId w:val="4"/>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8" w:firstLineChars="19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仿宋_GB2312" w:hAnsi="仿宋_GB2312" w:eastAsia="仿宋_GB2312" w:cs="仿宋_GB2312"/>
          <w:i w:val="0"/>
          <w:caps w:val="0"/>
          <w:color w:val="auto"/>
          <w:spacing w:val="0"/>
          <w:sz w:val="32"/>
          <w:szCs w:val="32"/>
          <w:vertAlign w:val="baseline"/>
          <w:lang w:val="en-US" w:eastAsia="zh-CN"/>
        </w:rPr>
        <w:t>二级合规：案情相对复杂，合规建设涉及专业知识较多，难以在30日内完成，一般适用于从业人员100人以上1000人以下；原则上由主要违法涉及的监管科室负责人任组长；合规组长可以协调全局内部力量参与合规指导和评估；</w:t>
      </w:r>
    </w:p>
    <w:p w14:paraId="5D28A881">
      <w:pPr>
        <w:pStyle w:val="8"/>
        <w:keepNext w:val="0"/>
        <w:keepLines w:val="0"/>
        <w:pageBreakBefore w:val="0"/>
        <w:widowControl w:val="0"/>
        <w:numPr>
          <w:ilvl w:val="0"/>
          <w:numId w:val="4"/>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08" w:firstLineChars="19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仿宋_GB2312" w:hAnsi="仿宋_GB2312" w:eastAsia="仿宋_GB2312" w:cs="仿宋_GB2312"/>
          <w:i w:val="0"/>
          <w:caps w:val="0"/>
          <w:color w:val="auto"/>
          <w:spacing w:val="0"/>
          <w:sz w:val="32"/>
          <w:szCs w:val="32"/>
          <w:vertAlign w:val="baseline"/>
          <w:lang w:val="en-US" w:eastAsia="zh-CN"/>
        </w:rPr>
        <w:t>三级合规：违法较为严重或案件非常复杂，合规建设难度较大，一般适用于从业人员1000人以上的企业；原则上由主要违法涉及的监管科室对应的局分管领导任组长；合规组长可以协调司法局、检察院、工商联、律师事务所等外部力量参与合规指导和评估。</w:t>
      </w:r>
    </w:p>
    <w:p w14:paraId="69220ED0">
      <w:pPr>
        <w:pStyle w:val="8"/>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仿宋_GB2312" w:hAnsi="仿宋_GB2312" w:eastAsia="仿宋_GB2312" w:cs="仿宋_GB2312"/>
          <w:i w:val="0"/>
          <w:caps w:val="0"/>
          <w:color w:val="auto"/>
          <w:spacing w:val="0"/>
          <w:sz w:val="32"/>
          <w:szCs w:val="32"/>
          <w:vertAlign w:val="baseline"/>
          <w:lang w:val="en-US" w:eastAsia="zh-CN"/>
        </w:rPr>
        <w:t xml:space="preserve">   </w:t>
      </w:r>
      <w:r>
        <w:rPr>
          <w:rFonts w:hint="eastAsia" w:ascii="楷体_GB2312" w:hAnsi="楷体_GB2312" w:eastAsia="楷体_GB2312" w:cs="楷体_GB2312"/>
          <w:i w:val="0"/>
          <w:caps w:val="0"/>
          <w:color w:val="auto"/>
          <w:spacing w:val="0"/>
          <w:sz w:val="32"/>
          <w:szCs w:val="32"/>
          <w:vertAlign w:val="baseline"/>
          <w:lang w:val="en-US" w:eastAsia="zh-CN"/>
        </w:rPr>
        <w:t>第十四条</w:t>
      </w:r>
      <w:r>
        <w:rPr>
          <w:rFonts w:hint="eastAsia" w:ascii="仿宋_GB2312" w:hAnsi="仿宋_GB2312" w:eastAsia="仿宋_GB2312" w:cs="仿宋_GB2312"/>
          <w:i w:val="0"/>
          <w:caps w:val="0"/>
          <w:color w:val="auto"/>
          <w:spacing w:val="0"/>
          <w:sz w:val="32"/>
          <w:szCs w:val="32"/>
          <w:vertAlign w:val="baseline"/>
          <w:lang w:val="en-US" w:eastAsia="zh-CN"/>
        </w:rPr>
        <w:t xml:space="preserve"> 合规组长要及时组建合规指导组。合规指导组应及时向涉案经营者送达《准予合规建设通知书》，告知合规指导人员姓名、联系方式和合规建设完成期限。合规指导组要详细了解案情和经营者实际情况，研究合规方案，及时向当事人送达《行政合规指导建议书》。</w:t>
      </w:r>
    </w:p>
    <w:p w14:paraId="71D88978">
      <w:pPr>
        <w:pStyle w:val="8"/>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lang w:val="en-US" w:eastAsia="zh-CN"/>
        </w:rPr>
        <w:t>第十五条</w:t>
      </w:r>
      <w:r>
        <w:rPr>
          <w:rFonts w:hint="eastAsia" w:ascii="仿宋_GB2312" w:hAnsi="仿宋_GB2312" w:eastAsia="仿宋_GB2312" w:cs="仿宋_GB2312"/>
          <w:i w:val="0"/>
          <w:caps w:val="0"/>
          <w:color w:val="auto"/>
          <w:spacing w:val="0"/>
          <w:sz w:val="32"/>
          <w:szCs w:val="32"/>
          <w:vertAlign w:val="baseline"/>
          <w:lang w:val="en-US" w:eastAsia="zh-CN"/>
        </w:rPr>
        <w:t xml:space="preserve"> 在合规建设期内，合规指导组要根据需要对经营者的合规工作进行跟踪指导。合规建设完成后，合规指导组要根据当事人提交的《行政合规建设报告》和掌握的实际情况，对合规工作进行评估，并提出处罚裁量建议，填写《合规价值评估报告》。合规指导组内人员有分歧的，应在《合规价值评估报告》特别说明。评分时，可以采取组内人员打分取平均值方式确定最终评分。</w:t>
      </w:r>
    </w:p>
    <w:p w14:paraId="278F80C6">
      <w:pPr>
        <w:pStyle w:val="8"/>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lang w:val="en-US" w:eastAsia="zh-CN"/>
        </w:rPr>
        <w:t>第十六条</w:t>
      </w:r>
      <w:r>
        <w:rPr>
          <w:rFonts w:hint="eastAsia" w:ascii="仿宋_GB2312" w:hAnsi="仿宋_GB2312" w:eastAsia="仿宋_GB2312" w:cs="仿宋_GB2312"/>
          <w:i w:val="0"/>
          <w:caps w:val="0"/>
          <w:color w:val="auto"/>
          <w:spacing w:val="0"/>
          <w:sz w:val="32"/>
          <w:szCs w:val="32"/>
          <w:vertAlign w:val="baseline"/>
          <w:lang w:val="en-US" w:eastAsia="zh-CN"/>
        </w:rPr>
        <w:t xml:space="preserve"> 合规价值评估主要围绕“违法改正情况”、“组织再造情况”、“合规制度建设情况”、“风险识别能力提升”、“合规保障情况”、“合规文化建设情况”、“全面合规扩展情况”等方面进行评分，不设置必须达标项和达标分数线。有关科室可以制定和动态调整分领域的细化评分标准。</w:t>
      </w:r>
    </w:p>
    <w:p w14:paraId="3FC2399C">
      <w:pPr>
        <w:pStyle w:val="8"/>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lang w:val="en-US" w:eastAsia="zh-CN"/>
        </w:rPr>
        <w:t>第十七条</w:t>
      </w:r>
      <w:r>
        <w:rPr>
          <w:rFonts w:hint="eastAsia" w:ascii="仿宋_GB2312" w:hAnsi="仿宋_GB2312" w:eastAsia="仿宋_GB2312" w:cs="仿宋_GB2312"/>
          <w:i w:val="0"/>
          <w:caps w:val="0"/>
          <w:color w:val="auto"/>
          <w:spacing w:val="0"/>
          <w:sz w:val="32"/>
          <w:szCs w:val="32"/>
          <w:vertAlign w:val="baseline"/>
          <w:lang w:val="en-US" w:eastAsia="zh-CN"/>
        </w:rPr>
        <w:t xml:space="preserve"> 办案人员应参考《合规价值评估报告》，综合考虑违法的性质、社会危害、当事人主观过错及案发前后表现，提出具体裁量建议报法制审核。法制审核后的案件，报分管执法的局领导审批后告知当事人，涉及疑难复杂或重大的案件，报局领导集体讨论决定。</w:t>
      </w:r>
    </w:p>
    <w:p w14:paraId="5D12788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baseline"/>
        <w:rPr>
          <w:rFonts w:hint="eastAsia" w:ascii="仿宋_GB2312" w:hAnsi="仿宋_GB2312" w:eastAsia="仿宋_GB2312" w:cs="仿宋_GB2312"/>
          <w:i w:val="0"/>
          <w:caps w:val="0"/>
          <w:color w:val="auto"/>
          <w:spacing w:val="0"/>
          <w:sz w:val="32"/>
          <w:szCs w:val="32"/>
          <w:lang w:eastAsia="zh-CN"/>
        </w:rPr>
      </w:pPr>
      <w:r>
        <w:rPr>
          <w:rStyle w:val="12"/>
          <w:rFonts w:hint="eastAsia" w:ascii="仿宋_GB2312" w:hAnsi="仿宋_GB2312" w:eastAsia="仿宋_GB2312" w:cs="仿宋_GB2312"/>
          <w:b/>
          <w:i w:val="0"/>
          <w:caps w:val="0"/>
          <w:color w:val="auto"/>
          <w:spacing w:val="0"/>
          <w:sz w:val="32"/>
          <w:szCs w:val="32"/>
          <w:vertAlign w:val="baseline"/>
        </w:rPr>
        <w:t>第</w:t>
      </w:r>
      <w:r>
        <w:rPr>
          <w:rStyle w:val="12"/>
          <w:rFonts w:hint="eastAsia" w:ascii="仿宋_GB2312" w:hAnsi="仿宋_GB2312" w:eastAsia="仿宋_GB2312" w:cs="仿宋_GB2312"/>
          <w:b/>
          <w:i w:val="0"/>
          <w:caps w:val="0"/>
          <w:color w:val="auto"/>
          <w:spacing w:val="0"/>
          <w:sz w:val="32"/>
          <w:szCs w:val="32"/>
          <w:vertAlign w:val="baseline"/>
          <w:lang w:eastAsia="zh-CN"/>
        </w:rPr>
        <w:t>六</w:t>
      </w:r>
      <w:r>
        <w:rPr>
          <w:rStyle w:val="12"/>
          <w:rFonts w:hint="eastAsia" w:ascii="仿宋_GB2312" w:hAnsi="仿宋_GB2312" w:eastAsia="仿宋_GB2312" w:cs="仿宋_GB2312"/>
          <w:b/>
          <w:i w:val="0"/>
          <w:caps w:val="0"/>
          <w:color w:val="auto"/>
          <w:spacing w:val="0"/>
          <w:sz w:val="32"/>
          <w:szCs w:val="32"/>
          <w:vertAlign w:val="baseline"/>
        </w:rPr>
        <w:t xml:space="preserve">章 </w:t>
      </w:r>
      <w:r>
        <w:rPr>
          <w:rStyle w:val="12"/>
          <w:rFonts w:hint="eastAsia" w:ascii="仿宋_GB2312" w:hAnsi="仿宋_GB2312" w:eastAsia="仿宋_GB2312" w:cs="仿宋_GB2312"/>
          <w:b/>
          <w:i w:val="0"/>
          <w:caps w:val="0"/>
          <w:color w:val="auto"/>
          <w:spacing w:val="0"/>
          <w:sz w:val="32"/>
          <w:szCs w:val="32"/>
          <w:vertAlign w:val="baseline"/>
          <w:lang w:eastAsia="zh-CN"/>
        </w:rPr>
        <w:t>合规结果运用</w:t>
      </w:r>
    </w:p>
    <w:p w14:paraId="07F23E7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baseline"/>
        <w:rPr>
          <w:rFonts w:hint="default"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十八</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完善信用监管体系，合规治理结果作为信用监管依据。对合规治理水平较高的行业，降低行政检查比例；对合规治理水平较高的经营者，降低行政检查频率。</w:t>
      </w:r>
    </w:p>
    <w:p w14:paraId="78BFAE3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baseline"/>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十九</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对开展预防性合规的经营者，因过失、疏忽等原因仍然发生违法行为的，市场监管局在处罚裁量时应酌情从宽处理，情节显著轻微并及时改正的可以直接不予立案。</w:t>
      </w:r>
    </w:p>
    <w:p w14:paraId="5E9AC12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baseline"/>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二十</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val="en-US" w:eastAsia="zh-CN"/>
        </w:rPr>
        <w:t xml:space="preserve"> 对自愿开展案后合规治理的经营者，市场监管局要坚持教育与处罚相结合、综合裁量、过罚相当的原则，综合考虑违法的性质、当事人的主观过错、危害后果以及合规治理的情况，依法作出最终的裁量决定。合规治理情况作为重要裁量情节考虑，对经营者酌情从宽处理。</w:t>
      </w:r>
    </w:p>
    <w:p w14:paraId="3780B49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baseline"/>
        <w:rPr>
          <w:rFonts w:hint="eastAsia" w:ascii="仿宋_GB2312" w:hAnsi="仿宋_GB2312" w:eastAsia="仿宋_GB2312" w:cs="仿宋_GB2312"/>
          <w:i w:val="0"/>
          <w:caps w:val="0"/>
          <w:color w:val="auto"/>
          <w:spacing w:val="0"/>
          <w:sz w:val="32"/>
          <w:szCs w:val="32"/>
          <w:lang w:eastAsia="zh-CN"/>
        </w:rPr>
      </w:pPr>
      <w:r>
        <w:rPr>
          <w:rStyle w:val="12"/>
          <w:rFonts w:hint="eastAsia" w:ascii="仿宋_GB2312" w:hAnsi="仿宋_GB2312" w:eastAsia="仿宋_GB2312" w:cs="仿宋_GB2312"/>
          <w:b/>
          <w:i w:val="0"/>
          <w:caps w:val="0"/>
          <w:color w:val="auto"/>
          <w:spacing w:val="0"/>
          <w:sz w:val="32"/>
          <w:szCs w:val="32"/>
          <w:vertAlign w:val="baseline"/>
        </w:rPr>
        <w:t>第</w:t>
      </w:r>
      <w:r>
        <w:rPr>
          <w:rStyle w:val="12"/>
          <w:rFonts w:hint="eastAsia" w:ascii="仿宋_GB2312" w:hAnsi="仿宋_GB2312" w:eastAsia="仿宋_GB2312" w:cs="仿宋_GB2312"/>
          <w:b/>
          <w:i w:val="0"/>
          <w:caps w:val="0"/>
          <w:color w:val="auto"/>
          <w:spacing w:val="0"/>
          <w:sz w:val="32"/>
          <w:szCs w:val="32"/>
          <w:vertAlign w:val="baseline"/>
          <w:lang w:eastAsia="zh-CN"/>
        </w:rPr>
        <w:t>七</w:t>
      </w:r>
      <w:r>
        <w:rPr>
          <w:rStyle w:val="12"/>
          <w:rFonts w:hint="eastAsia" w:ascii="仿宋_GB2312" w:hAnsi="仿宋_GB2312" w:eastAsia="仿宋_GB2312" w:cs="仿宋_GB2312"/>
          <w:b/>
          <w:i w:val="0"/>
          <w:caps w:val="0"/>
          <w:color w:val="auto"/>
          <w:spacing w:val="0"/>
          <w:sz w:val="32"/>
          <w:szCs w:val="32"/>
          <w:vertAlign w:val="baseline"/>
        </w:rPr>
        <w:t xml:space="preserve">章 </w:t>
      </w:r>
      <w:r>
        <w:rPr>
          <w:rStyle w:val="12"/>
          <w:rFonts w:hint="eastAsia" w:ascii="仿宋_GB2312" w:hAnsi="仿宋_GB2312" w:eastAsia="仿宋_GB2312" w:cs="仿宋_GB2312"/>
          <w:b/>
          <w:i w:val="0"/>
          <w:caps w:val="0"/>
          <w:color w:val="auto"/>
          <w:spacing w:val="0"/>
          <w:sz w:val="32"/>
          <w:szCs w:val="32"/>
          <w:vertAlign w:val="baseline"/>
          <w:lang w:eastAsia="zh-CN"/>
        </w:rPr>
        <w:t>附则</w:t>
      </w:r>
    </w:p>
    <w:p w14:paraId="38CEA8D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baseline"/>
        <w:rPr>
          <w:rFonts w:hint="eastAsia"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rPr>
        <w:t>第</w:t>
      </w:r>
      <w:r>
        <w:rPr>
          <w:rFonts w:hint="eastAsia" w:ascii="楷体_GB2312" w:hAnsi="楷体_GB2312" w:eastAsia="楷体_GB2312" w:cs="楷体_GB2312"/>
          <w:i w:val="0"/>
          <w:caps w:val="0"/>
          <w:color w:val="auto"/>
          <w:spacing w:val="0"/>
          <w:sz w:val="32"/>
          <w:szCs w:val="32"/>
          <w:vertAlign w:val="baseline"/>
          <w:lang w:eastAsia="zh-CN"/>
        </w:rPr>
        <w:t>二十一</w:t>
      </w:r>
      <w:r>
        <w:rPr>
          <w:rFonts w:hint="eastAsia" w:ascii="楷体_GB2312" w:hAnsi="楷体_GB2312" w:eastAsia="楷体_GB2312" w:cs="楷体_GB2312"/>
          <w:i w:val="0"/>
          <w:caps w:val="0"/>
          <w:color w:val="auto"/>
          <w:spacing w:val="0"/>
          <w:sz w:val="32"/>
          <w:szCs w:val="32"/>
          <w:vertAlign w:val="baseline"/>
        </w:rPr>
        <w:t>条</w:t>
      </w:r>
      <w:r>
        <w:rPr>
          <w:rFonts w:hint="eastAsia" w:ascii="仿宋_GB2312" w:hAnsi="仿宋_GB2312" w:eastAsia="仿宋_GB2312" w:cs="仿宋_GB2312"/>
          <w:i w:val="0"/>
          <w:caps w:val="0"/>
          <w:color w:val="auto"/>
          <w:spacing w:val="0"/>
          <w:sz w:val="32"/>
          <w:szCs w:val="32"/>
          <w:vertAlign w:val="baseline"/>
          <w:lang w:val="en-US" w:eastAsia="zh-CN"/>
        </w:rPr>
        <w:t xml:space="preserve"> 经营者的合规治理，具有复杂性、动态性、长期性的特点，因此在合规指导和合规价值评估过程中要杜绝大跃进、一刀切和虚假合规现象。</w:t>
      </w:r>
    </w:p>
    <w:p w14:paraId="17F2C467">
      <w:pPr>
        <w:pStyle w:val="8"/>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rPr>
          <w:rFonts w:hint="default" w:ascii="仿宋_GB2312" w:hAnsi="仿宋_GB2312" w:eastAsia="仿宋_GB2312" w:cs="仿宋_GB2312"/>
          <w:i w:val="0"/>
          <w:caps w:val="0"/>
          <w:color w:val="auto"/>
          <w:spacing w:val="0"/>
          <w:sz w:val="32"/>
          <w:szCs w:val="32"/>
          <w:vertAlign w:val="baseline"/>
          <w:lang w:val="en-US" w:eastAsia="zh-CN"/>
        </w:rPr>
      </w:pPr>
      <w:r>
        <w:rPr>
          <w:rFonts w:hint="eastAsia" w:ascii="楷体_GB2312" w:hAnsi="楷体_GB2312" w:eastAsia="楷体_GB2312" w:cs="楷体_GB2312"/>
          <w:i w:val="0"/>
          <w:caps w:val="0"/>
          <w:color w:val="auto"/>
          <w:spacing w:val="0"/>
          <w:sz w:val="32"/>
          <w:szCs w:val="32"/>
          <w:vertAlign w:val="baseline"/>
          <w:lang w:val="en-US" w:eastAsia="zh-CN"/>
        </w:rPr>
        <w:t>第二十二条</w:t>
      </w:r>
      <w:r>
        <w:rPr>
          <w:rFonts w:hint="eastAsia" w:ascii="仿宋_GB2312" w:hAnsi="仿宋_GB2312" w:eastAsia="仿宋_GB2312" w:cs="仿宋_GB2312"/>
          <w:i w:val="0"/>
          <w:caps w:val="0"/>
          <w:color w:val="auto"/>
          <w:spacing w:val="0"/>
          <w:sz w:val="32"/>
          <w:szCs w:val="32"/>
          <w:vertAlign w:val="baseline"/>
          <w:lang w:val="en-US" w:eastAsia="zh-CN"/>
        </w:rPr>
        <w:t xml:space="preserve"> 市场监管部门要积极总结合规经验，完善有关制度，加大宣传力度，营造浓厚的合规文化氛围，推动广大经营者参与到合规治理中。</w:t>
      </w:r>
    </w:p>
    <w:p w14:paraId="317FD6BC">
      <w:pPr>
        <w:shd w:val="clear"/>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br w:type="page"/>
      </w:r>
    </w:p>
    <w:p w14:paraId="111DCCEA">
      <w:pPr>
        <w:pStyle w:val="8"/>
        <w:keepNext w:val="0"/>
        <w:keepLines w:val="0"/>
        <w:pageBreakBefore w:val="0"/>
        <w:widowControl/>
        <w:suppressLineNumbers w:val="0"/>
        <w:shd w:val="clear"/>
        <w:kinsoku/>
        <w:overflowPunct/>
        <w:topLinePunct w:val="0"/>
        <w:bidi w:val="0"/>
        <w:spacing w:before="0" w:beforeAutospacing="0" w:after="0" w:afterAutospacing="0" w:line="240" w:lineRule="auto"/>
        <w:ind w:left="0" w:leftChars="0" w:right="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附件2</w:t>
      </w:r>
    </w:p>
    <w:p w14:paraId="1302FA73">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hint="eastAsia" w:ascii="黑体" w:hAnsi="宋体" w:eastAsia="黑体" w:cs="FZXBSK--GBK1-0"/>
          <w:sz w:val="44"/>
          <w:szCs w:val="44"/>
          <w:lang w:eastAsia="zh-CN"/>
        </w:rPr>
      </w:pPr>
      <w:r>
        <w:rPr>
          <w:rFonts w:hint="eastAsia" w:ascii="黑体" w:hAnsi="宋体" w:eastAsia="黑体" w:cs="FZXBSK--GBK1-0"/>
          <w:sz w:val="44"/>
          <w:szCs w:val="44"/>
          <w:lang w:eastAsia="zh-CN"/>
        </w:rPr>
        <w:t>兰溪市市场监督管理局</w:t>
      </w:r>
    </w:p>
    <w:p w14:paraId="0C5C1DFF">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44"/>
          <w:szCs w:val="44"/>
          <w:lang w:eastAsia="zh-CN"/>
        </w:rPr>
      </w:pPr>
      <w:r>
        <w:rPr>
          <w:rFonts w:hint="eastAsia" w:ascii="黑体" w:hAnsi="宋体" w:eastAsia="黑体" w:cs="FZXBSK--GBK1-0"/>
          <w:sz w:val="44"/>
          <w:szCs w:val="44"/>
          <w:lang w:eastAsia="zh-CN"/>
        </w:rPr>
        <w:t>“合规体检”建议书</w:t>
      </w:r>
    </w:p>
    <w:p w14:paraId="47643550">
      <w:pPr>
        <w:keepNext w:val="0"/>
        <w:keepLines w:val="0"/>
        <w:pageBreakBefore w:val="0"/>
        <w:shd w:val="clear"/>
        <w:tabs>
          <w:tab w:val="left" w:pos="420"/>
          <w:tab w:val="left" w:pos="840"/>
          <w:tab w:val="left" w:pos="1260"/>
          <w:tab w:val="left" w:pos="1680"/>
          <w:tab w:val="left" w:pos="2100"/>
          <w:tab w:val="left" w:pos="2520"/>
          <w:tab w:val="left" w:pos="2940"/>
          <w:tab w:val="left" w:pos="3390"/>
        </w:tabs>
        <w:kinsoku/>
        <w:overflowPunct/>
        <w:topLinePunct w:val="0"/>
        <w:autoSpaceDE w:val="0"/>
        <w:autoSpaceDN w:val="0"/>
        <w:bidi w:val="0"/>
        <w:adjustRightInd w:val="0"/>
        <w:spacing w:beforeAutospacing="0" w:afterAutospacing="0" w:line="240" w:lineRule="auto"/>
        <w:ind w:left="0" w:leftChars="0"/>
        <w:jc w:val="center"/>
        <w:rPr>
          <w:rFonts w:ascii="仿宋_GB2312" w:hAnsi="宋体" w:eastAsia="仿宋_GB2312" w:cs="Microsoft JhengHei"/>
          <w:color w:val="231F20"/>
          <w:position w:val="2"/>
          <w:sz w:val="32"/>
          <w:szCs w:val="32"/>
          <w:lang w:eastAsia="zh-CN"/>
        </w:rPr>
      </w:pPr>
      <w:r>
        <w:rPr>
          <w:rFonts w:hint="eastAsia" w:ascii="仿宋_GB2312" w:hAnsi="宋体" w:eastAsia="仿宋_GB2312" w:cs="Microsoft JhengHei"/>
          <w:color w:val="231F20"/>
          <w:position w:val="2"/>
          <w:sz w:val="32"/>
          <w:szCs w:val="32"/>
          <w:lang w:eastAsia="zh-CN"/>
        </w:rPr>
        <w:t>兰市监行合建〔</w:t>
      </w:r>
      <w:r>
        <w:rPr>
          <w:rFonts w:ascii="仿宋_GB2312" w:hAnsi="宋体" w:eastAsia="仿宋_GB2312" w:cs="Microsoft JhengHei"/>
          <w:color w:val="231F20"/>
          <w:position w:val="2"/>
          <w:sz w:val="32"/>
          <w:szCs w:val="32"/>
          <w:lang w:eastAsia="zh-CN"/>
        </w:rPr>
        <w:tab/>
      </w:r>
      <w:r>
        <w:rPr>
          <w:rFonts w:hint="eastAsia" w:ascii="仿宋_GB2312" w:hAnsi="宋体" w:eastAsia="仿宋_GB2312" w:cs="Microsoft JhengHei"/>
          <w:color w:val="231F20"/>
          <w:position w:val="2"/>
          <w:sz w:val="32"/>
          <w:szCs w:val="32"/>
          <w:lang w:val="en-US" w:eastAsia="zh-CN"/>
        </w:rPr>
        <w:t xml:space="preserve"> </w:t>
      </w:r>
      <w:r>
        <w:rPr>
          <w:rFonts w:hint="eastAsia" w:ascii="仿宋_GB2312" w:hAnsi="宋体" w:eastAsia="仿宋_GB2312" w:cs="Microsoft JhengHei"/>
          <w:color w:val="231F20"/>
          <w:position w:val="2"/>
          <w:sz w:val="32"/>
          <w:szCs w:val="32"/>
          <w:lang w:eastAsia="zh-CN"/>
        </w:rPr>
        <w:t>〕</w:t>
      </w:r>
      <w:r>
        <w:rPr>
          <w:rFonts w:hint="eastAsia" w:ascii="仿宋_GB2312" w:hAnsi="宋体" w:eastAsia="仿宋_GB2312" w:cs="Microsoft JhengHei"/>
          <w:color w:val="231F20"/>
          <w:position w:val="2"/>
          <w:sz w:val="32"/>
          <w:szCs w:val="32"/>
          <w:lang w:val="en-US" w:eastAsia="zh-CN"/>
        </w:rPr>
        <w:t xml:space="preserve">  </w:t>
      </w:r>
      <w:r>
        <w:rPr>
          <w:rFonts w:ascii="仿宋_GB2312" w:hAnsi="宋体" w:eastAsia="仿宋_GB2312" w:cs="Microsoft JhengHei"/>
          <w:color w:val="231F20"/>
          <w:position w:val="2"/>
          <w:sz w:val="32"/>
          <w:szCs w:val="32"/>
          <w:lang w:eastAsia="zh-CN"/>
        </w:rPr>
        <w:tab/>
      </w:r>
      <w:r>
        <w:rPr>
          <w:rFonts w:hint="eastAsia" w:ascii="仿宋_GB2312" w:hAnsi="宋体" w:eastAsia="仿宋_GB2312" w:cs="Microsoft JhengHei"/>
          <w:color w:val="231F20"/>
          <w:position w:val="2"/>
          <w:sz w:val="32"/>
          <w:szCs w:val="32"/>
          <w:lang w:eastAsia="zh-CN"/>
        </w:rPr>
        <w:t>号</w:t>
      </w:r>
    </w:p>
    <w:p w14:paraId="34CD4A41">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ascii="仿宋_GB2312" w:hAnsi="宋体" w:eastAsia="仿宋_GB2312" w:cs="FZFSK--GBK1-0"/>
          <w:sz w:val="32"/>
          <w:szCs w:val="32"/>
          <w:lang w:eastAsia="zh-CN"/>
        </w:rPr>
      </w:pP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w:t>
      </w:r>
    </w:p>
    <w:p w14:paraId="1698121D">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ascii="仿宋_GB2312" w:hAnsi="宋体" w:eastAsia="仿宋_GB2312" w:cs="FZFSK--GBK1-0"/>
          <w:sz w:val="32"/>
          <w:szCs w:val="32"/>
          <w:u w:val="none"/>
          <w:lang w:eastAsia="zh-CN"/>
        </w:rPr>
      </w:pPr>
      <w:r>
        <w:rPr>
          <w:rFonts w:hint="eastAsia" w:ascii="仿宋_GB2312" w:hAnsi="宋体" w:eastAsia="仿宋_GB2312" w:cs="FZFSK--GBK1-0"/>
          <w:sz w:val="32"/>
          <w:szCs w:val="32"/>
          <w:lang w:eastAsia="zh-CN"/>
        </w:rPr>
        <w:t>你（单位）于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日向本局提出“</w:t>
      </w:r>
      <w:r>
        <w:rPr>
          <w:rFonts w:hint="eastAsia" w:ascii="仿宋_GB2312" w:hAnsi="宋体" w:eastAsia="仿宋_GB2312" w:cs="FZFSK--GBK1-0"/>
          <w:sz w:val="32"/>
          <w:szCs w:val="32"/>
          <w:u w:val="none"/>
          <w:lang w:eastAsia="zh-CN"/>
        </w:rPr>
        <w:t>合规体检</w:t>
      </w:r>
      <w:r>
        <w:rPr>
          <w:rFonts w:hint="eastAsia" w:ascii="仿宋_GB2312" w:hAnsi="宋体" w:eastAsia="仿宋_GB2312" w:cs="FZFSK--GBK1-0"/>
          <w:sz w:val="32"/>
          <w:szCs w:val="32"/>
          <w:lang w:eastAsia="zh-CN"/>
        </w:rPr>
        <w:t>”</w:t>
      </w:r>
      <w:r>
        <w:rPr>
          <w:rFonts w:hint="eastAsia" w:ascii="仿宋_GB2312" w:hAnsi="宋体" w:eastAsia="仿宋_GB2312" w:cs="FZFSK--GBK1-0"/>
          <w:sz w:val="32"/>
          <w:szCs w:val="32"/>
          <w:u w:val="none"/>
          <w:lang w:eastAsia="zh-CN"/>
        </w:rPr>
        <w:t>的申请。</w:t>
      </w:r>
    </w:p>
    <w:p w14:paraId="0956A5AB">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依据《兰溪市市场监督管理局 兰溪市人民检察院 兰溪市司法局关于在市场监管领域实施“普惠制合规”制度的指导意见》的有关规定，结合你（单位）实际，特提出以下建议。</w:t>
      </w:r>
    </w:p>
    <w:p w14:paraId="04FB0EE9">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24" w:firstLineChars="200"/>
        <w:jc w:val="left"/>
        <w:textAlignment w:val="auto"/>
        <w:outlineLvl w:val="9"/>
        <w:rPr>
          <w:rFonts w:hint="eastAsia" w:ascii="仿宋_GB2312" w:hAnsi="宋体" w:eastAsia="仿宋_GB2312" w:cs="FZFSK--GBK1-0"/>
          <w:sz w:val="32"/>
          <w:szCs w:val="32"/>
          <w:u w:val="single"/>
          <w:lang w:val="en-US" w:eastAsia="zh-CN"/>
        </w:rPr>
      </w:pPr>
      <w:r>
        <w:rPr>
          <w:rFonts w:hint="eastAsia" w:ascii="Times New Roman" w:hAnsi="Times New Roman" w:eastAsia="仿宋_GB2312" w:cs="Times New Roman"/>
          <w:color w:val="000000"/>
          <w:spacing w:val="-4"/>
          <w:kern w:val="0"/>
          <w:sz w:val="32"/>
          <w:szCs w:val="32"/>
          <w:u w:val="single"/>
          <w:lang w:val="en-US" w:eastAsia="zh-CN"/>
        </w:rPr>
        <w:t xml:space="preserve">                                                  </w:t>
      </w:r>
    </w:p>
    <w:p w14:paraId="26971AE0">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24"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Times New Roman" w:hAnsi="Times New Roman" w:eastAsia="仿宋_GB2312" w:cs="Times New Roman"/>
          <w:color w:val="000000"/>
          <w:spacing w:val="-4"/>
          <w:kern w:val="0"/>
          <w:sz w:val="32"/>
          <w:szCs w:val="32"/>
          <w:u w:val="single"/>
          <w:lang w:val="en-US" w:eastAsia="zh-CN"/>
        </w:rPr>
        <w:t xml:space="preserve">                                                  </w:t>
      </w:r>
    </w:p>
    <w:p w14:paraId="2D5D83B6">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single"/>
          <w:lang w:val="en-US" w:eastAsia="zh-CN"/>
        </w:rPr>
        <w:t xml:space="preserve">                                               </w:t>
      </w:r>
    </w:p>
    <w:p w14:paraId="3BE26DC3">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single"/>
          <w:lang w:val="en-US" w:eastAsia="zh-CN"/>
        </w:rPr>
        <w:t xml:space="preserve">                                               </w:t>
      </w:r>
    </w:p>
    <w:p w14:paraId="69260B33">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single"/>
          <w:lang w:val="en-US" w:eastAsia="zh-CN"/>
        </w:rPr>
        <w:t xml:space="preserve">                                               </w:t>
      </w:r>
    </w:p>
    <w:p w14:paraId="6C10A5F4">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上述建议供你（单位）开展合规治理时作为参考，如有不妥或不明之处，还请及时与合规指导人员联系。</w:t>
      </w:r>
    </w:p>
    <w:p w14:paraId="6EAA4C65">
      <w:pPr>
        <w:pStyle w:val="2"/>
        <w:keepNext w:val="0"/>
        <w:keepLines w:val="0"/>
        <w:pageBreakBefore w:val="0"/>
        <w:widowControl w:val="0"/>
        <w:shd w:val="clear"/>
        <w:kinsoku/>
        <w:overflowPunct/>
        <w:topLinePunct w:val="0"/>
        <w:bidi w:val="0"/>
        <w:snapToGrid/>
        <w:spacing w:beforeAutospacing="0" w:afterAutospacing="0" w:line="240" w:lineRule="auto"/>
        <w:ind w:left="0" w:leftChars="0"/>
        <w:textAlignment w:val="auto"/>
        <w:rPr>
          <w:rFonts w:hint="eastAsia" w:ascii="仿宋_GB2312" w:hAnsi="宋体" w:eastAsia="仿宋_GB2312"/>
          <w:sz w:val="32"/>
          <w:szCs w:val="32"/>
          <w:lang w:eastAsia="zh-CN"/>
        </w:rPr>
      </w:pPr>
    </w:p>
    <w:p w14:paraId="4A40313B">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hint="eastAsia" w:ascii="仿宋_GB2312" w:hAnsi="宋体" w:eastAsia="仿宋_GB2312"/>
          <w:sz w:val="32"/>
          <w:szCs w:val="32"/>
          <w:lang w:eastAsia="zh-CN"/>
        </w:rPr>
      </w:pPr>
    </w:p>
    <w:p w14:paraId="4576E286">
      <w:pPr>
        <w:keepNext w:val="0"/>
        <w:keepLines w:val="0"/>
        <w:pageBreakBefore w:val="0"/>
        <w:widowControl w:val="0"/>
        <w:shd w:val="clear"/>
        <w:kinsoku/>
        <w:wordWrap/>
        <w:overflowPunct/>
        <w:topLinePunct w:val="0"/>
        <w:bidi w:val="0"/>
        <w:snapToGrid/>
        <w:spacing w:beforeAutospacing="0" w:afterAutospacing="0" w:line="240" w:lineRule="auto"/>
        <w:ind w:left="0" w:leftChars="0"/>
        <w:jc w:val="both"/>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 xml:space="preserve">                  </w:t>
      </w:r>
      <w:r>
        <w:rPr>
          <w:rFonts w:hint="eastAsia" w:ascii="仿宋_GB2312" w:hAnsi="宋体" w:eastAsia="仿宋_GB2312" w:cs="Microsoft JhengHei"/>
          <w:color w:val="231F20"/>
          <w:sz w:val="32"/>
          <w:szCs w:val="32"/>
          <w:lang w:val="en-US" w:eastAsia="zh-CN"/>
        </w:rPr>
        <w:t xml:space="preserve">       </w:t>
      </w:r>
      <w:r>
        <w:rPr>
          <w:rFonts w:hint="eastAsia" w:ascii="仿宋_GB2312" w:hAnsi="宋体" w:eastAsia="仿宋_GB2312" w:cs="Microsoft JhengHei"/>
          <w:color w:val="231F20"/>
          <w:sz w:val="32"/>
          <w:szCs w:val="32"/>
          <w:lang w:eastAsia="zh-CN"/>
        </w:rPr>
        <w:t xml:space="preserve"> </w:t>
      </w:r>
      <w:r>
        <w:rPr>
          <w:rFonts w:hint="eastAsia" w:ascii="仿宋_GB2312" w:hAnsi="宋体" w:eastAsia="仿宋_GB2312" w:cs="Microsoft JhengHei"/>
          <w:color w:val="231F20"/>
          <w:sz w:val="32"/>
          <w:szCs w:val="32"/>
          <w:lang w:val="en-US" w:eastAsia="zh-CN"/>
        </w:rPr>
        <w:t xml:space="preserve">  </w:t>
      </w:r>
      <w:r>
        <w:rPr>
          <w:rFonts w:hint="eastAsia" w:ascii="仿宋_GB2312" w:hAnsi="宋体" w:eastAsia="仿宋_GB2312" w:cs="Microsoft JhengHei"/>
          <w:color w:val="231F20"/>
          <w:sz w:val="32"/>
          <w:szCs w:val="32"/>
          <w:lang w:eastAsia="zh-CN"/>
        </w:rPr>
        <w:t>兰溪市市场监督管理局</w:t>
      </w:r>
    </w:p>
    <w:p w14:paraId="7A57F315">
      <w:pPr>
        <w:keepNext w:val="0"/>
        <w:keepLines w:val="0"/>
        <w:pageBreakBefore w:val="0"/>
        <w:widowControl w:val="0"/>
        <w:shd w:val="clear"/>
        <w:kinsoku/>
        <w:wordWrap w:val="0"/>
        <w:overflowPunct/>
        <w:topLinePunct w:val="0"/>
        <w:bidi w:val="0"/>
        <w:snapToGrid/>
        <w:spacing w:beforeAutospacing="0" w:afterAutospacing="0" w:line="240" w:lineRule="auto"/>
        <w:ind w:left="0" w:leftChars="0" w:firstLine="5120" w:firstLineChars="1600"/>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年    月    日</w:t>
      </w:r>
      <w:r>
        <w:rPr>
          <w:rFonts w:hint="eastAsia" w:ascii="仿宋_GB2312" w:hAnsi="宋体" w:eastAsia="仿宋_GB2312" w:cs="Microsoft JhengHei"/>
          <w:color w:val="231F20"/>
          <w:sz w:val="32"/>
          <w:szCs w:val="32"/>
          <w:lang w:val="en-US" w:eastAsia="zh-CN"/>
        </w:rPr>
        <w:t xml:space="preserve"> </w:t>
      </w:r>
    </w:p>
    <w:p w14:paraId="093DF1D3">
      <w:pPr>
        <w:pStyle w:val="2"/>
        <w:keepNext w:val="0"/>
        <w:keepLines w:val="0"/>
        <w:pageBreakBefore w:val="0"/>
        <w:shd w:val="clear"/>
        <w:kinsoku/>
        <w:overflowPunct/>
        <w:topLinePunct w:val="0"/>
        <w:bidi w:val="0"/>
        <w:spacing w:beforeAutospacing="0" w:afterAutospacing="0" w:line="240" w:lineRule="auto"/>
        <w:ind w:left="0" w:leftChars="0"/>
        <w:rPr>
          <w:rFonts w:hint="eastAsia" w:ascii="仿宋_GB2312" w:hAnsi="宋体" w:eastAsia="仿宋_GB2312" w:cs="Microsoft JhengHei"/>
          <w:color w:val="231F20"/>
          <w:sz w:val="32"/>
          <w:szCs w:val="32"/>
          <w:lang w:eastAsia="zh-CN"/>
        </w:rPr>
      </w:pPr>
    </w:p>
    <w:p w14:paraId="0FEF8873">
      <w:pPr>
        <w:pStyle w:val="2"/>
        <w:keepNext w:val="0"/>
        <w:keepLines w:val="0"/>
        <w:pageBreakBefore w:val="0"/>
        <w:shd w:val="clear"/>
        <w:kinsoku/>
        <w:overflowPunct/>
        <w:topLinePunct w:val="0"/>
        <w:bidi w:val="0"/>
        <w:spacing w:beforeAutospacing="0" w:afterAutospacing="0" w:line="240" w:lineRule="auto"/>
        <w:ind w:left="0" w:leftChars="0"/>
        <w:rPr>
          <w:rFonts w:hint="default" w:ascii="仿宋_GB2312" w:hAnsi="宋体" w:eastAsia="仿宋_GB2312" w:cs="Microsoft JhengHei"/>
          <w:color w:val="231F20"/>
          <w:sz w:val="32"/>
          <w:szCs w:val="32"/>
          <w:lang w:val="en-US" w:eastAsia="zh-CN"/>
        </w:rPr>
      </w:pPr>
      <w:r>
        <w:rPr>
          <w:rFonts w:hint="eastAsia" w:ascii="仿宋_GB2312" w:hAnsi="宋体" w:eastAsia="仿宋_GB2312" w:cs="Microsoft JhengHei"/>
          <w:color w:val="231F20"/>
          <w:sz w:val="32"/>
          <w:szCs w:val="32"/>
          <w:lang w:eastAsia="zh-CN"/>
        </w:rPr>
        <w:t>收件人：</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eastAsia="zh-CN"/>
        </w:rPr>
        <w:t>收件日期：</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年</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月</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日</w:t>
      </w:r>
    </w:p>
    <w:p w14:paraId="778B4C5E">
      <w:pPr>
        <w:rPr>
          <w:rFonts w:hint="eastAsia" w:ascii="黑体" w:hAnsi="宋体" w:eastAsia="黑体" w:cs="FZXBSK--GBK1-0"/>
          <w:sz w:val="52"/>
          <w:szCs w:val="52"/>
          <w:lang w:eastAsia="zh-CN"/>
        </w:rPr>
      </w:pPr>
      <w:r>
        <w:rPr>
          <w:rFonts w:hint="eastAsia" w:ascii="黑体" w:hAnsi="宋体" w:eastAsia="黑体" w:cs="FZXBSK--GBK1-0"/>
          <w:sz w:val="52"/>
          <w:szCs w:val="52"/>
          <w:lang w:eastAsia="zh-CN"/>
        </w:rPr>
        <w:br w:type="page"/>
      </w:r>
    </w:p>
    <w:p w14:paraId="4EAE21B3">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52"/>
          <w:szCs w:val="52"/>
          <w:lang w:eastAsia="zh-CN"/>
        </w:rPr>
      </w:pPr>
      <w:r>
        <w:rPr>
          <w:rFonts w:hint="eastAsia" w:ascii="黑体" w:hAnsi="宋体" w:eastAsia="黑体" w:cs="FZXBSK--GBK1-0"/>
          <w:sz w:val="52"/>
          <w:szCs w:val="52"/>
          <w:lang w:eastAsia="zh-CN"/>
        </w:rPr>
        <w:t>合规体检报告</w:t>
      </w:r>
    </w:p>
    <w:p w14:paraId="6426A306">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p>
    <w:p w14:paraId="5EC5DAF1">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val="en-US" w:eastAsia="zh-CN"/>
        </w:rPr>
        <w:t>**单位</w:t>
      </w:r>
      <w:r>
        <w:rPr>
          <w:rFonts w:hint="eastAsia" w:ascii="仿宋_GB2312" w:hAnsi="宋体" w:eastAsia="仿宋_GB2312" w:cs="FZFSK--GBK1-0"/>
          <w:sz w:val="32"/>
          <w:szCs w:val="32"/>
          <w:lang w:eastAsia="zh-CN"/>
        </w:rPr>
        <w:t>：</w:t>
      </w:r>
    </w:p>
    <w:p w14:paraId="1CE58D9E">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你（单位）于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日向我局提出了</w:t>
      </w:r>
      <w:r>
        <w:rPr>
          <w:rFonts w:hint="eastAsia" w:ascii="仿宋_GB2312" w:hAnsi="宋体" w:eastAsia="仿宋_GB2312" w:cs="FZFSK--GBK1-0"/>
          <w:sz w:val="32"/>
          <w:szCs w:val="32"/>
          <w:u w:val="none"/>
          <w:lang w:eastAsia="zh-CN"/>
        </w:rPr>
        <w:t>合规体检的申请。在我局的行政合规指导下，你（单位）采取多种途径开展了合规建设。</w:t>
      </w:r>
    </w:p>
    <w:p w14:paraId="472BF6F4">
      <w:pPr>
        <w:pStyle w:val="2"/>
        <w:keepNext w:val="0"/>
        <w:keepLines w:val="0"/>
        <w:pageBreakBefore w:val="0"/>
        <w:widowControl w:val="0"/>
        <w:numPr>
          <w:ilvl w:val="0"/>
          <w:numId w:val="6"/>
        </w:numPr>
        <w:shd w:val="clear"/>
        <w:kinsoku/>
        <w:overflowPunct/>
        <w:topLinePunct w:val="0"/>
        <w:bidi w:val="0"/>
        <w:snapToGrid/>
        <w:spacing w:beforeAutospacing="0" w:afterAutospacing="0" w:line="240" w:lineRule="auto"/>
        <w:ind w:left="0" w:leftChars="0" w:firstLine="643" w:firstLineChars="200"/>
        <w:textAlignment w:val="auto"/>
        <w:rPr>
          <w:rFonts w:hint="eastAsia" w:ascii="仿宋_GB2312" w:hAnsi="宋体" w:eastAsia="仿宋_GB2312" w:cs="FZFSK--GBK1-0"/>
          <w:b/>
          <w:bCs/>
          <w:sz w:val="32"/>
          <w:szCs w:val="32"/>
          <w:lang w:val="en-US" w:eastAsia="zh-CN"/>
        </w:rPr>
      </w:pPr>
      <w:r>
        <w:rPr>
          <w:rFonts w:hint="eastAsia" w:ascii="仿宋_GB2312" w:hAnsi="宋体" w:eastAsia="仿宋_GB2312" w:cs="FZFSK--GBK1-0"/>
          <w:b/>
          <w:bCs/>
          <w:sz w:val="32"/>
          <w:szCs w:val="32"/>
          <w:lang w:val="en-US" w:eastAsia="zh-CN"/>
        </w:rPr>
        <w:t>你（单位）存在的主要不足及原因分析</w:t>
      </w:r>
    </w:p>
    <w:p w14:paraId="27252B1B">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lang w:val="en-US" w:eastAsia="zh-CN"/>
        </w:rPr>
      </w:pPr>
      <w:r>
        <w:rPr>
          <w:rFonts w:hint="eastAsia" w:ascii="仿宋_GB2312" w:hAnsi="宋体" w:eastAsia="仿宋_GB2312" w:cs="FZFSK--GBK1-0"/>
          <w:sz w:val="32"/>
          <w:szCs w:val="32"/>
          <w:lang w:val="en-US" w:eastAsia="zh-CN"/>
        </w:rPr>
        <w:t>*******</w:t>
      </w:r>
    </w:p>
    <w:p w14:paraId="4789161E">
      <w:pPr>
        <w:pStyle w:val="2"/>
        <w:keepNext w:val="0"/>
        <w:keepLines w:val="0"/>
        <w:pageBreakBefore w:val="0"/>
        <w:widowControl w:val="0"/>
        <w:numPr>
          <w:ilvl w:val="0"/>
          <w:numId w:val="6"/>
        </w:numPr>
        <w:shd w:val="clear"/>
        <w:kinsoku/>
        <w:overflowPunct/>
        <w:topLinePunct w:val="0"/>
        <w:bidi w:val="0"/>
        <w:snapToGrid/>
        <w:spacing w:beforeAutospacing="0" w:afterAutospacing="0" w:line="240" w:lineRule="auto"/>
        <w:ind w:left="0" w:leftChars="0" w:firstLine="643" w:firstLineChars="200"/>
        <w:textAlignment w:val="auto"/>
        <w:rPr>
          <w:rFonts w:hint="default" w:ascii="仿宋_GB2312" w:hAnsi="宋体" w:eastAsia="仿宋_GB2312" w:cs="FZFSK--GBK1-0"/>
          <w:b/>
          <w:bCs/>
          <w:sz w:val="32"/>
          <w:szCs w:val="32"/>
          <w:lang w:val="en-US" w:eastAsia="zh-CN"/>
        </w:rPr>
      </w:pPr>
      <w:r>
        <w:rPr>
          <w:rFonts w:hint="eastAsia" w:ascii="仿宋_GB2312" w:hAnsi="宋体" w:eastAsia="仿宋_GB2312" w:cs="FZFSK--GBK1-0"/>
          <w:b/>
          <w:bCs/>
          <w:sz w:val="32"/>
          <w:szCs w:val="32"/>
          <w:lang w:val="en-US" w:eastAsia="zh-CN"/>
        </w:rPr>
        <w:t>合规建设中采取的主要措施及成效</w:t>
      </w:r>
    </w:p>
    <w:p w14:paraId="61B0AAFB">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b/>
          <w:bCs/>
          <w:sz w:val="32"/>
          <w:szCs w:val="32"/>
          <w:lang w:val="en-US" w:eastAsia="zh-CN"/>
        </w:rPr>
      </w:pPr>
      <w:r>
        <w:rPr>
          <w:rFonts w:hint="eastAsia" w:ascii="仿宋_GB2312" w:hAnsi="宋体" w:eastAsia="仿宋_GB2312" w:cs="FZFSK--GBK1-0"/>
          <w:sz w:val="32"/>
          <w:szCs w:val="32"/>
          <w:lang w:val="en-US" w:eastAsia="zh-CN"/>
        </w:rPr>
        <w:t>*******</w:t>
      </w:r>
    </w:p>
    <w:p w14:paraId="4D31713E">
      <w:pPr>
        <w:pStyle w:val="2"/>
        <w:keepNext w:val="0"/>
        <w:keepLines w:val="0"/>
        <w:pageBreakBefore w:val="0"/>
        <w:widowControl w:val="0"/>
        <w:numPr>
          <w:ilvl w:val="0"/>
          <w:numId w:val="6"/>
        </w:numPr>
        <w:shd w:val="clear"/>
        <w:kinsoku/>
        <w:overflowPunct/>
        <w:topLinePunct w:val="0"/>
        <w:bidi w:val="0"/>
        <w:snapToGrid/>
        <w:spacing w:beforeAutospacing="0" w:afterAutospacing="0" w:line="240" w:lineRule="auto"/>
        <w:ind w:left="0" w:leftChars="0" w:firstLine="643" w:firstLineChars="200"/>
        <w:textAlignment w:val="auto"/>
        <w:rPr>
          <w:rFonts w:hint="default" w:ascii="仿宋_GB2312" w:hAnsi="宋体" w:eastAsia="仿宋_GB2312" w:cs="FZFSK--GBK1-0"/>
          <w:b/>
          <w:bCs/>
          <w:sz w:val="32"/>
          <w:szCs w:val="32"/>
          <w:lang w:val="en-US" w:eastAsia="zh-CN"/>
        </w:rPr>
      </w:pPr>
      <w:r>
        <w:rPr>
          <w:rFonts w:hint="eastAsia" w:ascii="仿宋_GB2312" w:hAnsi="宋体" w:eastAsia="仿宋_GB2312" w:cs="FZFSK--GBK1-0"/>
          <w:b/>
          <w:bCs/>
          <w:sz w:val="32"/>
          <w:szCs w:val="32"/>
          <w:lang w:val="en-US" w:eastAsia="zh-CN"/>
        </w:rPr>
        <w:t>合规工作的不足及今后的合规治理建议</w:t>
      </w:r>
    </w:p>
    <w:p w14:paraId="15A40565">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lang w:val="en-US" w:eastAsia="zh-CN"/>
        </w:rPr>
      </w:pPr>
      <w:r>
        <w:rPr>
          <w:rFonts w:hint="eastAsia" w:ascii="仿宋_GB2312" w:hAnsi="宋体" w:eastAsia="仿宋_GB2312" w:cs="FZFSK--GBK1-0"/>
          <w:sz w:val="32"/>
          <w:szCs w:val="32"/>
          <w:lang w:val="en-US" w:eastAsia="zh-CN"/>
        </w:rPr>
        <w:t>***********</w:t>
      </w:r>
    </w:p>
    <w:p w14:paraId="380871DA">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以上建议不具有强制性，仅供参考。如有异议或不明之处，请与我们联系。</w:t>
      </w:r>
    </w:p>
    <w:p w14:paraId="1513E963">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u w:val="single"/>
          <w:lang w:val="en-US" w:eastAsia="zh-CN"/>
        </w:rPr>
      </w:pPr>
      <w:r>
        <w:rPr>
          <w:rFonts w:hint="eastAsia" w:ascii="仿宋_GB2312" w:hAnsi="宋体" w:eastAsia="仿宋_GB2312" w:cs="FZFSK--GBK1-0"/>
          <w:sz w:val="32"/>
          <w:szCs w:val="32"/>
          <w:u w:val="none"/>
          <w:lang w:val="en-US" w:eastAsia="zh-CN"/>
        </w:rPr>
        <w:t xml:space="preserve">                  </w:t>
      </w:r>
    </w:p>
    <w:p w14:paraId="69FA9384">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 xml:space="preserve">                     </w:t>
      </w:r>
    </w:p>
    <w:p w14:paraId="477052C8">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 xml:space="preserve">                     合规指导人员：</w:t>
      </w:r>
    </w:p>
    <w:p w14:paraId="698B4CB5">
      <w:pPr>
        <w:pStyle w:val="8"/>
        <w:keepNext w:val="0"/>
        <w:keepLines w:val="0"/>
        <w:pageBreakBefore w:val="0"/>
        <w:widowControl/>
        <w:suppressLineNumbers w:val="0"/>
        <w:shd w:val="clear"/>
        <w:kinsoku/>
        <w:overflowPunct/>
        <w:topLinePunct w:val="0"/>
        <w:bidi w:val="0"/>
        <w:spacing w:before="0" w:beforeAutospacing="0" w:after="0" w:afterAutospacing="0" w:line="240" w:lineRule="auto"/>
        <w:ind w:left="0" w:leftChars="0" w:right="0"/>
        <w:jc w:val="center"/>
        <w:rPr>
          <w:rFonts w:hint="eastAsia" w:ascii="黑体" w:hAnsi="黑体" w:eastAsia="黑体" w:cs="黑体"/>
          <w:sz w:val="44"/>
          <w:szCs w:val="44"/>
          <w:lang w:val="en-US" w:eastAsia="zh-CN"/>
        </w:rPr>
      </w:pPr>
      <w:r>
        <w:rPr>
          <w:rFonts w:hint="eastAsia" w:ascii="仿宋_GB2312" w:hAnsi="宋体" w:eastAsia="仿宋_GB2312" w:cs="FZFSK--GBK1-0"/>
          <w:sz w:val="32"/>
          <w:szCs w:val="32"/>
          <w:u w:val="none"/>
          <w:lang w:val="en-US" w:eastAsia="zh-CN"/>
        </w:rPr>
        <w:t xml:space="preserve">                         年   月   日         </w:t>
      </w:r>
    </w:p>
    <w:p w14:paraId="7B0A9DA4">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44"/>
          <w:szCs w:val="44"/>
          <w:lang w:eastAsia="zh-CN"/>
        </w:rPr>
      </w:pPr>
      <w:r>
        <w:rPr>
          <w:rFonts w:hint="eastAsia" w:ascii="黑体" w:hAnsi="宋体" w:eastAsia="黑体" w:cs="FZXBSK--GBK1-0"/>
          <w:sz w:val="44"/>
          <w:szCs w:val="44"/>
          <w:lang w:eastAsia="zh-CN"/>
        </w:rPr>
        <w:t>兰溪市市场监督管理局</w:t>
      </w:r>
    </w:p>
    <w:p w14:paraId="429AF97A">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44"/>
          <w:szCs w:val="44"/>
          <w:lang w:eastAsia="zh-CN"/>
        </w:rPr>
      </w:pPr>
      <w:r>
        <w:rPr>
          <w:rFonts w:hint="eastAsia" w:ascii="黑体" w:hAnsi="宋体" w:eastAsia="黑体" w:cs="FZXBSK--GBK1-0"/>
          <w:sz w:val="44"/>
          <w:szCs w:val="44"/>
          <w:lang w:eastAsia="zh-CN"/>
        </w:rPr>
        <w:t>“合规治理从宽”告知书</w:t>
      </w:r>
    </w:p>
    <w:p w14:paraId="48C3398B">
      <w:pPr>
        <w:keepNext w:val="0"/>
        <w:keepLines w:val="0"/>
        <w:pageBreakBefore w:val="0"/>
        <w:shd w:val="clear"/>
        <w:tabs>
          <w:tab w:val="left" w:pos="420"/>
          <w:tab w:val="left" w:pos="840"/>
          <w:tab w:val="left" w:pos="1260"/>
          <w:tab w:val="left" w:pos="1680"/>
          <w:tab w:val="left" w:pos="2100"/>
          <w:tab w:val="left" w:pos="2520"/>
          <w:tab w:val="left" w:pos="2940"/>
          <w:tab w:val="left" w:pos="3390"/>
        </w:tabs>
        <w:kinsoku/>
        <w:overflowPunct/>
        <w:topLinePunct w:val="0"/>
        <w:autoSpaceDE w:val="0"/>
        <w:autoSpaceDN w:val="0"/>
        <w:bidi w:val="0"/>
        <w:adjustRightInd w:val="0"/>
        <w:spacing w:beforeAutospacing="0" w:afterAutospacing="0" w:line="240" w:lineRule="auto"/>
        <w:ind w:left="0" w:leftChars="0"/>
        <w:jc w:val="center"/>
        <w:rPr>
          <w:rFonts w:ascii="仿宋_GB2312" w:hAnsi="宋体" w:eastAsia="仿宋_GB2312" w:cs="Microsoft JhengHei"/>
          <w:color w:val="231F20"/>
          <w:position w:val="2"/>
          <w:sz w:val="32"/>
          <w:szCs w:val="32"/>
          <w:lang w:eastAsia="zh-CN"/>
        </w:rPr>
      </w:pPr>
      <w:r>
        <w:rPr>
          <w:rFonts w:hint="eastAsia" w:ascii="仿宋_GB2312" w:hAnsi="宋体" w:eastAsia="仿宋_GB2312" w:cs="Microsoft JhengHei"/>
          <w:color w:val="231F20"/>
          <w:position w:val="2"/>
          <w:sz w:val="32"/>
          <w:szCs w:val="32"/>
          <w:lang w:eastAsia="zh-CN"/>
        </w:rPr>
        <w:t>兰市监合建告〔</w:t>
      </w:r>
      <w:r>
        <w:rPr>
          <w:rFonts w:hint="eastAsia" w:ascii="仿宋_GB2312" w:hAnsi="宋体" w:eastAsia="仿宋_GB2312" w:cs="Microsoft JhengHei"/>
          <w:color w:val="231F20"/>
          <w:position w:val="2"/>
          <w:sz w:val="32"/>
          <w:szCs w:val="32"/>
          <w:lang w:val="en-US" w:eastAsia="zh-CN"/>
        </w:rPr>
        <w:t xml:space="preserve">   </w:t>
      </w:r>
      <w:r>
        <w:rPr>
          <w:rFonts w:hint="eastAsia" w:ascii="仿宋_GB2312" w:hAnsi="宋体" w:eastAsia="仿宋_GB2312" w:cs="Microsoft JhengHei"/>
          <w:color w:val="231F20"/>
          <w:position w:val="2"/>
          <w:sz w:val="32"/>
          <w:szCs w:val="32"/>
          <w:lang w:eastAsia="zh-CN"/>
        </w:rPr>
        <w:t>〕</w:t>
      </w:r>
      <w:r>
        <w:rPr>
          <w:rFonts w:hint="eastAsia" w:ascii="仿宋_GB2312" w:hAnsi="宋体" w:eastAsia="仿宋_GB2312" w:cs="Microsoft JhengHei"/>
          <w:color w:val="231F20"/>
          <w:position w:val="2"/>
          <w:sz w:val="32"/>
          <w:szCs w:val="32"/>
          <w:lang w:val="en-US" w:eastAsia="zh-CN"/>
        </w:rPr>
        <w:t xml:space="preserve"> </w:t>
      </w:r>
      <w:r>
        <w:rPr>
          <w:rFonts w:ascii="仿宋_GB2312" w:hAnsi="宋体" w:eastAsia="仿宋_GB2312" w:cs="Microsoft JhengHei"/>
          <w:color w:val="231F20"/>
          <w:position w:val="2"/>
          <w:sz w:val="32"/>
          <w:szCs w:val="32"/>
          <w:lang w:eastAsia="zh-CN"/>
        </w:rPr>
        <w:tab/>
      </w:r>
      <w:r>
        <w:rPr>
          <w:rFonts w:hint="eastAsia" w:ascii="仿宋_GB2312" w:hAnsi="宋体" w:eastAsia="仿宋_GB2312" w:cs="Microsoft JhengHei"/>
          <w:color w:val="231F20"/>
          <w:position w:val="2"/>
          <w:sz w:val="32"/>
          <w:szCs w:val="32"/>
          <w:lang w:val="en-US" w:eastAsia="zh-CN"/>
        </w:rPr>
        <w:t xml:space="preserve">   </w:t>
      </w:r>
      <w:r>
        <w:rPr>
          <w:rFonts w:hint="eastAsia" w:ascii="仿宋_GB2312" w:hAnsi="宋体" w:eastAsia="仿宋_GB2312" w:cs="Microsoft JhengHei"/>
          <w:color w:val="231F20"/>
          <w:position w:val="2"/>
          <w:sz w:val="32"/>
          <w:szCs w:val="32"/>
          <w:lang w:eastAsia="zh-CN"/>
        </w:rPr>
        <w:t>号</w:t>
      </w:r>
    </w:p>
    <w:p w14:paraId="74A3A611">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ascii="仿宋_GB2312" w:hAnsi="宋体" w:eastAsia="仿宋_GB2312" w:cs="FZFSK--GBK1-0"/>
          <w:sz w:val="32"/>
          <w:szCs w:val="32"/>
          <w:lang w:eastAsia="zh-CN"/>
        </w:rPr>
      </w:pP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w:t>
      </w:r>
    </w:p>
    <w:p w14:paraId="36DF882E">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本局于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u w:val="single"/>
          <w:lang w:val="en-US" w:eastAsia="zh-CN"/>
        </w:rPr>
        <w:t xml:space="preserve">  </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日对你（单位）涉嫌</w:t>
      </w:r>
      <w:r>
        <w:rPr>
          <w:rFonts w:hint="eastAsia" w:ascii="仿宋_GB2312" w:hAnsi="宋体" w:eastAsia="仿宋_GB2312" w:cs="FZFSK--GBK1-0"/>
          <w:sz w:val="32"/>
          <w:szCs w:val="32"/>
          <w:u w:val="single"/>
          <w:lang w:val="en-US" w:eastAsia="zh-CN"/>
        </w:rPr>
        <w:t xml:space="preserve">                                                </w:t>
      </w:r>
      <w:r>
        <w:rPr>
          <w:rFonts w:hint="eastAsia" w:ascii="仿宋_GB2312" w:hAnsi="宋体" w:eastAsia="仿宋_GB2312" w:cs="FZFSK--GBK1-0"/>
          <w:sz w:val="32"/>
          <w:szCs w:val="32"/>
          <w:u w:val="none"/>
          <w:lang w:val="en-US" w:eastAsia="zh-CN"/>
        </w:rPr>
        <w:t>行为予以立案调查</w:t>
      </w:r>
      <w:r>
        <w:rPr>
          <w:rFonts w:hint="eastAsia" w:ascii="仿宋_GB2312" w:hAnsi="宋体" w:eastAsia="仿宋_GB2312" w:cs="FZFSK--GBK1-0"/>
          <w:sz w:val="32"/>
          <w:szCs w:val="32"/>
          <w:lang w:eastAsia="zh-CN"/>
        </w:rPr>
        <w:t>。依据《兰溪市市场监督管理局 兰溪市人民检察院 兰溪市司法局关于在市场监管领域实施“全过程普惠制合规”制度的指导意见》的有关规定，如你（单位）承认违法且愿意承担法律责任的，可以通过开展合规治理享受“合规治理从宽”的政策激励。</w:t>
      </w:r>
    </w:p>
    <w:p w14:paraId="69EF99D3">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default" w:ascii="仿宋_GB2312" w:hAnsi="宋体" w:eastAsia="仿宋_GB2312" w:cs="FZFSK--GBK1-0"/>
          <w:sz w:val="32"/>
          <w:szCs w:val="32"/>
          <w:lang w:val="en-US" w:eastAsia="zh-CN"/>
        </w:rPr>
      </w:pPr>
      <w:r>
        <w:rPr>
          <w:rFonts w:hint="eastAsia" w:ascii="仿宋_GB2312" w:hAnsi="宋体" w:eastAsia="仿宋_GB2312" w:cs="FZFSK--GBK1-0"/>
          <w:sz w:val="32"/>
          <w:szCs w:val="32"/>
          <w:lang w:eastAsia="zh-CN"/>
        </w:rPr>
        <w:t>如你（单位）不认可违法，请通过陈述申辩、行政复议、行政诉讼等途径维护自身合法权益，而不要虚假表示“认错认罚”骗取“合规治理从宽”的政策激励。“合规治理从宽”也不代表必然会从轻、减轻甚至免于处罚，本局会根据具体案情的基础上遵循“处罚和教育相结合”、“综合裁量”等原则酌情从宽。</w:t>
      </w:r>
    </w:p>
    <w:p w14:paraId="5E098CF1">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如你（单位）愿意开展合规治理的，请在</w:t>
      </w:r>
      <w:r>
        <w:rPr>
          <w:rFonts w:hint="eastAsia" w:ascii="仿宋_GB2312" w:hAnsi="宋体" w:eastAsia="仿宋_GB2312" w:cs="FZFSK--GBK1-0"/>
          <w:sz w:val="32"/>
          <w:szCs w:val="32"/>
          <w:u w:val="none"/>
          <w:lang w:eastAsia="zh-CN"/>
        </w:rPr>
        <w:t>收到本告知书后三个工作日内向我局提出申请，否则视为放弃</w:t>
      </w:r>
      <w:r>
        <w:rPr>
          <w:rFonts w:hint="eastAsia" w:ascii="仿宋_GB2312" w:hAnsi="宋体" w:eastAsia="仿宋_GB2312" w:cs="FZFSK--GBK1-0"/>
          <w:sz w:val="32"/>
          <w:szCs w:val="32"/>
          <w:lang w:eastAsia="zh-CN"/>
        </w:rPr>
        <w:t>享受“合规治理从宽”的政策激励。</w:t>
      </w:r>
    </w:p>
    <w:p w14:paraId="38EA919C">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p>
    <w:p w14:paraId="7D85DE23">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single"/>
          <w:lang w:val="en-US" w:eastAsia="zh-CN"/>
        </w:rPr>
      </w:pPr>
      <w:r>
        <w:rPr>
          <w:rFonts w:hint="eastAsia" w:ascii="仿宋_GB2312" w:hAnsi="宋体" w:eastAsia="仿宋_GB2312" w:cs="FZFSK--GBK1-0"/>
          <w:sz w:val="32"/>
          <w:szCs w:val="32"/>
          <w:u w:val="none"/>
          <w:lang w:val="en-US" w:eastAsia="zh-CN"/>
        </w:rPr>
        <w:t>本局联系人：</w:t>
      </w:r>
      <w:r>
        <w:rPr>
          <w:rFonts w:hint="eastAsia" w:ascii="仿宋_GB2312" w:hAnsi="宋体" w:eastAsia="仿宋_GB2312" w:cs="FZFSK--GBK1-0"/>
          <w:sz w:val="32"/>
          <w:szCs w:val="32"/>
          <w:u w:val="single"/>
          <w:lang w:val="en-US" w:eastAsia="zh-CN"/>
        </w:rPr>
        <w:t xml:space="preserve">              </w:t>
      </w:r>
      <w:r>
        <w:rPr>
          <w:rFonts w:hint="eastAsia" w:ascii="仿宋_GB2312" w:hAnsi="宋体" w:eastAsia="仿宋_GB2312" w:cs="FZFSK--GBK1-0"/>
          <w:sz w:val="32"/>
          <w:szCs w:val="32"/>
          <w:u w:val="none"/>
          <w:lang w:val="en-US" w:eastAsia="zh-CN"/>
        </w:rPr>
        <w:t>联系电话：</w:t>
      </w:r>
      <w:r>
        <w:rPr>
          <w:rFonts w:hint="eastAsia" w:ascii="仿宋_GB2312" w:hAnsi="宋体" w:eastAsia="仿宋_GB2312" w:cs="FZFSK--GBK1-0"/>
          <w:sz w:val="32"/>
          <w:szCs w:val="32"/>
          <w:u w:val="single"/>
          <w:lang w:val="en-US" w:eastAsia="zh-CN"/>
        </w:rPr>
        <w:t xml:space="preserve">               </w:t>
      </w:r>
    </w:p>
    <w:p w14:paraId="4782C9D7">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u w:val="single"/>
          <w:lang w:val="en-US" w:eastAsia="zh-CN"/>
        </w:rPr>
      </w:pPr>
      <w:r>
        <w:rPr>
          <w:rFonts w:hint="eastAsia" w:ascii="仿宋_GB2312" w:hAnsi="宋体" w:eastAsia="仿宋_GB2312" w:cs="FZFSK--GBK1-0"/>
          <w:sz w:val="32"/>
          <w:szCs w:val="32"/>
          <w:u w:val="none"/>
          <w:lang w:val="en-US" w:eastAsia="zh-CN"/>
        </w:rPr>
        <w:t>联系地址：</w:t>
      </w:r>
      <w:r>
        <w:rPr>
          <w:rFonts w:hint="eastAsia" w:ascii="仿宋_GB2312" w:hAnsi="宋体" w:eastAsia="仿宋_GB2312" w:cs="FZFSK--GBK1-0"/>
          <w:sz w:val="32"/>
          <w:szCs w:val="32"/>
          <w:u w:val="single"/>
          <w:lang w:val="en-US" w:eastAsia="zh-CN"/>
        </w:rPr>
        <w:t xml:space="preserve">                                         </w:t>
      </w:r>
    </w:p>
    <w:p w14:paraId="4C4BF63A">
      <w:pPr>
        <w:pStyle w:val="2"/>
        <w:keepNext w:val="0"/>
        <w:keepLines w:val="0"/>
        <w:pageBreakBefore w:val="0"/>
        <w:widowControl w:val="0"/>
        <w:shd w:val="clear"/>
        <w:kinsoku/>
        <w:overflowPunct/>
        <w:topLinePunct w:val="0"/>
        <w:bidi w:val="0"/>
        <w:snapToGrid/>
        <w:spacing w:beforeAutospacing="0" w:afterAutospacing="0" w:line="240" w:lineRule="auto"/>
        <w:ind w:left="0" w:leftChars="0"/>
        <w:textAlignment w:val="auto"/>
        <w:rPr>
          <w:rFonts w:hint="default"/>
          <w:lang w:val="en-US" w:eastAsia="zh-CN"/>
        </w:rPr>
      </w:pPr>
      <w:r>
        <w:rPr>
          <w:rFonts w:hint="eastAsia"/>
          <w:lang w:val="en-US" w:eastAsia="zh-CN"/>
        </w:rPr>
        <w:t xml:space="preserve">  </w:t>
      </w:r>
    </w:p>
    <w:p w14:paraId="1727C5A6">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hint="eastAsia" w:ascii="仿宋_GB2312" w:hAnsi="宋体" w:eastAsia="仿宋_GB2312"/>
          <w:sz w:val="32"/>
          <w:szCs w:val="32"/>
          <w:lang w:eastAsia="zh-CN"/>
        </w:rPr>
      </w:pPr>
    </w:p>
    <w:p w14:paraId="0BE09BC1">
      <w:pPr>
        <w:keepNext w:val="0"/>
        <w:keepLines w:val="0"/>
        <w:pageBreakBefore w:val="0"/>
        <w:widowControl w:val="0"/>
        <w:shd w:val="clear"/>
        <w:kinsoku/>
        <w:wordWrap w:val="0"/>
        <w:overflowPunct/>
        <w:topLinePunct w:val="0"/>
        <w:bidi w:val="0"/>
        <w:snapToGrid/>
        <w:spacing w:beforeAutospacing="0" w:afterAutospacing="0" w:line="240" w:lineRule="auto"/>
        <w:ind w:left="0" w:leftChars="0"/>
        <w:jc w:val="center"/>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 xml:space="preserve">                        兰溪市市场监督管理局</w:t>
      </w:r>
    </w:p>
    <w:p w14:paraId="438390D3">
      <w:pPr>
        <w:keepNext w:val="0"/>
        <w:keepLines w:val="0"/>
        <w:pageBreakBefore w:val="0"/>
        <w:widowControl w:val="0"/>
        <w:shd w:val="clear"/>
        <w:kinsoku/>
        <w:wordWrap w:val="0"/>
        <w:overflowPunct/>
        <w:topLinePunct w:val="0"/>
        <w:bidi w:val="0"/>
        <w:snapToGrid/>
        <w:spacing w:beforeAutospacing="0" w:afterAutospacing="0" w:line="240" w:lineRule="auto"/>
        <w:ind w:left="0" w:leftChars="0" w:firstLine="480" w:firstLineChars="150"/>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 xml:space="preserve">                                年    月    日</w:t>
      </w:r>
    </w:p>
    <w:p w14:paraId="698761F1">
      <w:pPr>
        <w:pStyle w:val="2"/>
        <w:keepNext w:val="0"/>
        <w:keepLines w:val="0"/>
        <w:pageBreakBefore w:val="0"/>
        <w:widowControl w:val="0"/>
        <w:shd w:val="clear"/>
        <w:kinsoku/>
        <w:overflowPunct/>
        <w:topLinePunct w:val="0"/>
        <w:bidi w:val="0"/>
        <w:snapToGrid/>
        <w:spacing w:beforeAutospacing="0" w:afterAutospacing="0" w:line="240" w:lineRule="auto"/>
        <w:ind w:left="0" w:leftChars="0"/>
        <w:textAlignment w:val="auto"/>
        <w:rPr>
          <w:rFonts w:hint="eastAsia" w:ascii="仿宋_GB2312" w:hAnsi="宋体" w:eastAsia="仿宋_GB2312" w:cs="Microsoft JhengHei"/>
          <w:color w:val="231F20"/>
          <w:sz w:val="32"/>
          <w:szCs w:val="32"/>
          <w:lang w:eastAsia="zh-CN"/>
        </w:rPr>
      </w:pPr>
    </w:p>
    <w:p w14:paraId="62217F4F">
      <w:pPr>
        <w:pStyle w:val="2"/>
        <w:keepNext w:val="0"/>
        <w:keepLines w:val="0"/>
        <w:pageBreakBefore w:val="0"/>
        <w:widowControl w:val="0"/>
        <w:shd w:val="clear"/>
        <w:kinsoku/>
        <w:overflowPunct/>
        <w:topLinePunct w:val="0"/>
        <w:bidi w:val="0"/>
        <w:snapToGrid/>
        <w:spacing w:beforeAutospacing="0" w:afterAutospacing="0" w:line="240" w:lineRule="auto"/>
        <w:ind w:left="0" w:leftChars="0"/>
        <w:textAlignment w:val="auto"/>
        <w:rPr>
          <w:rFonts w:hint="eastAsia"/>
          <w:lang w:val="en-US" w:eastAsia="zh-CN"/>
        </w:rPr>
      </w:pPr>
      <w:r>
        <w:rPr>
          <w:rFonts w:hint="eastAsia" w:ascii="仿宋_GB2312" w:hAnsi="宋体" w:eastAsia="仿宋_GB2312" w:cs="Microsoft JhengHei"/>
          <w:color w:val="231F20"/>
          <w:sz w:val="32"/>
          <w:szCs w:val="32"/>
          <w:lang w:eastAsia="zh-CN"/>
        </w:rPr>
        <w:t>收件人：</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eastAsia="zh-CN"/>
        </w:rPr>
        <w:t>收件日期：</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年</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月</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日</w:t>
      </w:r>
    </w:p>
    <w:p w14:paraId="0C91E404">
      <w:pPr>
        <w:rPr>
          <w:rFonts w:hint="eastAsia" w:ascii="小标宋" w:hAnsi="方正小标宋_GBK" w:eastAsia="小标宋" w:cs="方正小标宋_GBK"/>
          <w:b/>
          <w:bCs/>
          <w:color w:val="333333"/>
          <w:sz w:val="48"/>
          <w:szCs w:val="48"/>
          <w:shd w:val="clear" w:color="auto" w:fill="FFFFFF"/>
          <w:lang w:eastAsia="zh-CN"/>
        </w:rPr>
      </w:pPr>
      <w:r>
        <w:rPr>
          <w:rFonts w:hint="eastAsia" w:ascii="小标宋" w:hAnsi="方正小标宋_GBK" w:eastAsia="小标宋" w:cs="方正小标宋_GBK"/>
          <w:b/>
          <w:bCs/>
          <w:color w:val="333333"/>
          <w:sz w:val="48"/>
          <w:szCs w:val="48"/>
          <w:shd w:val="clear" w:color="auto" w:fill="FFFFFF"/>
          <w:lang w:eastAsia="zh-CN"/>
        </w:rPr>
        <w:br w:type="page"/>
      </w:r>
    </w:p>
    <w:p w14:paraId="6016B581">
      <w:pPr>
        <w:pStyle w:val="8"/>
        <w:keepNext w:val="0"/>
        <w:keepLines w:val="0"/>
        <w:pageBreakBefore w:val="0"/>
        <w:shd w:val="clear"/>
        <w:kinsoku/>
        <w:overflowPunct/>
        <w:topLinePunct w:val="0"/>
        <w:bidi w:val="0"/>
        <w:spacing w:beforeAutospacing="0" w:afterAutospacing="0" w:line="240" w:lineRule="auto"/>
        <w:ind w:left="0" w:leftChars="0"/>
        <w:jc w:val="center"/>
        <w:rPr>
          <w:rFonts w:hint="eastAsia" w:ascii="黑体" w:hAnsi="宋体" w:eastAsia="黑体" w:cs="FZXBSK--GBK1-0"/>
          <w:kern w:val="2"/>
          <w:sz w:val="44"/>
          <w:szCs w:val="44"/>
          <w:lang w:val="en-US" w:eastAsia="zh-CN" w:bidi="ar-SA"/>
        </w:rPr>
      </w:pPr>
      <w:r>
        <w:rPr>
          <w:rFonts w:hint="eastAsia" w:ascii="黑体" w:hAnsi="宋体" w:eastAsia="黑体" w:cs="FZXBSK--GBK1-0"/>
          <w:kern w:val="2"/>
          <w:sz w:val="44"/>
          <w:szCs w:val="44"/>
          <w:lang w:val="en-US" w:eastAsia="zh-CN" w:bidi="ar-SA"/>
        </w:rPr>
        <w:t>合规建设申请书</w:t>
      </w:r>
    </w:p>
    <w:p w14:paraId="4F448FC3">
      <w:pPr>
        <w:pStyle w:val="8"/>
        <w:keepNext w:val="0"/>
        <w:keepLines w:val="0"/>
        <w:pageBreakBefore w:val="0"/>
        <w:shd w:val="clear"/>
        <w:kinsoku/>
        <w:overflowPunct/>
        <w:topLinePunct w:val="0"/>
        <w:bidi w:val="0"/>
        <w:spacing w:before="0" w:beforeAutospacing="0" w:after="0" w:afterAutospacing="0" w:line="240" w:lineRule="auto"/>
        <w:ind w:left="0" w:leftChars="0"/>
        <w:rPr>
          <w:rFonts w:hAnsi="微软雅黑" w:cs="仿宋_GB2312"/>
          <w:color w:val="333333"/>
          <w:sz w:val="28"/>
          <w:szCs w:val="28"/>
          <w:shd w:val="clear" w:color="auto" w:fill="FFFFFF"/>
        </w:rPr>
      </w:pPr>
    </w:p>
    <w:p w14:paraId="6579B5AD">
      <w:pPr>
        <w:pStyle w:val="8"/>
        <w:keepNext w:val="0"/>
        <w:keepLines w:val="0"/>
        <w:pageBreakBefore w:val="0"/>
        <w:shd w:val="clear"/>
        <w:kinsoku/>
        <w:wordWrap/>
        <w:overflowPunct/>
        <w:topLinePunct w:val="0"/>
        <w:autoSpaceDE/>
        <w:autoSpaceDN/>
        <w:bidi w:val="0"/>
        <w:adjustRightInd/>
        <w:spacing w:before="0" w:beforeAutospacing="0" w:after="0" w:afterAutospacing="0" w:line="240" w:lineRule="auto"/>
        <w:ind w:left="0" w:leftChars="0"/>
        <w:textAlignment w:val="auto"/>
        <w:rPr>
          <w:rFonts w:hAnsi="仿宋"/>
          <w:kern w:val="2"/>
          <w:sz w:val="32"/>
          <w:szCs w:val="32"/>
        </w:rPr>
      </w:pPr>
      <w:r>
        <w:rPr>
          <w:rFonts w:hint="eastAsia" w:hAnsi="仿宋"/>
          <w:kern w:val="2"/>
          <w:sz w:val="32"/>
          <w:szCs w:val="32"/>
          <w:lang w:eastAsia="zh-CN"/>
        </w:rPr>
        <w:t>兰溪市</w:t>
      </w:r>
      <w:r>
        <w:rPr>
          <w:rFonts w:hAnsi="仿宋"/>
          <w:kern w:val="2"/>
          <w:sz w:val="32"/>
          <w:szCs w:val="32"/>
        </w:rPr>
        <w:t>市场监督管理局：</w:t>
      </w:r>
    </w:p>
    <w:p w14:paraId="66282174">
      <w:pPr>
        <w:keepNext w:val="0"/>
        <w:keepLines w:val="0"/>
        <w:pageBreakBefore w:val="0"/>
        <w:shd w:val="clear"/>
        <w:kinsoku/>
        <w:wordWrap/>
        <w:overflowPunct/>
        <w:topLinePunct w:val="0"/>
        <w:autoSpaceDE/>
        <w:autoSpaceDN/>
        <w:bidi w:val="0"/>
        <w:adjustRightInd/>
        <w:spacing w:beforeAutospacing="0" w:afterAutospacing="0" w:line="240" w:lineRule="auto"/>
        <w:ind w:left="0" w:leftChars="0" w:firstLine="620"/>
        <w:jc w:val="left"/>
        <w:textAlignment w:val="auto"/>
        <w:rPr>
          <w:rFonts w:hint="eastAsia" w:ascii="仿宋_GB2312" w:hAnsi="仿宋"/>
          <w:sz w:val="32"/>
          <w:szCs w:val="32"/>
          <w:lang w:eastAsia="zh-CN"/>
        </w:rPr>
      </w:pPr>
      <w:r>
        <w:rPr>
          <w:rFonts w:hint="eastAsia" w:ascii="仿宋_GB2312" w:hAnsi="仿宋"/>
          <w:sz w:val="32"/>
          <w:szCs w:val="32"/>
        </w:rPr>
        <w:t>我（单位）因</w:t>
      </w:r>
      <w:r>
        <w:rPr>
          <w:rFonts w:hint="eastAsia" w:ascii="仿宋_GB2312" w:hAnsi="微软雅黑" w:cs="仿宋_GB2312"/>
          <w:color w:val="333333"/>
          <w:sz w:val="32"/>
          <w:szCs w:val="32"/>
          <w:u w:val="single"/>
          <w:shd w:val="clear" w:color="auto" w:fill="FFFFFF"/>
        </w:rPr>
        <w:t xml:space="preserve">              </w:t>
      </w:r>
      <w:r>
        <w:rPr>
          <w:rFonts w:hint="eastAsia" w:ascii="仿宋_GB2312" w:hAnsi="微软雅黑" w:cs="仿宋_GB2312"/>
          <w:color w:val="333333"/>
          <w:sz w:val="32"/>
          <w:szCs w:val="32"/>
          <w:u w:val="single"/>
          <w:shd w:val="clear" w:color="auto" w:fill="FFFFFF"/>
          <w:lang w:val="en-US" w:eastAsia="zh-CN"/>
        </w:rPr>
        <w:t xml:space="preserve">    </w:t>
      </w:r>
      <w:r>
        <w:rPr>
          <w:rFonts w:hint="eastAsia" w:ascii="仿宋_GB2312" w:hAnsi="微软雅黑" w:cs="仿宋_GB2312"/>
          <w:color w:val="333333"/>
          <w:sz w:val="32"/>
          <w:szCs w:val="32"/>
          <w:u w:val="single"/>
          <w:shd w:val="clear" w:color="auto" w:fill="FFFFFF"/>
        </w:rPr>
        <w:t xml:space="preserve">               </w:t>
      </w:r>
      <w:r>
        <w:rPr>
          <w:rFonts w:hint="eastAsia" w:ascii="仿宋_GB2312" w:hAnsi="仿宋"/>
          <w:sz w:val="32"/>
          <w:szCs w:val="32"/>
        </w:rPr>
        <w:t>被你局</w:t>
      </w:r>
      <w:r>
        <w:rPr>
          <w:rFonts w:hint="eastAsia" w:ascii="仿宋_GB2312" w:hAnsi="仿宋"/>
          <w:sz w:val="32"/>
          <w:szCs w:val="32"/>
          <w:lang w:eastAsia="zh-CN"/>
        </w:rPr>
        <w:t>调查</w:t>
      </w:r>
      <w:r>
        <w:rPr>
          <w:rFonts w:hint="eastAsia" w:ascii="仿宋_GB2312" w:hAnsi="仿宋"/>
          <w:sz w:val="32"/>
          <w:szCs w:val="32"/>
        </w:rPr>
        <w:t>，执法人员已向我（单位）进行了相关告知和法制宣传教育，我（单位）已充分认识到</w:t>
      </w:r>
      <w:r>
        <w:rPr>
          <w:rFonts w:hint="eastAsia" w:ascii="仿宋_GB2312" w:hAnsi="仿宋"/>
          <w:sz w:val="32"/>
          <w:szCs w:val="32"/>
          <w:lang w:eastAsia="zh-CN"/>
        </w:rPr>
        <w:t>该行为已经违法。我单位</w:t>
      </w:r>
      <w:r>
        <w:rPr>
          <w:rFonts w:hint="eastAsia" w:ascii="仿宋_GB2312" w:hAnsi="仿宋"/>
          <w:sz w:val="32"/>
          <w:szCs w:val="32"/>
        </w:rPr>
        <w:t>对查明的违法事实无异议，</w:t>
      </w:r>
      <w:r>
        <w:rPr>
          <w:rFonts w:hint="eastAsia" w:ascii="仿宋_GB2312" w:hAnsi="仿宋"/>
          <w:sz w:val="32"/>
          <w:szCs w:val="32"/>
          <w:lang w:eastAsia="zh-CN"/>
        </w:rPr>
        <w:t>愿意承担法律责任，</w:t>
      </w:r>
      <w:r>
        <w:rPr>
          <w:rFonts w:hint="eastAsia" w:ascii="仿宋_GB2312" w:hAnsi="仿宋"/>
          <w:sz w:val="32"/>
          <w:szCs w:val="32"/>
        </w:rPr>
        <w:t>自愿接受</w:t>
      </w:r>
      <w:r>
        <w:rPr>
          <w:rFonts w:hint="eastAsia" w:ascii="仿宋_GB2312" w:hAnsi="仿宋"/>
          <w:sz w:val="32"/>
          <w:szCs w:val="32"/>
          <w:lang w:eastAsia="zh-CN"/>
        </w:rPr>
        <w:t>你局的依法行政处理，</w:t>
      </w:r>
      <w:r>
        <w:rPr>
          <w:rFonts w:hint="eastAsia" w:ascii="仿宋_GB2312" w:hAnsi="仿宋"/>
          <w:sz w:val="32"/>
          <w:szCs w:val="32"/>
        </w:rPr>
        <w:t>并承诺</w:t>
      </w:r>
      <w:r>
        <w:rPr>
          <w:rFonts w:hint="eastAsia" w:ascii="仿宋_GB2312" w:hAnsi="仿宋"/>
          <w:sz w:val="32"/>
          <w:szCs w:val="32"/>
          <w:lang w:eastAsia="zh-CN"/>
        </w:rPr>
        <w:t>积极改正。</w:t>
      </w:r>
    </w:p>
    <w:p w14:paraId="5E22B56A">
      <w:pPr>
        <w:keepNext w:val="0"/>
        <w:keepLines w:val="0"/>
        <w:pageBreakBefore w:val="0"/>
        <w:shd w:val="clear"/>
        <w:kinsoku/>
        <w:wordWrap/>
        <w:overflowPunct/>
        <w:topLinePunct w:val="0"/>
        <w:autoSpaceDE/>
        <w:autoSpaceDN/>
        <w:bidi w:val="0"/>
        <w:adjustRightInd/>
        <w:spacing w:beforeAutospacing="0" w:afterAutospacing="0" w:line="240" w:lineRule="auto"/>
        <w:ind w:left="0" w:leftChars="0" w:firstLine="620"/>
        <w:jc w:val="left"/>
        <w:textAlignment w:val="auto"/>
        <w:rPr>
          <w:rFonts w:hint="eastAsia" w:ascii="仿宋_GB2312" w:hAnsi="仿宋"/>
          <w:sz w:val="32"/>
          <w:szCs w:val="32"/>
          <w:lang w:eastAsia="zh-CN"/>
        </w:rPr>
      </w:pPr>
      <w:r>
        <w:rPr>
          <w:rFonts w:hint="eastAsia" w:ascii="仿宋_GB2312" w:hAnsi="仿宋"/>
          <w:sz w:val="32"/>
          <w:szCs w:val="32"/>
          <w:lang w:eastAsia="zh-CN"/>
        </w:rPr>
        <w:t>根据《兰溪市市场监督管理局 兰溪市人民检察院 兰溪市司法局关于在市场监管领域实施“全过程普惠制合规”制度的指导意见》，为积极消除危害后果、预防危害隐患，规范经营行为，促进健康持续发展，特申请进行合规建设（合规建设期限为</w:t>
      </w:r>
      <w:r>
        <w:rPr>
          <w:rFonts w:hint="eastAsia" w:ascii="仿宋_GB2312" w:hAnsi="仿宋"/>
          <w:sz w:val="32"/>
          <w:szCs w:val="32"/>
          <w:u w:val="single"/>
          <w:lang w:val="en-US" w:eastAsia="zh-CN"/>
        </w:rPr>
        <w:t xml:space="preserve">   </w:t>
      </w:r>
      <w:r>
        <w:rPr>
          <w:rFonts w:hint="eastAsia" w:ascii="仿宋_GB2312" w:hAnsi="仿宋"/>
          <w:sz w:val="32"/>
          <w:szCs w:val="32"/>
          <w:lang w:val="en-US" w:eastAsia="zh-CN"/>
        </w:rPr>
        <w:t>日</w:t>
      </w:r>
      <w:r>
        <w:rPr>
          <w:rFonts w:hint="eastAsia" w:ascii="仿宋_GB2312" w:hAnsi="仿宋"/>
          <w:sz w:val="32"/>
          <w:szCs w:val="32"/>
          <w:lang w:eastAsia="zh-CN"/>
        </w:rPr>
        <w:t>）。请贵局予以行政指导，并请你局酌情对我（单位）从宽处理。</w:t>
      </w:r>
    </w:p>
    <w:p w14:paraId="0D334DFC">
      <w:pPr>
        <w:keepNext w:val="0"/>
        <w:keepLines w:val="0"/>
        <w:pageBreakBefore w:val="0"/>
        <w:shd w:val="clear"/>
        <w:kinsoku/>
        <w:wordWrap/>
        <w:overflowPunct/>
        <w:topLinePunct w:val="0"/>
        <w:autoSpaceDE/>
        <w:autoSpaceDN/>
        <w:bidi w:val="0"/>
        <w:adjustRightInd/>
        <w:spacing w:beforeAutospacing="0" w:afterAutospacing="0" w:line="240" w:lineRule="auto"/>
        <w:ind w:left="0" w:leftChars="0" w:firstLine="620"/>
        <w:jc w:val="left"/>
        <w:textAlignment w:val="auto"/>
        <w:rPr>
          <w:rFonts w:hint="default" w:ascii="仿宋_GB2312" w:hAnsi="仿宋"/>
          <w:sz w:val="32"/>
          <w:szCs w:val="32"/>
          <w:u w:val="single"/>
          <w:lang w:val="en-US" w:eastAsia="zh-CN"/>
        </w:rPr>
      </w:pPr>
      <w:r>
        <w:rPr>
          <w:rFonts w:hint="eastAsia" w:ascii="仿宋_GB2312" w:hAnsi="仿宋"/>
          <w:sz w:val="32"/>
          <w:szCs w:val="32"/>
          <w:lang w:eastAsia="zh-CN"/>
        </w:rPr>
        <w:t>联系人：</w:t>
      </w:r>
      <w:r>
        <w:rPr>
          <w:rFonts w:hint="eastAsia" w:ascii="仿宋_GB2312" w:hAnsi="仿宋"/>
          <w:sz w:val="32"/>
          <w:szCs w:val="32"/>
          <w:u w:val="single"/>
          <w:lang w:val="en-US" w:eastAsia="zh-CN"/>
        </w:rPr>
        <w:t xml:space="preserve">             </w:t>
      </w:r>
      <w:r>
        <w:rPr>
          <w:rFonts w:hint="eastAsia" w:ascii="仿宋_GB2312" w:hAnsi="仿宋"/>
          <w:sz w:val="32"/>
          <w:szCs w:val="32"/>
          <w:u w:val="none"/>
          <w:lang w:val="en-US" w:eastAsia="zh-CN"/>
        </w:rPr>
        <w:t>；</w:t>
      </w:r>
      <w:r>
        <w:rPr>
          <w:rFonts w:hint="eastAsia" w:ascii="仿宋_GB2312" w:hAnsi="仿宋"/>
          <w:sz w:val="32"/>
          <w:szCs w:val="32"/>
          <w:lang w:val="en-US" w:eastAsia="zh-CN"/>
        </w:rPr>
        <w:t>联系电话：</w:t>
      </w:r>
      <w:r>
        <w:rPr>
          <w:rFonts w:hint="eastAsia" w:ascii="仿宋_GB2312" w:hAnsi="仿宋"/>
          <w:sz w:val="32"/>
          <w:szCs w:val="32"/>
          <w:u w:val="single"/>
          <w:lang w:val="en-US" w:eastAsia="zh-CN"/>
        </w:rPr>
        <w:t xml:space="preserve">              </w:t>
      </w:r>
    </w:p>
    <w:p w14:paraId="7EDE853D">
      <w:pPr>
        <w:keepNext w:val="0"/>
        <w:keepLines w:val="0"/>
        <w:pageBreakBefore w:val="0"/>
        <w:shd w:val="clear"/>
        <w:kinsoku/>
        <w:wordWrap/>
        <w:overflowPunct/>
        <w:topLinePunct w:val="0"/>
        <w:autoSpaceDE/>
        <w:autoSpaceDN/>
        <w:bidi w:val="0"/>
        <w:adjustRightInd/>
        <w:spacing w:beforeAutospacing="0" w:afterAutospacing="0" w:line="240" w:lineRule="auto"/>
        <w:ind w:left="0" w:leftChars="0" w:firstLine="640" w:firstLineChars="200"/>
        <w:jc w:val="left"/>
        <w:textAlignment w:val="auto"/>
        <w:rPr>
          <w:rFonts w:hint="eastAsia" w:ascii="宋体" w:hAnsi="宋体" w:eastAsia="宋体" w:cs="宋体"/>
          <w:sz w:val="32"/>
          <w:szCs w:val="32"/>
          <w:lang w:eastAsia="zh-CN"/>
        </w:rPr>
      </w:pPr>
    </w:p>
    <w:p w14:paraId="12B72B9E">
      <w:pPr>
        <w:pStyle w:val="8"/>
        <w:keepNext w:val="0"/>
        <w:keepLines w:val="0"/>
        <w:pageBreakBefore w:val="0"/>
        <w:shd w:val="clear"/>
        <w:kinsoku/>
        <w:wordWrap/>
        <w:overflowPunct/>
        <w:topLinePunct w:val="0"/>
        <w:autoSpaceDE/>
        <w:autoSpaceDN/>
        <w:bidi w:val="0"/>
        <w:adjustRightInd/>
        <w:spacing w:before="0" w:beforeAutospacing="0" w:after="0" w:afterAutospacing="0" w:line="240" w:lineRule="auto"/>
        <w:ind w:left="0" w:leftChars="0" w:firstLine="5115"/>
        <w:textAlignment w:val="auto"/>
        <w:rPr>
          <w:rFonts w:hAnsi="仿宋"/>
          <w:kern w:val="2"/>
          <w:sz w:val="32"/>
          <w:szCs w:val="32"/>
        </w:rPr>
      </w:pPr>
      <w:r>
        <w:rPr>
          <w:rFonts w:hAnsi="仿宋"/>
          <w:kern w:val="2"/>
          <w:sz w:val="32"/>
          <w:szCs w:val="32"/>
        </w:rPr>
        <w:t> </w:t>
      </w:r>
    </w:p>
    <w:p w14:paraId="554A2485">
      <w:pPr>
        <w:pStyle w:val="8"/>
        <w:keepNext w:val="0"/>
        <w:keepLines w:val="0"/>
        <w:pageBreakBefore w:val="0"/>
        <w:shd w:val="clear"/>
        <w:kinsoku/>
        <w:wordWrap/>
        <w:overflowPunct/>
        <w:topLinePunct w:val="0"/>
        <w:autoSpaceDE/>
        <w:autoSpaceDN/>
        <w:bidi w:val="0"/>
        <w:adjustRightInd/>
        <w:spacing w:before="0" w:beforeAutospacing="0" w:after="0" w:afterAutospacing="0" w:line="240" w:lineRule="auto"/>
        <w:ind w:left="0" w:leftChars="0" w:firstLine="2880" w:firstLineChars="900"/>
        <w:textAlignment w:val="auto"/>
        <w:rPr>
          <w:rFonts w:hint="eastAsia" w:ascii="微软雅黑" w:hAnsi="微软雅黑" w:eastAsia="仿宋_GB2312" w:cs="微软雅黑"/>
          <w:color w:val="333333"/>
          <w:sz w:val="32"/>
          <w:szCs w:val="32"/>
          <w:lang w:val="en-US" w:eastAsia="zh-CN"/>
        </w:rPr>
      </w:pPr>
      <w:r>
        <w:rPr>
          <w:rFonts w:hint="eastAsia" w:hAnsi="微软雅黑" w:cs="仿宋_GB2312"/>
          <w:color w:val="333333"/>
          <w:sz w:val="32"/>
          <w:szCs w:val="32"/>
          <w:shd w:val="clear" w:color="auto" w:fill="FFFFFF"/>
          <w:lang w:eastAsia="zh-CN"/>
        </w:rPr>
        <w:t>申请人（盖章）</w:t>
      </w:r>
      <w:r>
        <w:rPr>
          <w:rFonts w:hAnsi="微软雅黑" w:cs="仿宋_GB2312"/>
          <w:color w:val="333333"/>
          <w:sz w:val="32"/>
          <w:szCs w:val="32"/>
          <w:shd w:val="clear" w:color="auto" w:fill="FFFFFF"/>
        </w:rPr>
        <w:t>签名：</w:t>
      </w:r>
      <w:r>
        <w:rPr>
          <w:rFonts w:hint="eastAsia" w:hAnsi="微软雅黑" w:cs="仿宋_GB2312"/>
          <w:color w:val="333333"/>
          <w:sz w:val="32"/>
          <w:szCs w:val="32"/>
          <w:shd w:val="clear" w:color="auto" w:fill="FFFFFF"/>
          <w:lang w:val="en-US" w:eastAsia="zh-CN"/>
        </w:rPr>
        <w:t xml:space="preserve"> </w:t>
      </w:r>
    </w:p>
    <w:p w14:paraId="32C252EF">
      <w:pPr>
        <w:pStyle w:val="7"/>
        <w:keepNext w:val="0"/>
        <w:keepLines w:val="0"/>
        <w:pageBreakBefore w:val="0"/>
        <w:shd w:val="clear"/>
        <w:kinsoku/>
        <w:wordWrap/>
        <w:overflowPunct/>
        <w:topLinePunct w:val="0"/>
        <w:autoSpaceDE/>
        <w:autoSpaceDN/>
        <w:bidi w:val="0"/>
        <w:adjustRightInd/>
        <w:spacing w:beforeAutospacing="0" w:afterAutospacing="0" w:line="240" w:lineRule="auto"/>
        <w:ind w:left="0" w:leftChars="0" w:firstLine="4800" w:firstLineChars="1500"/>
        <w:textAlignment w:val="auto"/>
        <w:rPr>
          <w:rFonts w:hint="eastAsia" w:ascii="Arial" w:hAnsi="Arial" w:cs="Arial"/>
          <w:color w:val="000000"/>
          <w:sz w:val="32"/>
          <w:szCs w:val="32"/>
          <w:shd w:val="clear" w:color="auto" w:fill="FFFFFF"/>
        </w:rPr>
      </w:pPr>
      <w:r>
        <w:rPr>
          <w:rFonts w:hint="eastAsia" w:ascii="仿宋_GB2312" w:hAnsi="仿宋" w:eastAsia="仿宋_GB2312"/>
          <w:sz w:val="32"/>
          <w:szCs w:val="32"/>
        </w:rPr>
        <w:t>年   月   日</w:t>
      </w:r>
    </w:p>
    <w:p w14:paraId="3F348911">
      <w:pPr>
        <w:keepNext w:val="0"/>
        <w:keepLines w:val="0"/>
        <w:pageBreakBefore w:val="0"/>
        <w:shd w:val="clear"/>
        <w:kinsoku/>
        <w:overflowPunct/>
        <w:topLinePunct w:val="0"/>
        <w:bidi w:val="0"/>
        <w:spacing w:beforeAutospacing="0" w:afterAutospacing="0" w:line="240" w:lineRule="auto"/>
        <w:ind w:left="0" w:leftChars="0"/>
      </w:pPr>
    </w:p>
    <w:p w14:paraId="4B9DEFAB">
      <w:pPr>
        <w:pStyle w:val="2"/>
        <w:keepNext w:val="0"/>
        <w:keepLines w:val="0"/>
        <w:pageBreakBefore w:val="0"/>
        <w:shd w:val="clear"/>
        <w:kinsoku/>
        <w:overflowPunct/>
        <w:topLinePunct w:val="0"/>
        <w:bidi w:val="0"/>
        <w:spacing w:beforeAutospacing="0" w:afterAutospacing="0" w:line="240" w:lineRule="auto"/>
        <w:ind w:left="0" w:leftChars="0"/>
      </w:pPr>
    </w:p>
    <w:p w14:paraId="6AE8CF74">
      <w:pPr>
        <w:pStyle w:val="2"/>
        <w:keepNext w:val="0"/>
        <w:keepLines w:val="0"/>
        <w:pageBreakBefore w:val="0"/>
        <w:shd w:val="clear"/>
        <w:kinsoku/>
        <w:overflowPunct/>
        <w:topLinePunct w:val="0"/>
        <w:bidi w:val="0"/>
        <w:spacing w:beforeAutospacing="0" w:afterAutospacing="0" w:line="240" w:lineRule="auto"/>
        <w:ind w:left="0" w:leftChars="0"/>
      </w:pPr>
    </w:p>
    <w:p w14:paraId="4E30360A">
      <w:pPr>
        <w:pStyle w:val="2"/>
        <w:keepNext w:val="0"/>
        <w:keepLines w:val="0"/>
        <w:pageBreakBefore w:val="0"/>
        <w:shd w:val="clear"/>
        <w:kinsoku/>
        <w:overflowPunct/>
        <w:topLinePunct w:val="0"/>
        <w:bidi w:val="0"/>
        <w:spacing w:beforeAutospacing="0" w:afterAutospacing="0" w:line="240" w:lineRule="auto"/>
        <w:ind w:left="0" w:leftChars="0"/>
      </w:pPr>
    </w:p>
    <w:p w14:paraId="7D4359DF">
      <w:pPr>
        <w:pStyle w:val="2"/>
        <w:keepNext w:val="0"/>
        <w:keepLines w:val="0"/>
        <w:pageBreakBefore w:val="0"/>
        <w:shd w:val="clear"/>
        <w:kinsoku/>
        <w:overflowPunct/>
        <w:topLinePunct w:val="0"/>
        <w:bidi w:val="0"/>
        <w:spacing w:beforeAutospacing="0" w:afterAutospacing="0" w:line="240" w:lineRule="auto"/>
        <w:ind w:left="0" w:leftChars="0"/>
      </w:pPr>
    </w:p>
    <w:p w14:paraId="345973FF">
      <w:pPr>
        <w:pStyle w:val="2"/>
        <w:keepNext w:val="0"/>
        <w:keepLines w:val="0"/>
        <w:pageBreakBefore w:val="0"/>
        <w:shd w:val="clear"/>
        <w:kinsoku/>
        <w:overflowPunct/>
        <w:topLinePunct w:val="0"/>
        <w:bidi w:val="0"/>
        <w:spacing w:beforeAutospacing="0" w:afterAutospacing="0" w:line="240" w:lineRule="auto"/>
        <w:ind w:left="0" w:leftChars="0"/>
      </w:pPr>
    </w:p>
    <w:p w14:paraId="4EE59F35">
      <w:pPr>
        <w:pStyle w:val="2"/>
        <w:keepNext w:val="0"/>
        <w:keepLines w:val="0"/>
        <w:pageBreakBefore w:val="0"/>
        <w:shd w:val="clear"/>
        <w:kinsoku/>
        <w:overflowPunct/>
        <w:topLinePunct w:val="0"/>
        <w:bidi w:val="0"/>
        <w:spacing w:beforeAutospacing="0" w:afterAutospacing="0" w:line="240" w:lineRule="auto"/>
        <w:ind w:left="0" w:leftChars="0"/>
      </w:pPr>
    </w:p>
    <w:p w14:paraId="68DFBF23">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44"/>
          <w:szCs w:val="44"/>
          <w:lang w:eastAsia="zh-CN"/>
        </w:rPr>
      </w:pPr>
      <w:r>
        <w:rPr>
          <w:rFonts w:hint="eastAsia" w:ascii="黑体" w:hAnsi="宋体" w:eastAsia="黑体" w:cs="FZXBSK--GBK1-0"/>
          <w:sz w:val="44"/>
          <w:szCs w:val="44"/>
          <w:lang w:eastAsia="zh-CN"/>
        </w:rPr>
        <w:t>兰溪市市场监督管理局</w:t>
      </w:r>
    </w:p>
    <w:p w14:paraId="1C3FFB82">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44"/>
          <w:szCs w:val="44"/>
          <w:lang w:eastAsia="zh-CN"/>
        </w:rPr>
      </w:pPr>
      <w:r>
        <w:rPr>
          <w:rFonts w:hint="eastAsia" w:ascii="黑体" w:hAnsi="宋体" w:eastAsia="黑体" w:cs="FZXBSK--GBK1-0"/>
          <w:sz w:val="44"/>
          <w:szCs w:val="44"/>
          <w:lang w:eastAsia="zh-CN"/>
        </w:rPr>
        <w:t>准予合规建设通知书</w:t>
      </w:r>
    </w:p>
    <w:p w14:paraId="3EBCD074">
      <w:pPr>
        <w:keepNext w:val="0"/>
        <w:keepLines w:val="0"/>
        <w:pageBreakBefore w:val="0"/>
        <w:shd w:val="clear"/>
        <w:tabs>
          <w:tab w:val="left" w:pos="420"/>
          <w:tab w:val="left" w:pos="840"/>
          <w:tab w:val="left" w:pos="1260"/>
          <w:tab w:val="left" w:pos="1680"/>
          <w:tab w:val="left" w:pos="2100"/>
          <w:tab w:val="left" w:pos="2520"/>
          <w:tab w:val="left" w:pos="2940"/>
          <w:tab w:val="left" w:pos="3390"/>
        </w:tabs>
        <w:kinsoku/>
        <w:overflowPunct/>
        <w:topLinePunct w:val="0"/>
        <w:autoSpaceDE w:val="0"/>
        <w:autoSpaceDN w:val="0"/>
        <w:bidi w:val="0"/>
        <w:adjustRightInd w:val="0"/>
        <w:spacing w:beforeAutospacing="0" w:afterAutospacing="0" w:line="240" w:lineRule="auto"/>
        <w:ind w:left="0" w:leftChars="0"/>
        <w:jc w:val="center"/>
        <w:rPr>
          <w:rFonts w:ascii="仿宋_GB2312" w:hAnsi="宋体" w:eastAsia="仿宋_GB2312" w:cs="Microsoft JhengHei"/>
          <w:color w:val="231F20"/>
          <w:position w:val="2"/>
          <w:sz w:val="32"/>
          <w:szCs w:val="32"/>
          <w:lang w:eastAsia="zh-CN"/>
        </w:rPr>
      </w:pPr>
      <w:r>
        <w:rPr>
          <w:rFonts w:hint="eastAsia" w:ascii="仿宋_GB2312" w:hAnsi="宋体" w:eastAsia="仿宋_GB2312" w:cs="Microsoft JhengHei"/>
          <w:color w:val="231F20"/>
          <w:position w:val="2"/>
          <w:sz w:val="32"/>
          <w:szCs w:val="32"/>
          <w:lang w:eastAsia="zh-CN"/>
        </w:rPr>
        <w:t>兰市监合建通〔</w:t>
      </w:r>
      <w:r>
        <w:rPr>
          <w:rFonts w:ascii="仿宋_GB2312" w:hAnsi="宋体" w:eastAsia="仿宋_GB2312" w:cs="Microsoft JhengHei"/>
          <w:color w:val="231F20"/>
          <w:position w:val="2"/>
          <w:sz w:val="32"/>
          <w:szCs w:val="32"/>
          <w:lang w:eastAsia="zh-CN"/>
        </w:rPr>
        <w:tab/>
      </w:r>
      <w:r>
        <w:rPr>
          <w:rFonts w:hint="eastAsia" w:ascii="仿宋_GB2312" w:hAnsi="宋体" w:eastAsia="仿宋_GB2312" w:cs="Microsoft JhengHei"/>
          <w:color w:val="231F20"/>
          <w:position w:val="2"/>
          <w:sz w:val="32"/>
          <w:szCs w:val="32"/>
          <w:lang w:val="en-US" w:eastAsia="zh-CN"/>
        </w:rPr>
        <w:t xml:space="preserve"> </w:t>
      </w:r>
      <w:r>
        <w:rPr>
          <w:rFonts w:hint="eastAsia" w:ascii="仿宋_GB2312" w:hAnsi="宋体" w:eastAsia="仿宋_GB2312" w:cs="Microsoft JhengHei"/>
          <w:color w:val="231F20"/>
          <w:position w:val="2"/>
          <w:sz w:val="32"/>
          <w:szCs w:val="32"/>
          <w:lang w:eastAsia="zh-CN"/>
        </w:rPr>
        <w:t>〕</w:t>
      </w:r>
      <w:r>
        <w:rPr>
          <w:rFonts w:ascii="仿宋_GB2312" w:hAnsi="宋体" w:eastAsia="仿宋_GB2312" w:cs="Microsoft JhengHei"/>
          <w:color w:val="231F20"/>
          <w:position w:val="2"/>
          <w:sz w:val="32"/>
          <w:szCs w:val="32"/>
          <w:lang w:eastAsia="zh-CN"/>
        </w:rPr>
        <w:tab/>
      </w:r>
      <w:r>
        <w:rPr>
          <w:rFonts w:hint="eastAsia" w:ascii="仿宋_GB2312" w:hAnsi="宋体" w:eastAsia="仿宋_GB2312" w:cs="Microsoft JhengHei"/>
          <w:color w:val="231F20"/>
          <w:position w:val="2"/>
          <w:sz w:val="32"/>
          <w:szCs w:val="32"/>
          <w:lang w:val="en-US" w:eastAsia="zh-CN"/>
        </w:rPr>
        <w:t xml:space="preserve"> </w:t>
      </w:r>
      <w:r>
        <w:rPr>
          <w:rFonts w:hint="eastAsia" w:ascii="仿宋_GB2312" w:hAnsi="宋体" w:eastAsia="仿宋_GB2312" w:cs="Microsoft JhengHei"/>
          <w:color w:val="231F20"/>
          <w:position w:val="2"/>
          <w:sz w:val="32"/>
          <w:szCs w:val="32"/>
          <w:lang w:eastAsia="zh-CN"/>
        </w:rPr>
        <w:t>号</w:t>
      </w:r>
    </w:p>
    <w:p w14:paraId="50C2C535">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ascii="仿宋_GB2312" w:hAnsi="宋体" w:eastAsia="仿宋_GB2312" w:cs="FZFSK--GBK1-0"/>
          <w:sz w:val="32"/>
          <w:szCs w:val="32"/>
          <w:lang w:eastAsia="zh-CN"/>
        </w:rPr>
      </w:pP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w:t>
      </w:r>
    </w:p>
    <w:p w14:paraId="0369D4B6">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ascii="仿宋_GB2312" w:hAnsi="宋体" w:eastAsia="仿宋_GB2312" w:cs="FZFSK--GBK1-0"/>
          <w:sz w:val="32"/>
          <w:szCs w:val="32"/>
          <w:u w:val="none"/>
          <w:lang w:eastAsia="zh-CN"/>
        </w:rPr>
      </w:pPr>
      <w:r>
        <w:rPr>
          <w:rFonts w:hint="eastAsia" w:ascii="仿宋_GB2312" w:hAnsi="宋体" w:eastAsia="仿宋_GB2312" w:cs="FZFSK--GBK1-0"/>
          <w:sz w:val="32"/>
          <w:szCs w:val="32"/>
          <w:lang w:eastAsia="zh-CN"/>
        </w:rPr>
        <w:t>本局于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日对你（单位）涉嫌</w:t>
      </w:r>
      <w:r>
        <w:rPr>
          <w:rFonts w:hint="eastAsia" w:ascii="仿宋_GB2312" w:hAnsi="宋体" w:eastAsia="仿宋_GB2312" w:cs="FZFSK--GBK1-0"/>
          <w:sz w:val="32"/>
          <w:szCs w:val="32"/>
          <w:u w:val="single"/>
          <w:lang w:val="en-US" w:eastAsia="zh-CN"/>
        </w:rPr>
        <w:t xml:space="preserve">                                             </w:t>
      </w:r>
      <w:r>
        <w:rPr>
          <w:rFonts w:hint="eastAsia" w:ascii="仿宋_GB2312" w:hAnsi="宋体" w:eastAsia="仿宋_GB2312" w:cs="FZFSK--GBK1-0"/>
          <w:sz w:val="32"/>
          <w:szCs w:val="32"/>
          <w:u w:val="none"/>
          <w:lang w:val="en-US" w:eastAsia="zh-CN"/>
        </w:rPr>
        <w:t>行为予以立案调查</w:t>
      </w:r>
      <w:r>
        <w:rPr>
          <w:rFonts w:hint="eastAsia" w:ascii="仿宋_GB2312" w:hAnsi="宋体" w:eastAsia="仿宋_GB2312" w:cs="FZFSK--GBK1-0"/>
          <w:sz w:val="32"/>
          <w:szCs w:val="32"/>
          <w:lang w:eastAsia="zh-CN"/>
        </w:rPr>
        <w:t>。你（单位）于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日向本局提出</w:t>
      </w:r>
      <w:r>
        <w:rPr>
          <w:rFonts w:hint="eastAsia" w:ascii="仿宋_GB2312" w:hAnsi="宋体" w:eastAsia="仿宋_GB2312" w:cs="FZFSK--GBK1-0"/>
          <w:sz w:val="32"/>
          <w:szCs w:val="32"/>
          <w:u w:val="none"/>
          <w:lang w:eastAsia="zh-CN"/>
        </w:rPr>
        <w:t>合规建设的申请。</w:t>
      </w:r>
    </w:p>
    <w:p w14:paraId="33E75E09">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依据《兰溪市市场监督管理局 兰溪市人民检察院 兰溪市司法局关于在市场监管领域实施“全过程普惠制合规”制度的指导意见》的有关规定，本局同意对你（单位）合规建设予以行政指导。请你（单位）在</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u w:val="single"/>
          <w:lang w:val="en-US" w:eastAsia="zh-CN"/>
        </w:rPr>
        <w:t xml:space="preserve"> </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日前完成合规建设，并积极配合本局的行政指导工作。</w:t>
      </w:r>
    </w:p>
    <w:p w14:paraId="5C913CCE">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p>
    <w:p w14:paraId="7F3952D6">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single"/>
          <w:lang w:val="en-US" w:eastAsia="zh-CN"/>
        </w:rPr>
      </w:pPr>
      <w:r>
        <w:rPr>
          <w:rFonts w:hint="eastAsia" w:ascii="仿宋_GB2312" w:hAnsi="宋体" w:eastAsia="仿宋_GB2312" w:cs="FZFSK--GBK1-0"/>
          <w:sz w:val="32"/>
          <w:szCs w:val="32"/>
          <w:u w:val="none"/>
          <w:lang w:val="en-US" w:eastAsia="zh-CN"/>
        </w:rPr>
        <w:t>本局合规指导人员：</w:t>
      </w:r>
      <w:r>
        <w:rPr>
          <w:rFonts w:hint="eastAsia" w:ascii="仿宋_GB2312" w:hAnsi="宋体" w:eastAsia="仿宋_GB2312" w:cs="FZFSK--GBK1-0"/>
          <w:sz w:val="32"/>
          <w:szCs w:val="32"/>
          <w:u w:val="single"/>
          <w:lang w:val="en-US" w:eastAsia="zh-CN"/>
        </w:rPr>
        <w:t xml:space="preserve">                                  </w:t>
      </w:r>
    </w:p>
    <w:p w14:paraId="7D854702">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single"/>
          <w:lang w:val="en-US" w:eastAsia="zh-CN"/>
        </w:rPr>
      </w:pPr>
      <w:r>
        <w:rPr>
          <w:rFonts w:hint="eastAsia" w:ascii="仿宋_GB2312" w:hAnsi="宋体" w:eastAsia="仿宋_GB2312" w:cs="FZFSK--GBK1-0"/>
          <w:sz w:val="32"/>
          <w:szCs w:val="32"/>
          <w:u w:val="none"/>
          <w:lang w:val="en-US" w:eastAsia="zh-CN"/>
        </w:rPr>
        <w:t>联系电话：</w:t>
      </w:r>
      <w:r>
        <w:rPr>
          <w:rFonts w:hint="eastAsia" w:ascii="仿宋_GB2312" w:hAnsi="宋体" w:eastAsia="仿宋_GB2312" w:cs="FZFSK--GBK1-0"/>
          <w:sz w:val="32"/>
          <w:szCs w:val="32"/>
          <w:u w:val="single"/>
          <w:lang w:val="en-US" w:eastAsia="zh-CN"/>
        </w:rPr>
        <w:t xml:space="preserve">                                         </w:t>
      </w:r>
    </w:p>
    <w:p w14:paraId="545AB093">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u w:val="single"/>
          <w:lang w:val="en-US" w:eastAsia="zh-CN"/>
        </w:rPr>
      </w:pPr>
      <w:r>
        <w:rPr>
          <w:rFonts w:hint="eastAsia" w:ascii="仿宋_GB2312" w:hAnsi="宋体" w:eastAsia="仿宋_GB2312" w:cs="FZFSK--GBK1-0"/>
          <w:sz w:val="32"/>
          <w:szCs w:val="32"/>
          <w:u w:val="none"/>
          <w:lang w:val="en-US" w:eastAsia="zh-CN"/>
        </w:rPr>
        <w:t>联系地址：</w:t>
      </w:r>
      <w:r>
        <w:rPr>
          <w:rFonts w:hint="eastAsia" w:ascii="仿宋_GB2312" w:hAnsi="宋体" w:eastAsia="仿宋_GB2312" w:cs="FZFSK--GBK1-0"/>
          <w:sz w:val="32"/>
          <w:szCs w:val="32"/>
          <w:u w:val="single"/>
          <w:lang w:val="en-US" w:eastAsia="zh-CN"/>
        </w:rPr>
        <w:t xml:space="preserve">                                         </w:t>
      </w:r>
    </w:p>
    <w:p w14:paraId="4BC242E2">
      <w:pPr>
        <w:pStyle w:val="2"/>
        <w:keepNext w:val="0"/>
        <w:keepLines w:val="0"/>
        <w:pageBreakBefore w:val="0"/>
        <w:widowControl w:val="0"/>
        <w:shd w:val="clear"/>
        <w:kinsoku/>
        <w:overflowPunct/>
        <w:topLinePunct w:val="0"/>
        <w:bidi w:val="0"/>
        <w:snapToGrid/>
        <w:spacing w:beforeAutospacing="0" w:afterAutospacing="0" w:line="240" w:lineRule="auto"/>
        <w:ind w:left="0" w:leftChars="0"/>
        <w:textAlignment w:val="auto"/>
        <w:rPr>
          <w:rFonts w:hint="default"/>
          <w:lang w:val="en-US" w:eastAsia="zh-CN"/>
        </w:rPr>
      </w:pPr>
      <w:r>
        <w:rPr>
          <w:rFonts w:hint="eastAsia"/>
          <w:lang w:val="en-US" w:eastAsia="zh-CN"/>
        </w:rPr>
        <w:t xml:space="preserve">  </w:t>
      </w:r>
    </w:p>
    <w:p w14:paraId="3C51BA7F">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hint="eastAsia" w:ascii="仿宋_GB2312" w:hAnsi="宋体" w:eastAsia="仿宋_GB2312"/>
          <w:sz w:val="32"/>
          <w:szCs w:val="32"/>
          <w:lang w:eastAsia="zh-CN"/>
        </w:rPr>
      </w:pPr>
    </w:p>
    <w:p w14:paraId="0899824E">
      <w:pPr>
        <w:keepNext w:val="0"/>
        <w:keepLines w:val="0"/>
        <w:pageBreakBefore w:val="0"/>
        <w:widowControl w:val="0"/>
        <w:shd w:val="clear"/>
        <w:kinsoku/>
        <w:wordWrap w:val="0"/>
        <w:overflowPunct/>
        <w:topLinePunct w:val="0"/>
        <w:bidi w:val="0"/>
        <w:snapToGrid/>
        <w:spacing w:beforeAutospacing="0" w:afterAutospacing="0" w:line="240" w:lineRule="auto"/>
        <w:ind w:left="0" w:leftChars="0"/>
        <w:jc w:val="center"/>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 xml:space="preserve">                        兰溪市市场监督管理局</w:t>
      </w:r>
    </w:p>
    <w:p w14:paraId="5834D2F8">
      <w:pPr>
        <w:keepNext w:val="0"/>
        <w:keepLines w:val="0"/>
        <w:pageBreakBefore w:val="0"/>
        <w:widowControl w:val="0"/>
        <w:shd w:val="clear"/>
        <w:kinsoku/>
        <w:wordWrap w:val="0"/>
        <w:overflowPunct/>
        <w:topLinePunct w:val="0"/>
        <w:bidi w:val="0"/>
        <w:snapToGrid/>
        <w:spacing w:beforeAutospacing="0" w:afterAutospacing="0" w:line="240" w:lineRule="auto"/>
        <w:ind w:left="0" w:leftChars="0" w:firstLine="480" w:firstLineChars="150"/>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 xml:space="preserve">                                年    月    日</w:t>
      </w:r>
    </w:p>
    <w:p w14:paraId="4C0B58FF">
      <w:pPr>
        <w:pStyle w:val="2"/>
        <w:keepNext w:val="0"/>
        <w:keepLines w:val="0"/>
        <w:pageBreakBefore w:val="0"/>
        <w:shd w:val="clear"/>
        <w:kinsoku/>
        <w:overflowPunct/>
        <w:topLinePunct w:val="0"/>
        <w:bidi w:val="0"/>
        <w:spacing w:beforeAutospacing="0" w:afterAutospacing="0" w:line="240" w:lineRule="auto"/>
        <w:ind w:left="0" w:leftChars="0"/>
        <w:rPr>
          <w:rFonts w:hint="eastAsia" w:ascii="仿宋_GB2312" w:hAnsi="宋体" w:eastAsia="仿宋_GB2312" w:cs="Microsoft JhengHei"/>
          <w:color w:val="231F20"/>
          <w:sz w:val="32"/>
          <w:szCs w:val="32"/>
          <w:lang w:eastAsia="zh-CN"/>
        </w:rPr>
      </w:pPr>
    </w:p>
    <w:p w14:paraId="01A95B4F">
      <w:pPr>
        <w:pStyle w:val="2"/>
        <w:keepNext w:val="0"/>
        <w:keepLines w:val="0"/>
        <w:pageBreakBefore w:val="0"/>
        <w:shd w:val="clear"/>
        <w:kinsoku/>
        <w:overflowPunct/>
        <w:topLinePunct w:val="0"/>
        <w:bidi w:val="0"/>
        <w:spacing w:beforeAutospacing="0" w:afterAutospacing="0" w:line="240" w:lineRule="auto"/>
        <w:ind w:left="0" w:leftChars="0"/>
        <w:rPr>
          <w:rFonts w:hint="eastAsia"/>
          <w:lang w:val="en-US" w:eastAsia="zh-CN"/>
        </w:rPr>
      </w:pPr>
      <w:r>
        <w:rPr>
          <w:rFonts w:hint="eastAsia" w:ascii="仿宋_GB2312" w:hAnsi="宋体" w:eastAsia="仿宋_GB2312" w:cs="Microsoft JhengHei"/>
          <w:color w:val="231F20"/>
          <w:sz w:val="32"/>
          <w:szCs w:val="32"/>
          <w:lang w:eastAsia="zh-CN"/>
        </w:rPr>
        <w:t>收件人：</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eastAsia="zh-CN"/>
        </w:rPr>
        <w:t>收件日期：</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年</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月</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日</w:t>
      </w:r>
    </w:p>
    <w:p w14:paraId="0A9129C6">
      <w:pPr>
        <w:pStyle w:val="2"/>
        <w:keepNext w:val="0"/>
        <w:keepLines w:val="0"/>
        <w:pageBreakBefore w:val="0"/>
        <w:shd w:val="clear"/>
        <w:kinsoku/>
        <w:overflowPunct/>
        <w:topLinePunct w:val="0"/>
        <w:bidi w:val="0"/>
        <w:spacing w:beforeAutospacing="0" w:afterAutospacing="0" w:line="240" w:lineRule="auto"/>
        <w:ind w:left="0" w:leftChars="0"/>
        <w:rPr>
          <w:rFonts w:hint="eastAsia"/>
          <w:lang w:eastAsia="zh-CN"/>
        </w:rPr>
      </w:pPr>
    </w:p>
    <w:p w14:paraId="501FBD64">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44"/>
          <w:szCs w:val="44"/>
          <w:lang w:eastAsia="zh-CN"/>
        </w:rPr>
      </w:pPr>
      <w:r>
        <w:rPr>
          <w:rFonts w:hint="eastAsia" w:ascii="黑体" w:hAnsi="宋体" w:eastAsia="黑体" w:cs="FZXBSK--GBK1-0"/>
          <w:sz w:val="44"/>
          <w:szCs w:val="44"/>
          <w:lang w:eastAsia="zh-CN"/>
        </w:rPr>
        <w:t>兰溪市市场监督管理局</w:t>
      </w:r>
    </w:p>
    <w:p w14:paraId="4BEA461F">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44"/>
          <w:szCs w:val="44"/>
          <w:lang w:eastAsia="zh-CN"/>
        </w:rPr>
      </w:pPr>
      <w:r>
        <w:rPr>
          <w:rFonts w:hint="eastAsia" w:ascii="黑体" w:hAnsi="宋体" w:eastAsia="黑体" w:cs="FZXBSK--GBK1-0"/>
          <w:sz w:val="44"/>
          <w:szCs w:val="44"/>
          <w:lang w:eastAsia="zh-CN"/>
        </w:rPr>
        <w:t>行政合规指导建议书</w:t>
      </w:r>
    </w:p>
    <w:p w14:paraId="4478CF2E">
      <w:pPr>
        <w:keepNext w:val="0"/>
        <w:keepLines w:val="0"/>
        <w:pageBreakBefore w:val="0"/>
        <w:shd w:val="clear"/>
        <w:tabs>
          <w:tab w:val="left" w:pos="420"/>
          <w:tab w:val="left" w:pos="840"/>
          <w:tab w:val="left" w:pos="1260"/>
          <w:tab w:val="left" w:pos="1680"/>
          <w:tab w:val="left" w:pos="2100"/>
          <w:tab w:val="left" w:pos="2520"/>
          <w:tab w:val="left" w:pos="2940"/>
          <w:tab w:val="left" w:pos="3390"/>
        </w:tabs>
        <w:kinsoku/>
        <w:overflowPunct/>
        <w:topLinePunct w:val="0"/>
        <w:autoSpaceDE w:val="0"/>
        <w:autoSpaceDN w:val="0"/>
        <w:bidi w:val="0"/>
        <w:adjustRightInd w:val="0"/>
        <w:spacing w:beforeAutospacing="0" w:afterAutospacing="0" w:line="240" w:lineRule="auto"/>
        <w:ind w:left="0" w:leftChars="0"/>
        <w:jc w:val="center"/>
        <w:rPr>
          <w:rFonts w:ascii="仿宋_GB2312" w:hAnsi="宋体" w:eastAsia="仿宋_GB2312" w:cs="Microsoft JhengHei"/>
          <w:color w:val="231F20"/>
          <w:position w:val="2"/>
          <w:sz w:val="32"/>
          <w:szCs w:val="32"/>
          <w:lang w:eastAsia="zh-CN"/>
        </w:rPr>
      </w:pPr>
      <w:r>
        <w:rPr>
          <w:rFonts w:hint="eastAsia" w:ascii="仿宋_GB2312" w:hAnsi="宋体" w:eastAsia="仿宋_GB2312" w:cs="Microsoft JhengHei"/>
          <w:color w:val="231F20"/>
          <w:position w:val="2"/>
          <w:sz w:val="32"/>
          <w:szCs w:val="32"/>
          <w:lang w:eastAsia="zh-CN"/>
        </w:rPr>
        <w:t>兰市监行合建〔</w:t>
      </w:r>
      <w:r>
        <w:rPr>
          <w:rFonts w:ascii="仿宋_GB2312" w:hAnsi="宋体" w:eastAsia="仿宋_GB2312" w:cs="Microsoft JhengHei"/>
          <w:color w:val="231F20"/>
          <w:position w:val="2"/>
          <w:sz w:val="32"/>
          <w:szCs w:val="32"/>
          <w:lang w:eastAsia="zh-CN"/>
        </w:rPr>
        <w:tab/>
      </w:r>
      <w:r>
        <w:rPr>
          <w:rFonts w:hint="eastAsia" w:ascii="仿宋_GB2312" w:hAnsi="宋体" w:eastAsia="仿宋_GB2312" w:cs="Microsoft JhengHei"/>
          <w:color w:val="231F20"/>
          <w:position w:val="2"/>
          <w:sz w:val="32"/>
          <w:szCs w:val="32"/>
          <w:lang w:val="en-US" w:eastAsia="zh-CN"/>
        </w:rPr>
        <w:t xml:space="preserve"> </w:t>
      </w:r>
      <w:r>
        <w:rPr>
          <w:rFonts w:hint="eastAsia" w:ascii="仿宋_GB2312" w:hAnsi="宋体" w:eastAsia="仿宋_GB2312" w:cs="Microsoft JhengHei"/>
          <w:color w:val="231F20"/>
          <w:position w:val="2"/>
          <w:sz w:val="32"/>
          <w:szCs w:val="32"/>
          <w:lang w:eastAsia="zh-CN"/>
        </w:rPr>
        <w:t>〕</w:t>
      </w:r>
      <w:r>
        <w:rPr>
          <w:rFonts w:hint="eastAsia" w:ascii="仿宋_GB2312" w:hAnsi="宋体" w:eastAsia="仿宋_GB2312" w:cs="Microsoft JhengHei"/>
          <w:color w:val="231F20"/>
          <w:position w:val="2"/>
          <w:sz w:val="32"/>
          <w:szCs w:val="32"/>
          <w:lang w:val="en-US" w:eastAsia="zh-CN"/>
        </w:rPr>
        <w:t xml:space="preserve">  </w:t>
      </w:r>
      <w:r>
        <w:rPr>
          <w:rFonts w:ascii="仿宋_GB2312" w:hAnsi="宋体" w:eastAsia="仿宋_GB2312" w:cs="Microsoft JhengHei"/>
          <w:color w:val="231F20"/>
          <w:position w:val="2"/>
          <w:sz w:val="32"/>
          <w:szCs w:val="32"/>
          <w:lang w:eastAsia="zh-CN"/>
        </w:rPr>
        <w:tab/>
      </w:r>
      <w:r>
        <w:rPr>
          <w:rFonts w:hint="eastAsia" w:ascii="仿宋_GB2312" w:hAnsi="宋体" w:eastAsia="仿宋_GB2312" w:cs="Microsoft JhengHei"/>
          <w:color w:val="231F20"/>
          <w:position w:val="2"/>
          <w:sz w:val="32"/>
          <w:szCs w:val="32"/>
          <w:lang w:eastAsia="zh-CN"/>
        </w:rPr>
        <w:t>号</w:t>
      </w:r>
    </w:p>
    <w:p w14:paraId="3503C148">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ascii="仿宋_GB2312" w:hAnsi="宋体" w:eastAsia="仿宋_GB2312" w:cs="FZFSK--GBK1-0"/>
          <w:sz w:val="32"/>
          <w:szCs w:val="32"/>
          <w:lang w:eastAsia="zh-CN"/>
        </w:rPr>
      </w:pP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w:t>
      </w:r>
    </w:p>
    <w:p w14:paraId="5A2D7B63">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ascii="仿宋_GB2312" w:hAnsi="宋体" w:eastAsia="仿宋_GB2312" w:cs="FZFSK--GBK1-0"/>
          <w:sz w:val="32"/>
          <w:szCs w:val="32"/>
          <w:u w:val="none"/>
          <w:lang w:eastAsia="zh-CN"/>
        </w:rPr>
      </w:pPr>
      <w:r>
        <w:rPr>
          <w:rFonts w:hint="eastAsia" w:ascii="仿宋_GB2312" w:hAnsi="宋体" w:eastAsia="仿宋_GB2312" w:cs="FZFSK--GBK1-0"/>
          <w:sz w:val="32"/>
          <w:szCs w:val="32"/>
          <w:lang w:eastAsia="zh-CN"/>
        </w:rPr>
        <w:t>本局于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日对你（单位）涉嫌</w:t>
      </w:r>
      <w:r>
        <w:rPr>
          <w:rFonts w:hint="eastAsia" w:ascii="仿宋_GB2312" w:hAnsi="宋体" w:eastAsia="仿宋_GB2312" w:cs="FZFSK--GBK1-0"/>
          <w:sz w:val="32"/>
          <w:szCs w:val="32"/>
          <w:u w:val="single"/>
          <w:lang w:val="en-US" w:eastAsia="zh-CN"/>
        </w:rPr>
        <w:t xml:space="preserve">                                             </w:t>
      </w:r>
      <w:r>
        <w:rPr>
          <w:rFonts w:hint="eastAsia" w:ascii="仿宋_GB2312" w:hAnsi="宋体" w:eastAsia="仿宋_GB2312" w:cs="FZFSK--GBK1-0"/>
          <w:sz w:val="32"/>
          <w:szCs w:val="32"/>
          <w:u w:val="none"/>
          <w:lang w:val="en-US" w:eastAsia="zh-CN"/>
        </w:rPr>
        <w:t>行为予以立案调查</w:t>
      </w:r>
      <w:r>
        <w:rPr>
          <w:rFonts w:hint="eastAsia" w:ascii="仿宋_GB2312" w:hAnsi="宋体" w:eastAsia="仿宋_GB2312" w:cs="FZFSK--GBK1-0"/>
          <w:sz w:val="32"/>
          <w:szCs w:val="32"/>
          <w:lang w:eastAsia="zh-CN"/>
        </w:rPr>
        <w:t>。你（单位）于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日向本局提出</w:t>
      </w:r>
      <w:r>
        <w:rPr>
          <w:rFonts w:hint="eastAsia" w:ascii="仿宋_GB2312" w:hAnsi="宋体" w:eastAsia="仿宋_GB2312" w:cs="FZFSK--GBK1-0"/>
          <w:sz w:val="32"/>
          <w:szCs w:val="32"/>
          <w:u w:val="none"/>
          <w:lang w:eastAsia="zh-CN"/>
        </w:rPr>
        <w:t>合规建设的申请。</w:t>
      </w:r>
    </w:p>
    <w:p w14:paraId="683DDFE9">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依据《兰溪市市场监督管理局 兰溪市人民检察院 兰溪市司法局关于在市场监管领域实施“全过程普惠制合规”制度的指导意见》的有关规定，结合本案实际，特提出以下建议。</w:t>
      </w:r>
    </w:p>
    <w:p w14:paraId="073DADBF">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24" w:firstLineChars="200"/>
        <w:jc w:val="left"/>
        <w:textAlignment w:val="auto"/>
        <w:outlineLvl w:val="9"/>
        <w:rPr>
          <w:rFonts w:hint="eastAsia" w:ascii="仿宋_GB2312" w:hAnsi="宋体" w:eastAsia="仿宋_GB2312" w:cs="FZFSK--GBK1-0"/>
          <w:sz w:val="32"/>
          <w:szCs w:val="32"/>
          <w:u w:val="single"/>
          <w:lang w:val="en-US" w:eastAsia="zh-CN"/>
        </w:rPr>
      </w:pPr>
      <w:r>
        <w:rPr>
          <w:rFonts w:hint="eastAsia" w:ascii="Times New Roman" w:hAnsi="Times New Roman" w:eastAsia="仿宋_GB2312" w:cs="Times New Roman"/>
          <w:color w:val="000000"/>
          <w:spacing w:val="-4"/>
          <w:kern w:val="0"/>
          <w:sz w:val="32"/>
          <w:szCs w:val="32"/>
          <w:u w:val="single"/>
          <w:lang w:val="en-US" w:eastAsia="zh-CN"/>
        </w:rPr>
        <w:t xml:space="preserve">                                                  </w:t>
      </w:r>
    </w:p>
    <w:p w14:paraId="528ADFAD">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24"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Times New Roman" w:hAnsi="Times New Roman" w:eastAsia="仿宋_GB2312" w:cs="Times New Roman"/>
          <w:color w:val="000000"/>
          <w:spacing w:val="-4"/>
          <w:kern w:val="0"/>
          <w:sz w:val="32"/>
          <w:szCs w:val="32"/>
          <w:u w:val="single"/>
          <w:lang w:val="en-US" w:eastAsia="zh-CN"/>
        </w:rPr>
        <w:t xml:space="preserve">                                                  </w:t>
      </w:r>
    </w:p>
    <w:p w14:paraId="07383ECF">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single"/>
          <w:lang w:val="en-US" w:eastAsia="zh-CN"/>
        </w:rPr>
        <w:t xml:space="preserve">                                               </w:t>
      </w:r>
    </w:p>
    <w:p w14:paraId="2C878EB8">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single"/>
          <w:lang w:val="en-US" w:eastAsia="zh-CN"/>
        </w:rPr>
        <w:t xml:space="preserve">                                               </w:t>
      </w:r>
    </w:p>
    <w:p w14:paraId="269B9C4C">
      <w:pPr>
        <w:keepNext w:val="0"/>
        <w:keepLines w:val="0"/>
        <w:pageBreakBefore w:val="0"/>
        <w:widowControl w:val="0"/>
        <w:numPr>
          <w:ilvl w:val="0"/>
          <w:numId w:val="5"/>
        </w:numPr>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single"/>
          <w:lang w:val="en-US" w:eastAsia="zh-CN"/>
        </w:rPr>
        <w:t xml:space="preserve">                                               </w:t>
      </w:r>
    </w:p>
    <w:p w14:paraId="18827C44">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上述建议供你（单位）开展合规建设时作为参考，如有不妥或不明之处，还请及时与合规指导人员联系。</w:t>
      </w:r>
    </w:p>
    <w:p w14:paraId="550875F5">
      <w:pPr>
        <w:pStyle w:val="2"/>
        <w:keepNext w:val="0"/>
        <w:keepLines w:val="0"/>
        <w:pageBreakBefore w:val="0"/>
        <w:widowControl w:val="0"/>
        <w:shd w:val="clear"/>
        <w:kinsoku/>
        <w:overflowPunct/>
        <w:topLinePunct w:val="0"/>
        <w:bidi w:val="0"/>
        <w:snapToGrid/>
        <w:spacing w:beforeAutospacing="0" w:afterAutospacing="0" w:line="240" w:lineRule="auto"/>
        <w:ind w:left="0" w:leftChars="0"/>
        <w:textAlignment w:val="auto"/>
        <w:rPr>
          <w:rFonts w:hint="eastAsia" w:ascii="仿宋_GB2312" w:hAnsi="宋体" w:eastAsia="仿宋_GB2312"/>
          <w:sz w:val="32"/>
          <w:szCs w:val="32"/>
          <w:lang w:eastAsia="zh-CN"/>
        </w:rPr>
      </w:pPr>
    </w:p>
    <w:p w14:paraId="4E5F2203">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textAlignment w:val="auto"/>
        <w:rPr>
          <w:rFonts w:hint="eastAsia" w:ascii="仿宋_GB2312" w:hAnsi="宋体" w:eastAsia="仿宋_GB2312"/>
          <w:sz w:val="32"/>
          <w:szCs w:val="32"/>
          <w:lang w:eastAsia="zh-CN"/>
        </w:rPr>
      </w:pPr>
    </w:p>
    <w:p w14:paraId="5E02E490">
      <w:pPr>
        <w:keepNext w:val="0"/>
        <w:keepLines w:val="0"/>
        <w:pageBreakBefore w:val="0"/>
        <w:widowControl w:val="0"/>
        <w:shd w:val="clear"/>
        <w:kinsoku/>
        <w:wordWrap/>
        <w:overflowPunct/>
        <w:topLinePunct w:val="0"/>
        <w:bidi w:val="0"/>
        <w:snapToGrid/>
        <w:spacing w:beforeAutospacing="0" w:afterAutospacing="0" w:line="240" w:lineRule="auto"/>
        <w:ind w:left="0" w:leftChars="0"/>
        <w:jc w:val="both"/>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 xml:space="preserve">                  </w:t>
      </w:r>
      <w:r>
        <w:rPr>
          <w:rFonts w:hint="eastAsia" w:ascii="仿宋_GB2312" w:hAnsi="宋体" w:eastAsia="仿宋_GB2312" w:cs="Microsoft JhengHei"/>
          <w:color w:val="231F20"/>
          <w:sz w:val="32"/>
          <w:szCs w:val="32"/>
          <w:lang w:val="en-US" w:eastAsia="zh-CN"/>
        </w:rPr>
        <w:t xml:space="preserve">       </w:t>
      </w:r>
      <w:r>
        <w:rPr>
          <w:rFonts w:hint="eastAsia" w:ascii="仿宋_GB2312" w:hAnsi="宋体" w:eastAsia="仿宋_GB2312" w:cs="Microsoft JhengHei"/>
          <w:color w:val="231F20"/>
          <w:sz w:val="32"/>
          <w:szCs w:val="32"/>
          <w:lang w:eastAsia="zh-CN"/>
        </w:rPr>
        <w:t xml:space="preserve"> </w:t>
      </w:r>
      <w:r>
        <w:rPr>
          <w:rFonts w:hint="eastAsia" w:ascii="仿宋_GB2312" w:hAnsi="宋体" w:eastAsia="仿宋_GB2312" w:cs="Microsoft JhengHei"/>
          <w:color w:val="231F20"/>
          <w:sz w:val="32"/>
          <w:szCs w:val="32"/>
          <w:lang w:val="en-US" w:eastAsia="zh-CN"/>
        </w:rPr>
        <w:t xml:space="preserve">  </w:t>
      </w:r>
      <w:r>
        <w:rPr>
          <w:rFonts w:hint="eastAsia" w:ascii="仿宋_GB2312" w:hAnsi="宋体" w:eastAsia="仿宋_GB2312" w:cs="Microsoft JhengHei"/>
          <w:color w:val="231F20"/>
          <w:sz w:val="32"/>
          <w:szCs w:val="32"/>
          <w:lang w:eastAsia="zh-CN"/>
        </w:rPr>
        <w:t>兰溪市市场监督管理局</w:t>
      </w:r>
    </w:p>
    <w:p w14:paraId="40935704">
      <w:pPr>
        <w:keepNext w:val="0"/>
        <w:keepLines w:val="0"/>
        <w:pageBreakBefore w:val="0"/>
        <w:widowControl w:val="0"/>
        <w:shd w:val="clear"/>
        <w:kinsoku/>
        <w:wordWrap w:val="0"/>
        <w:overflowPunct/>
        <w:topLinePunct w:val="0"/>
        <w:bidi w:val="0"/>
        <w:snapToGrid/>
        <w:spacing w:beforeAutospacing="0" w:afterAutospacing="0" w:line="240" w:lineRule="auto"/>
        <w:ind w:left="0" w:leftChars="0" w:firstLine="5120" w:firstLineChars="1600"/>
        <w:textAlignment w:val="auto"/>
        <w:rPr>
          <w:rFonts w:hint="eastAsia" w:ascii="仿宋_GB2312" w:hAnsi="宋体" w:eastAsia="仿宋_GB2312" w:cs="Microsoft JhengHei"/>
          <w:color w:val="231F20"/>
          <w:sz w:val="32"/>
          <w:szCs w:val="32"/>
          <w:lang w:eastAsia="zh-CN"/>
        </w:rPr>
      </w:pPr>
      <w:r>
        <w:rPr>
          <w:rFonts w:hint="eastAsia" w:ascii="仿宋_GB2312" w:hAnsi="宋体" w:eastAsia="仿宋_GB2312" w:cs="Microsoft JhengHei"/>
          <w:color w:val="231F20"/>
          <w:sz w:val="32"/>
          <w:szCs w:val="32"/>
          <w:lang w:eastAsia="zh-CN"/>
        </w:rPr>
        <w:t>年    月    日</w:t>
      </w:r>
      <w:r>
        <w:rPr>
          <w:rFonts w:hint="eastAsia" w:ascii="仿宋_GB2312" w:hAnsi="宋体" w:eastAsia="仿宋_GB2312" w:cs="Microsoft JhengHei"/>
          <w:color w:val="231F20"/>
          <w:sz w:val="32"/>
          <w:szCs w:val="32"/>
          <w:lang w:val="en-US" w:eastAsia="zh-CN"/>
        </w:rPr>
        <w:t xml:space="preserve"> </w:t>
      </w:r>
    </w:p>
    <w:p w14:paraId="0A23691B">
      <w:pPr>
        <w:pStyle w:val="2"/>
        <w:keepNext w:val="0"/>
        <w:keepLines w:val="0"/>
        <w:pageBreakBefore w:val="0"/>
        <w:shd w:val="clear"/>
        <w:kinsoku/>
        <w:overflowPunct/>
        <w:topLinePunct w:val="0"/>
        <w:bidi w:val="0"/>
        <w:spacing w:beforeAutospacing="0" w:afterAutospacing="0" w:line="240" w:lineRule="auto"/>
        <w:ind w:left="0" w:leftChars="0"/>
        <w:rPr>
          <w:rFonts w:hint="eastAsia" w:ascii="仿宋_GB2312" w:hAnsi="宋体" w:eastAsia="仿宋_GB2312" w:cs="Microsoft JhengHei"/>
          <w:color w:val="231F20"/>
          <w:sz w:val="32"/>
          <w:szCs w:val="32"/>
          <w:lang w:eastAsia="zh-CN"/>
        </w:rPr>
      </w:pPr>
    </w:p>
    <w:p w14:paraId="208DB818">
      <w:pPr>
        <w:pStyle w:val="2"/>
        <w:keepNext w:val="0"/>
        <w:keepLines w:val="0"/>
        <w:pageBreakBefore w:val="0"/>
        <w:shd w:val="clear"/>
        <w:kinsoku/>
        <w:overflowPunct/>
        <w:topLinePunct w:val="0"/>
        <w:bidi w:val="0"/>
        <w:spacing w:beforeAutospacing="0" w:afterAutospacing="0" w:line="240" w:lineRule="auto"/>
        <w:ind w:left="0" w:leftChars="0"/>
        <w:rPr>
          <w:rFonts w:hint="default" w:ascii="仿宋_GB2312" w:hAnsi="宋体" w:eastAsia="仿宋_GB2312" w:cs="Microsoft JhengHei"/>
          <w:color w:val="231F20"/>
          <w:sz w:val="32"/>
          <w:szCs w:val="32"/>
          <w:lang w:val="en-US" w:eastAsia="zh-CN"/>
        </w:rPr>
      </w:pPr>
      <w:r>
        <w:rPr>
          <w:rFonts w:hint="eastAsia" w:ascii="仿宋_GB2312" w:hAnsi="宋体" w:eastAsia="仿宋_GB2312" w:cs="Microsoft JhengHei"/>
          <w:color w:val="231F20"/>
          <w:sz w:val="32"/>
          <w:szCs w:val="32"/>
          <w:lang w:eastAsia="zh-CN"/>
        </w:rPr>
        <w:t>收件人：</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eastAsia="zh-CN"/>
        </w:rPr>
        <w:t>收件日期：</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年</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月</w:t>
      </w:r>
      <w:r>
        <w:rPr>
          <w:rFonts w:hint="eastAsia" w:ascii="仿宋_GB2312" w:hAnsi="宋体" w:eastAsia="仿宋_GB2312" w:cs="Microsoft JhengHei"/>
          <w:color w:val="231F20"/>
          <w:sz w:val="32"/>
          <w:szCs w:val="32"/>
          <w:u w:val="single"/>
          <w:lang w:val="en-US" w:eastAsia="zh-CN"/>
        </w:rPr>
        <w:t xml:space="preserve">   </w:t>
      </w:r>
      <w:r>
        <w:rPr>
          <w:rFonts w:hint="eastAsia" w:ascii="仿宋_GB2312" w:hAnsi="宋体" w:eastAsia="仿宋_GB2312" w:cs="Microsoft JhengHei"/>
          <w:color w:val="231F20"/>
          <w:sz w:val="32"/>
          <w:szCs w:val="32"/>
          <w:lang w:val="en-US" w:eastAsia="zh-CN"/>
        </w:rPr>
        <w:t>日</w:t>
      </w:r>
    </w:p>
    <w:p w14:paraId="55E6725E">
      <w:pPr>
        <w:rPr>
          <w:rFonts w:hint="eastAsia" w:ascii="黑体" w:hAnsi="宋体" w:eastAsia="黑体" w:cs="FZXBSK--GBK1-0"/>
          <w:sz w:val="52"/>
          <w:szCs w:val="52"/>
          <w:lang w:eastAsia="zh-CN"/>
        </w:rPr>
      </w:pPr>
      <w:r>
        <w:rPr>
          <w:rFonts w:hint="eastAsia" w:ascii="黑体" w:hAnsi="宋体" w:eastAsia="黑体" w:cs="FZXBSK--GBK1-0"/>
          <w:sz w:val="52"/>
          <w:szCs w:val="52"/>
          <w:lang w:eastAsia="zh-CN"/>
        </w:rPr>
        <w:br w:type="page"/>
      </w:r>
    </w:p>
    <w:p w14:paraId="5FAB6F4D">
      <w:pPr>
        <w:keepNext w:val="0"/>
        <w:keepLines w:val="0"/>
        <w:pageBreakBefore w:val="0"/>
        <w:shd w:val="clear"/>
        <w:kinsoku/>
        <w:overflowPunct/>
        <w:topLinePunct w:val="0"/>
        <w:autoSpaceDE w:val="0"/>
        <w:autoSpaceDN w:val="0"/>
        <w:bidi w:val="0"/>
        <w:adjustRightInd w:val="0"/>
        <w:spacing w:beforeAutospacing="0" w:afterAutospacing="0" w:line="240" w:lineRule="auto"/>
        <w:ind w:left="0" w:leftChars="0"/>
        <w:jc w:val="center"/>
        <w:rPr>
          <w:rFonts w:ascii="黑体" w:hAnsi="宋体" w:eastAsia="黑体" w:cs="FZXBSK--GBK1-0"/>
          <w:sz w:val="52"/>
          <w:szCs w:val="52"/>
          <w:lang w:eastAsia="zh-CN"/>
        </w:rPr>
      </w:pPr>
      <w:r>
        <w:rPr>
          <w:rFonts w:hint="eastAsia" w:ascii="黑体" w:hAnsi="宋体" w:eastAsia="黑体" w:cs="FZXBSK--GBK1-0"/>
          <w:sz w:val="52"/>
          <w:szCs w:val="52"/>
          <w:lang w:eastAsia="zh-CN"/>
        </w:rPr>
        <w:t>合规建设报告</w:t>
      </w:r>
    </w:p>
    <w:p w14:paraId="576E6924">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p>
    <w:p w14:paraId="4139C81E">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兰溪市市场监督管理局：</w:t>
      </w:r>
    </w:p>
    <w:p w14:paraId="0B527F86">
      <w:pPr>
        <w:keepNext w:val="0"/>
        <w:keepLines w:val="0"/>
        <w:pageBreakBefore w:val="0"/>
        <w:widowControl w:val="0"/>
        <w:shd w:val="clear"/>
        <w:kinsoku/>
        <w:wordWrap w:val="0"/>
        <w:overflowPunct/>
        <w:topLinePunct w:val="0"/>
        <w:autoSpaceDE w:val="0"/>
        <w:autoSpaceDN w:val="0"/>
        <w:bidi w:val="0"/>
        <w:adjustRightInd w:val="0"/>
        <w:snapToGrid/>
        <w:spacing w:beforeAutospacing="0" w:afterAutospacing="0" w:line="240" w:lineRule="auto"/>
        <w:ind w:left="0" w:leftChars="0" w:right="0" w:rightChars="0" w:firstLine="640" w:firstLineChars="200"/>
        <w:jc w:val="left"/>
        <w:textAlignment w:val="auto"/>
        <w:outlineLvl w:val="9"/>
        <w:rPr>
          <w:rFonts w:hint="eastAsia" w:ascii="仿宋_GB2312" w:hAnsi="宋体" w:eastAsia="仿宋_GB2312" w:cs="FZFSK--GBK1-0"/>
          <w:sz w:val="32"/>
          <w:szCs w:val="32"/>
          <w:lang w:eastAsia="zh-CN"/>
        </w:rPr>
      </w:pPr>
      <w:r>
        <w:rPr>
          <w:rFonts w:hint="eastAsia" w:ascii="仿宋_GB2312" w:hAnsi="宋体" w:eastAsia="仿宋_GB2312" w:cs="FZFSK--GBK1-0"/>
          <w:sz w:val="32"/>
          <w:szCs w:val="32"/>
          <w:lang w:eastAsia="zh-CN"/>
        </w:rPr>
        <w:t>我（单位）因涉嫌</w:t>
      </w:r>
      <w:r>
        <w:rPr>
          <w:rFonts w:hint="eastAsia" w:ascii="仿宋_GB2312" w:hAnsi="宋体" w:eastAsia="仿宋_GB2312" w:cs="FZFSK--GBK1-0"/>
          <w:sz w:val="32"/>
          <w:szCs w:val="32"/>
          <w:u w:val="single"/>
          <w:lang w:val="en-US" w:eastAsia="zh-CN"/>
        </w:rPr>
        <w:t xml:space="preserve">                  </w:t>
      </w:r>
      <w:r>
        <w:rPr>
          <w:rFonts w:hint="eastAsia" w:ascii="仿宋_GB2312" w:hAnsi="宋体" w:eastAsia="仿宋_GB2312" w:cs="FZFSK--GBK1-0"/>
          <w:sz w:val="32"/>
          <w:szCs w:val="32"/>
          <w:u w:val="none"/>
          <w:lang w:val="en-US" w:eastAsia="zh-CN"/>
        </w:rPr>
        <w:t>行为被你局予以立案调查</w:t>
      </w:r>
      <w:r>
        <w:rPr>
          <w:rFonts w:hint="eastAsia" w:ascii="仿宋_GB2312" w:hAnsi="宋体" w:eastAsia="仿宋_GB2312" w:cs="FZFSK--GBK1-0"/>
          <w:sz w:val="32"/>
          <w:szCs w:val="32"/>
          <w:lang w:eastAsia="zh-CN"/>
        </w:rPr>
        <w:t>。我（单位）于</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日向你局提出了</w:t>
      </w:r>
      <w:r>
        <w:rPr>
          <w:rFonts w:hint="eastAsia" w:ascii="仿宋_GB2312" w:hAnsi="宋体" w:eastAsia="仿宋_GB2312" w:cs="FZFSK--GBK1-0"/>
          <w:sz w:val="32"/>
          <w:szCs w:val="32"/>
          <w:u w:val="none"/>
          <w:lang w:eastAsia="zh-CN"/>
        </w:rPr>
        <w:t>合规建设的申请。在你局的行政合规指导下，我（单位）采取多种途径开展了合规建设。</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年</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月</w:t>
      </w:r>
      <w:r>
        <w:rPr>
          <w:rFonts w:hint="eastAsia" w:ascii="仿宋_GB2312" w:hAnsi="宋体" w:eastAsia="仿宋_GB2312" w:cs="FZFSK--GBK1-0"/>
          <w:sz w:val="32"/>
          <w:szCs w:val="32"/>
          <w:u w:val="single"/>
          <w:lang w:eastAsia="zh-CN"/>
        </w:rPr>
        <w:t xml:space="preserve">   </w:t>
      </w:r>
      <w:r>
        <w:rPr>
          <w:rFonts w:hint="eastAsia" w:ascii="仿宋_GB2312" w:hAnsi="宋体" w:eastAsia="仿宋_GB2312" w:cs="FZFSK--GBK1-0"/>
          <w:sz w:val="32"/>
          <w:szCs w:val="32"/>
          <w:lang w:eastAsia="zh-CN"/>
        </w:rPr>
        <w:t>日，我（单位）阶段性完成了预期的合规建设，现将阶段性完成情况报告如下。</w:t>
      </w:r>
    </w:p>
    <w:p w14:paraId="44E395FE">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643" w:firstLineChars="200"/>
        <w:textAlignment w:val="auto"/>
        <w:rPr>
          <w:rFonts w:hint="eastAsia" w:ascii="仿宋_GB2312" w:hAnsi="宋体" w:eastAsia="仿宋_GB2312" w:cs="FZFSK--GBK1-0"/>
          <w:b/>
          <w:bCs/>
          <w:sz w:val="32"/>
          <w:szCs w:val="32"/>
          <w:lang w:val="en-US" w:eastAsia="zh-CN"/>
        </w:rPr>
      </w:pPr>
      <w:r>
        <w:rPr>
          <w:rFonts w:hint="eastAsia" w:ascii="仿宋_GB2312" w:hAnsi="宋体" w:eastAsia="仿宋_GB2312" w:cs="FZFSK--GBK1-0"/>
          <w:b/>
          <w:bCs/>
          <w:sz w:val="32"/>
          <w:szCs w:val="32"/>
          <w:lang w:val="en-US" w:eastAsia="zh-CN"/>
        </w:rPr>
        <w:t>一、我（单位）存在的主要不足及原因分析</w:t>
      </w:r>
    </w:p>
    <w:p w14:paraId="6148AE3B">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lang w:val="en-US" w:eastAsia="zh-CN"/>
        </w:rPr>
      </w:pPr>
      <w:r>
        <w:rPr>
          <w:rFonts w:hint="eastAsia" w:ascii="仿宋_GB2312" w:hAnsi="宋体" w:eastAsia="仿宋_GB2312" w:cs="FZFSK--GBK1-0"/>
          <w:sz w:val="32"/>
          <w:szCs w:val="32"/>
          <w:lang w:val="en-US" w:eastAsia="zh-CN"/>
        </w:rPr>
        <w:t>*******</w:t>
      </w:r>
    </w:p>
    <w:p w14:paraId="24A7F076">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321" w:firstLineChars="100"/>
        <w:textAlignment w:val="auto"/>
        <w:rPr>
          <w:rFonts w:hint="default" w:ascii="仿宋_GB2312" w:hAnsi="宋体" w:eastAsia="仿宋_GB2312" w:cs="FZFSK--GBK1-0"/>
          <w:b/>
          <w:bCs/>
          <w:sz w:val="32"/>
          <w:szCs w:val="32"/>
          <w:lang w:val="en-US" w:eastAsia="zh-CN"/>
        </w:rPr>
      </w:pPr>
      <w:r>
        <w:rPr>
          <w:rFonts w:hint="eastAsia" w:ascii="仿宋_GB2312" w:hAnsi="宋体" w:eastAsia="仿宋_GB2312" w:cs="FZFSK--GBK1-0"/>
          <w:b/>
          <w:bCs/>
          <w:sz w:val="32"/>
          <w:szCs w:val="32"/>
          <w:lang w:val="en-US" w:eastAsia="zh-CN"/>
        </w:rPr>
        <w:t>二、合规建设中采取的主要措施及成效</w:t>
      </w:r>
    </w:p>
    <w:p w14:paraId="53CCDF6D">
      <w:pPr>
        <w:pStyle w:val="2"/>
        <w:keepNext w:val="0"/>
        <w:keepLines w:val="0"/>
        <w:pageBreakBefore w:val="0"/>
        <w:widowControl w:val="0"/>
        <w:numPr>
          <w:ilvl w:val="0"/>
          <w:numId w:val="7"/>
        </w:numPr>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lang w:val="en-US" w:eastAsia="zh-CN"/>
        </w:rPr>
      </w:pPr>
      <w:r>
        <w:rPr>
          <w:rFonts w:hint="eastAsia" w:ascii="楷体_GB2312" w:hAnsi="楷体_GB2312" w:eastAsia="楷体_GB2312" w:cs="楷体_GB2312"/>
          <w:sz w:val="32"/>
          <w:szCs w:val="32"/>
          <w:lang w:val="en-US" w:eastAsia="zh-CN"/>
        </w:rPr>
        <w:t>改正违法</w:t>
      </w:r>
      <w:r>
        <w:rPr>
          <w:rFonts w:hint="eastAsia" w:ascii="仿宋_GB2312" w:hAnsi="宋体" w:eastAsia="仿宋_GB2312" w:cs="FZFSK--GBK1-0"/>
          <w:sz w:val="32"/>
          <w:szCs w:val="32"/>
          <w:lang w:val="en-US" w:eastAsia="zh-CN"/>
        </w:rPr>
        <w:t>：是否已停止违法，是否采取措施消除违法状态，减轻危害后果？</w:t>
      </w:r>
    </w:p>
    <w:p w14:paraId="14E1BA8B">
      <w:pPr>
        <w:pStyle w:val="2"/>
        <w:keepNext w:val="0"/>
        <w:keepLines w:val="0"/>
        <w:pageBreakBefore w:val="0"/>
        <w:widowControl w:val="0"/>
        <w:numPr>
          <w:ilvl w:val="0"/>
          <w:numId w:val="7"/>
        </w:numPr>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lang w:val="en-US" w:eastAsia="zh-CN"/>
        </w:rPr>
      </w:pPr>
      <w:r>
        <w:rPr>
          <w:rFonts w:hint="eastAsia" w:ascii="楷体_GB2312" w:hAnsi="楷体_GB2312" w:eastAsia="楷体_GB2312" w:cs="楷体_GB2312"/>
          <w:sz w:val="32"/>
          <w:szCs w:val="32"/>
          <w:lang w:val="en-US" w:eastAsia="zh-CN"/>
        </w:rPr>
        <w:t>组织再造</w:t>
      </w:r>
      <w:r>
        <w:rPr>
          <w:rFonts w:hint="eastAsia" w:ascii="仿宋_GB2312" w:hAnsi="宋体" w:eastAsia="仿宋_GB2312" w:cs="FZFSK--GBK1-0"/>
          <w:sz w:val="32"/>
          <w:szCs w:val="32"/>
          <w:lang w:val="en-US" w:eastAsia="zh-CN"/>
        </w:rPr>
        <w:t>：是否建立合规管理机构或配置合规管理人员？专业水平和职权是否满足工作需要？</w:t>
      </w:r>
    </w:p>
    <w:p w14:paraId="6EF78BFE">
      <w:pPr>
        <w:pStyle w:val="2"/>
        <w:keepNext w:val="0"/>
        <w:keepLines w:val="0"/>
        <w:pageBreakBefore w:val="0"/>
        <w:widowControl w:val="0"/>
        <w:numPr>
          <w:ilvl w:val="0"/>
          <w:numId w:val="7"/>
        </w:numPr>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lang w:val="en-US" w:eastAsia="zh-CN"/>
        </w:rPr>
      </w:pPr>
      <w:r>
        <w:rPr>
          <w:rFonts w:hint="eastAsia" w:ascii="楷体_GB2312" w:hAnsi="楷体_GB2312" w:eastAsia="楷体_GB2312" w:cs="楷体_GB2312"/>
          <w:sz w:val="32"/>
          <w:szCs w:val="32"/>
          <w:lang w:val="en-US" w:eastAsia="zh-CN"/>
        </w:rPr>
        <w:t>制度建设</w:t>
      </w:r>
      <w:r>
        <w:rPr>
          <w:rFonts w:hint="eastAsia" w:ascii="仿宋_GB2312" w:hAnsi="宋体" w:eastAsia="仿宋_GB2312" w:cs="FZFSK--GBK1-0"/>
          <w:sz w:val="32"/>
          <w:szCs w:val="32"/>
          <w:lang w:val="en-US" w:eastAsia="zh-CN"/>
        </w:rPr>
        <w:t>：与涉案违规风险相关的制度漏洞或工作流程是否得到改进、完善？是否建立违规风险监测、举报、调查、处理和定期报告机制？</w:t>
      </w:r>
    </w:p>
    <w:p w14:paraId="78BD6027">
      <w:pPr>
        <w:pStyle w:val="2"/>
        <w:keepNext w:val="0"/>
        <w:keepLines w:val="0"/>
        <w:pageBreakBefore w:val="0"/>
        <w:widowControl w:val="0"/>
        <w:numPr>
          <w:ilvl w:val="0"/>
          <w:numId w:val="7"/>
        </w:numPr>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lang w:val="en-US" w:eastAsia="zh-CN"/>
        </w:rPr>
      </w:pPr>
      <w:r>
        <w:rPr>
          <w:rFonts w:hint="eastAsia" w:ascii="楷体_GB2312" w:hAnsi="楷体_GB2312" w:eastAsia="楷体_GB2312" w:cs="楷体_GB2312"/>
          <w:sz w:val="32"/>
          <w:szCs w:val="32"/>
          <w:lang w:val="en-US" w:eastAsia="zh-CN"/>
        </w:rPr>
        <w:t>风险识别</w:t>
      </w:r>
      <w:r>
        <w:rPr>
          <w:rFonts w:hint="eastAsia" w:ascii="仿宋_GB2312" w:hAnsi="宋体" w:eastAsia="仿宋_GB2312" w:cs="FZFSK--GBK1-0"/>
          <w:sz w:val="32"/>
          <w:szCs w:val="32"/>
          <w:lang w:val="en-US" w:eastAsia="zh-CN"/>
        </w:rPr>
        <w:t>：是否能有效识别、控制涉案领域违规风险？</w:t>
      </w:r>
    </w:p>
    <w:p w14:paraId="59A07537">
      <w:pPr>
        <w:pStyle w:val="2"/>
        <w:keepNext w:val="0"/>
        <w:keepLines w:val="0"/>
        <w:pageBreakBefore w:val="0"/>
        <w:widowControl w:val="0"/>
        <w:numPr>
          <w:ilvl w:val="0"/>
          <w:numId w:val="7"/>
        </w:numPr>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lang w:val="en-US" w:eastAsia="zh-CN"/>
        </w:rPr>
      </w:pPr>
      <w:r>
        <w:rPr>
          <w:rFonts w:hint="eastAsia" w:ascii="楷体_GB2312" w:hAnsi="楷体_GB2312" w:eastAsia="楷体_GB2312" w:cs="楷体_GB2312"/>
          <w:sz w:val="32"/>
          <w:szCs w:val="32"/>
          <w:lang w:val="en-US" w:eastAsia="zh-CN"/>
        </w:rPr>
        <w:t>合规保障</w:t>
      </w:r>
      <w:r>
        <w:rPr>
          <w:rFonts w:hint="eastAsia" w:ascii="仿宋_GB2312" w:hAnsi="宋体" w:eastAsia="仿宋_GB2312" w:cs="FZFSK--GBK1-0"/>
          <w:sz w:val="32"/>
          <w:szCs w:val="32"/>
          <w:lang w:val="en-US" w:eastAsia="zh-CN"/>
        </w:rPr>
        <w:t>：是否有必要的人力、物力予以保障，是否能够得到长期有效执行落实？</w:t>
      </w:r>
    </w:p>
    <w:p w14:paraId="0ED9E9D0">
      <w:pPr>
        <w:pStyle w:val="2"/>
        <w:keepNext w:val="0"/>
        <w:keepLines w:val="0"/>
        <w:pageBreakBefore w:val="0"/>
        <w:widowControl w:val="0"/>
        <w:numPr>
          <w:ilvl w:val="0"/>
          <w:numId w:val="7"/>
        </w:numPr>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lang w:val="en-US" w:eastAsia="zh-CN"/>
        </w:rPr>
      </w:pPr>
      <w:r>
        <w:rPr>
          <w:rFonts w:hint="eastAsia" w:ascii="楷体_GB2312" w:hAnsi="楷体_GB2312" w:eastAsia="楷体_GB2312" w:cs="楷体_GB2312"/>
          <w:sz w:val="32"/>
          <w:szCs w:val="32"/>
          <w:lang w:val="en-US" w:eastAsia="zh-CN"/>
        </w:rPr>
        <w:t>合规文化</w:t>
      </w:r>
      <w:r>
        <w:rPr>
          <w:rFonts w:hint="eastAsia" w:ascii="仿宋_GB2312" w:hAnsi="宋体" w:eastAsia="仿宋_GB2312" w:cs="FZFSK--GBK1-0"/>
          <w:sz w:val="32"/>
          <w:szCs w:val="32"/>
          <w:lang w:val="en-US" w:eastAsia="zh-CN"/>
        </w:rPr>
        <w:t>：是否开展必要的培训，是否将合规纳入企业文化建设，是否形成较好的合规氛围？</w:t>
      </w:r>
    </w:p>
    <w:p w14:paraId="544A356C">
      <w:pPr>
        <w:pStyle w:val="2"/>
        <w:keepNext w:val="0"/>
        <w:keepLines w:val="0"/>
        <w:pageBreakBefore w:val="0"/>
        <w:widowControl w:val="0"/>
        <w:numPr>
          <w:ilvl w:val="0"/>
          <w:numId w:val="7"/>
        </w:numPr>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lang w:val="en-US" w:eastAsia="zh-CN"/>
        </w:rPr>
      </w:pPr>
      <w:r>
        <w:rPr>
          <w:rFonts w:hint="eastAsia" w:ascii="楷体_GB2312" w:hAnsi="楷体_GB2312" w:eastAsia="楷体_GB2312" w:cs="楷体_GB2312"/>
          <w:sz w:val="32"/>
          <w:szCs w:val="32"/>
          <w:lang w:val="en-US" w:eastAsia="zh-CN"/>
        </w:rPr>
        <w:t>全面合规</w:t>
      </w:r>
      <w:r>
        <w:rPr>
          <w:rFonts w:hint="eastAsia" w:ascii="仿宋_GB2312" w:hAnsi="宋体" w:eastAsia="仿宋_GB2312" w:cs="FZFSK--GBK1-0"/>
          <w:sz w:val="32"/>
          <w:szCs w:val="32"/>
          <w:lang w:val="en-US" w:eastAsia="zh-CN"/>
        </w:rPr>
        <w:t>：是否自我加压，在更广的领域开展合规建设？</w:t>
      </w:r>
    </w:p>
    <w:p w14:paraId="7EDCAE3C">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321" w:firstLineChars="100"/>
        <w:textAlignment w:val="auto"/>
        <w:rPr>
          <w:rFonts w:hint="default" w:ascii="仿宋_GB2312" w:hAnsi="宋体" w:eastAsia="仿宋_GB2312" w:cs="FZFSK--GBK1-0"/>
          <w:b/>
          <w:bCs/>
          <w:sz w:val="32"/>
          <w:szCs w:val="32"/>
          <w:lang w:val="en-US" w:eastAsia="zh-CN"/>
        </w:rPr>
      </w:pPr>
      <w:r>
        <w:rPr>
          <w:rFonts w:hint="eastAsia" w:ascii="仿宋_GB2312" w:hAnsi="宋体" w:eastAsia="仿宋_GB2312" w:cs="FZFSK--GBK1-0"/>
          <w:b/>
          <w:bCs/>
          <w:sz w:val="32"/>
          <w:szCs w:val="32"/>
          <w:lang w:val="en-US" w:eastAsia="zh-CN"/>
        </w:rPr>
        <w:t>三、合规工作的不足及今后的合规建设思路</w:t>
      </w:r>
    </w:p>
    <w:p w14:paraId="57B75615">
      <w:pPr>
        <w:pStyle w:val="2"/>
        <w:keepNext w:val="0"/>
        <w:keepLines w:val="0"/>
        <w:pageBreakBefore w:val="0"/>
        <w:widowControl w:val="0"/>
        <w:numPr>
          <w:ilvl w:val="0"/>
          <w:numId w:val="0"/>
        </w:numPr>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lang w:val="en-US" w:eastAsia="zh-CN"/>
        </w:rPr>
      </w:pPr>
      <w:r>
        <w:rPr>
          <w:rFonts w:hint="eastAsia" w:ascii="仿宋_GB2312" w:hAnsi="宋体" w:eastAsia="仿宋_GB2312" w:cs="FZFSK--GBK1-0"/>
          <w:sz w:val="32"/>
          <w:szCs w:val="32"/>
          <w:lang w:val="en-US" w:eastAsia="zh-CN"/>
        </w:rPr>
        <w:t>***********</w:t>
      </w:r>
    </w:p>
    <w:p w14:paraId="440B5BB9">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u w:val="single"/>
          <w:lang w:val="en-US" w:eastAsia="zh-CN"/>
        </w:rPr>
      </w:pPr>
    </w:p>
    <w:p w14:paraId="0AB56820">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default"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附：有关佐证资料1份</w:t>
      </w:r>
    </w:p>
    <w:p w14:paraId="43D0F439">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 xml:space="preserve">                  </w:t>
      </w:r>
    </w:p>
    <w:p w14:paraId="3D9FCB9B">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textAlignment w:val="auto"/>
        <w:rPr>
          <w:rFonts w:hint="default" w:ascii="仿宋_GB2312" w:hAnsi="宋体" w:eastAsia="仿宋_GB2312" w:cs="FZFSK--GBK1-0"/>
          <w:sz w:val="32"/>
          <w:szCs w:val="32"/>
          <w:u w:val="single"/>
          <w:lang w:val="en-US" w:eastAsia="zh-CN"/>
        </w:rPr>
      </w:pPr>
    </w:p>
    <w:p w14:paraId="714B3417">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textAlignment w:val="auto"/>
        <w:rPr>
          <w:rFonts w:hint="default" w:ascii="仿宋_GB2312" w:hAnsi="宋体" w:eastAsia="仿宋_GB2312" w:cs="FZFSK--GBK1-0"/>
          <w:sz w:val="32"/>
          <w:szCs w:val="32"/>
          <w:u w:val="single"/>
          <w:lang w:val="en-US" w:eastAsia="zh-CN"/>
        </w:rPr>
      </w:pPr>
    </w:p>
    <w:p w14:paraId="3F40387F">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 xml:space="preserve">                     </w:t>
      </w:r>
    </w:p>
    <w:p w14:paraId="6F97F804">
      <w:pPr>
        <w:pStyle w:val="2"/>
        <w:keepNext w:val="0"/>
        <w:keepLines w:val="0"/>
        <w:pageBreakBefore w:val="0"/>
        <w:widowControl w:val="0"/>
        <w:shd w:val="clear"/>
        <w:kinsoku/>
        <w:overflowPunct/>
        <w:topLinePunct w:val="0"/>
        <w:bidi w:val="0"/>
        <w:snapToGrid/>
        <w:spacing w:beforeAutospacing="0" w:afterAutospacing="0" w:line="240" w:lineRule="auto"/>
        <w:ind w:left="0" w:leftChars="0" w:firstLine="640" w:firstLineChars="200"/>
        <w:textAlignment w:val="auto"/>
        <w:rPr>
          <w:rFonts w:hint="eastAsia" w:ascii="仿宋_GB2312" w:hAnsi="宋体" w:eastAsia="仿宋_GB2312" w:cs="FZFSK--GBK1-0"/>
          <w:sz w:val="32"/>
          <w:szCs w:val="32"/>
          <w:u w:val="none"/>
          <w:lang w:val="en-US" w:eastAsia="zh-CN"/>
        </w:rPr>
      </w:pPr>
      <w:r>
        <w:rPr>
          <w:rFonts w:hint="eastAsia" w:ascii="仿宋_GB2312" w:hAnsi="宋体" w:eastAsia="仿宋_GB2312" w:cs="FZFSK--GBK1-0"/>
          <w:sz w:val="32"/>
          <w:szCs w:val="32"/>
          <w:u w:val="none"/>
          <w:lang w:val="en-US" w:eastAsia="zh-CN"/>
        </w:rPr>
        <w:t xml:space="preserve">                     合规建设单位：</w:t>
      </w:r>
    </w:p>
    <w:p w14:paraId="6EB4D953">
      <w:pPr>
        <w:pStyle w:val="2"/>
        <w:keepNext w:val="0"/>
        <w:keepLines w:val="0"/>
        <w:pageBreakBefore w:val="0"/>
        <w:shd w:val="clear"/>
        <w:kinsoku/>
        <w:overflowPunct/>
        <w:topLinePunct w:val="0"/>
        <w:bidi w:val="0"/>
        <w:spacing w:beforeAutospacing="0" w:afterAutospacing="0" w:line="240" w:lineRule="auto"/>
        <w:ind w:left="0" w:leftChars="0"/>
        <w:rPr>
          <w:rFonts w:hint="eastAsia" w:ascii="仿宋_GB2312" w:hAnsi="仿宋" w:eastAsia="仿宋_GB2312" w:cs="仿宋_GB2312"/>
          <w:sz w:val="32"/>
          <w:szCs w:val="32"/>
          <w:lang w:val="en-US"/>
        </w:rPr>
      </w:pPr>
      <w:r>
        <w:rPr>
          <w:rFonts w:hint="eastAsia" w:ascii="仿宋_GB2312" w:hAnsi="宋体" w:eastAsia="仿宋_GB2312" w:cs="FZFSK--GBK1-0"/>
          <w:sz w:val="32"/>
          <w:szCs w:val="32"/>
          <w:u w:val="none"/>
          <w:lang w:val="en-US" w:eastAsia="zh-CN"/>
        </w:rPr>
        <w:t xml:space="preserve">                         年   月   日         </w:t>
      </w:r>
    </w:p>
    <w:p w14:paraId="098862E4">
      <w:pPr>
        <w:pStyle w:val="2"/>
        <w:keepNext w:val="0"/>
        <w:keepLines w:val="0"/>
        <w:pageBreakBefore w:val="0"/>
        <w:shd w:val="clear"/>
        <w:kinsoku/>
        <w:overflowPunct/>
        <w:topLinePunct w:val="0"/>
        <w:bidi w:val="0"/>
        <w:spacing w:beforeAutospacing="0" w:afterAutospacing="0" w:line="240" w:lineRule="auto"/>
        <w:ind w:left="0" w:leftChars="0"/>
        <w:rPr>
          <w:rFonts w:hint="eastAsia" w:ascii="仿宋_GB2312" w:hAnsi="仿宋" w:eastAsia="仿宋_GB2312" w:cs="仿宋_GB2312"/>
          <w:sz w:val="32"/>
          <w:szCs w:val="32"/>
          <w:lang w:val="en-US"/>
        </w:rPr>
      </w:pPr>
    </w:p>
    <w:p w14:paraId="7556A125">
      <w:pPr>
        <w:pStyle w:val="2"/>
        <w:keepNext w:val="0"/>
        <w:keepLines w:val="0"/>
        <w:pageBreakBefore w:val="0"/>
        <w:shd w:val="clear"/>
        <w:kinsoku/>
        <w:overflowPunct/>
        <w:topLinePunct w:val="0"/>
        <w:bidi w:val="0"/>
        <w:spacing w:beforeAutospacing="0" w:afterAutospacing="0" w:line="240" w:lineRule="auto"/>
        <w:ind w:left="0" w:leftChars="0"/>
        <w:rPr>
          <w:rFonts w:hint="eastAsia" w:ascii="仿宋_GB2312" w:hAnsi="仿宋" w:eastAsia="仿宋_GB2312" w:cs="仿宋_GB2312"/>
          <w:sz w:val="32"/>
          <w:szCs w:val="32"/>
          <w:lang w:val="en-US"/>
        </w:rPr>
      </w:pPr>
    </w:p>
    <w:p w14:paraId="5BDC4530">
      <w:pPr>
        <w:pStyle w:val="7"/>
        <w:keepNext w:val="0"/>
        <w:keepLines w:val="0"/>
        <w:pageBreakBefore w:val="0"/>
        <w:shd w:val="clear"/>
        <w:kinsoku/>
        <w:overflowPunct/>
        <w:topLinePunct w:val="0"/>
        <w:bidi w:val="0"/>
        <w:spacing w:beforeAutospacing="0" w:afterAutospacing="0" w:line="240" w:lineRule="auto"/>
        <w:ind w:left="0" w:leftChars="0"/>
        <w:rPr>
          <w:rFonts w:hint="eastAsia"/>
          <w:lang w:val="en-US"/>
        </w:rPr>
      </w:pPr>
    </w:p>
    <w:p w14:paraId="0AC5D168">
      <w:pPr>
        <w:pStyle w:val="8"/>
        <w:keepNext w:val="0"/>
        <w:keepLines w:val="0"/>
        <w:pageBreakBefore w:val="0"/>
        <w:widowControl/>
        <w:suppressLineNumbers w:val="0"/>
        <w:shd w:val="clear"/>
        <w:kinsoku/>
        <w:overflowPunct/>
        <w:topLinePunct w:val="0"/>
        <w:bidi w:val="0"/>
        <w:spacing w:before="0" w:beforeAutospacing="0" w:after="0" w:afterAutospacing="0" w:line="240" w:lineRule="auto"/>
        <w:ind w:left="0" w:leftChars="0" w:right="0" w:firstLine="5760" w:firstLineChars="1800"/>
        <w:rPr>
          <w:rFonts w:hint="eastAsia" w:ascii="仿宋_GB2312" w:hAnsi="仿宋" w:eastAsia="仿宋_GB2312" w:cs="仿宋_GB2312"/>
          <w:sz w:val="32"/>
          <w:szCs w:val="32"/>
          <w:lang w:val="en-US"/>
        </w:rPr>
      </w:pPr>
      <w:r>
        <w:rPr>
          <w:rFonts w:hint="eastAsia" w:ascii="仿宋_GB2312" w:hAnsi="仿宋" w:eastAsia="仿宋_GB2312" w:cs="仿宋_GB2312"/>
          <w:sz w:val="32"/>
          <w:szCs w:val="32"/>
          <w:lang w:val="en-US"/>
        </w:rPr>
        <w:t xml:space="preserve">  </w:t>
      </w:r>
    </w:p>
    <w:p w14:paraId="2EB9CE58">
      <w:pPr>
        <w:keepNext w:val="0"/>
        <w:keepLines w:val="0"/>
        <w:pageBreakBefore w:val="0"/>
        <w:shd w:val="clear"/>
        <w:kinsoku/>
        <w:overflowPunct/>
        <w:topLinePunct w:val="0"/>
        <w:bidi w:val="0"/>
        <w:spacing w:beforeAutospacing="0" w:afterAutospacing="0" w:line="240" w:lineRule="auto"/>
        <w:ind w:left="0" w:leftChars="0"/>
        <w:rPr>
          <w:rFonts w:hint="eastAsia" w:ascii="仿宋_GB2312" w:hAnsi="仿宋" w:eastAsia="仿宋_GB2312" w:cs="仿宋_GB2312"/>
          <w:sz w:val="32"/>
          <w:szCs w:val="32"/>
          <w:lang w:val="en-US"/>
        </w:rPr>
        <w:sectPr>
          <w:pgSz w:w="11906" w:h="16838"/>
          <w:pgMar w:top="1440" w:right="12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A39D968">
      <w:pPr>
        <w:keepNext w:val="0"/>
        <w:keepLines w:val="0"/>
        <w:pageBreakBefore w:val="0"/>
        <w:shd w:val="clear"/>
        <w:kinsoku/>
        <w:overflowPunct/>
        <w:topLinePunct w:val="0"/>
        <w:bidi w:val="0"/>
        <w:spacing w:beforeAutospacing="0" w:afterAutospacing="0" w:line="240" w:lineRule="auto"/>
        <w:ind w:left="0" w:leftChars="0"/>
        <w:jc w:val="center"/>
        <w:rPr>
          <w:rFonts w:hint="eastAsia" w:ascii="仿宋_GB2312" w:hAnsi="仿宋_GB2312" w:eastAsia="仿宋_GB2312" w:cs="仿宋_GB2312"/>
          <w:b/>
          <w:bCs/>
          <w:sz w:val="28"/>
          <w:szCs w:val="28"/>
          <w:lang w:eastAsia="zh-CN"/>
        </w:rPr>
      </w:pPr>
      <w:r>
        <w:rPr>
          <w:rFonts w:hint="eastAsia"/>
          <w:b/>
          <w:bCs/>
          <w:sz w:val="52"/>
          <w:szCs w:val="52"/>
          <w:lang w:eastAsia="zh-CN"/>
        </w:rPr>
        <w:t>合</w:t>
      </w:r>
      <w:r>
        <w:rPr>
          <w:rFonts w:hint="eastAsia"/>
          <w:b/>
          <w:bCs/>
          <w:sz w:val="52"/>
          <w:szCs w:val="52"/>
          <w:lang w:val="en-US" w:eastAsia="zh-CN"/>
        </w:rPr>
        <w:t xml:space="preserve"> </w:t>
      </w:r>
      <w:r>
        <w:rPr>
          <w:rFonts w:hint="eastAsia"/>
          <w:b/>
          <w:bCs/>
          <w:sz w:val="52"/>
          <w:szCs w:val="52"/>
          <w:lang w:eastAsia="zh-CN"/>
        </w:rPr>
        <w:t>规</w:t>
      </w:r>
      <w:r>
        <w:rPr>
          <w:rFonts w:hint="eastAsia"/>
          <w:b/>
          <w:bCs/>
          <w:sz w:val="52"/>
          <w:szCs w:val="52"/>
          <w:lang w:val="en-US" w:eastAsia="zh-CN"/>
        </w:rPr>
        <w:t xml:space="preserve"> 价 值 </w:t>
      </w:r>
      <w:r>
        <w:rPr>
          <w:rFonts w:hint="eastAsia"/>
          <w:b/>
          <w:bCs/>
          <w:sz w:val="52"/>
          <w:szCs w:val="52"/>
          <w:lang w:eastAsia="zh-CN"/>
        </w:rPr>
        <w:t>评</w:t>
      </w:r>
      <w:r>
        <w:rPr>
          <w:rFonts w:hint="eastAsia"/>
          <w:b/>
          <w:bCs/>
          <w:sz w:val="52"/>
          <w:szCs w:val="52"/>
          <w:lang w:val="en-US" w:eastAsia="zh-CN"/>
        </w:rPr>
        <w:t xml:space="preserve"> </w:t>
      </w:r>
      <w:r>
        <w:rPr>
          <w:rFonts w:hint="eastAsia"/>
          <w:b/>
          <w:bCs/>
          <w:sz w:val="52"/>
          <w:szCs w:val="52"/>
          <w:lang w:eastAsia="zh-CN"/>
        </w:rPr>
        <w:t>估</w:t>
      </w:r>
      <w:r>
        <w:rPr>
          <w:rFonts w:hint="eastAsia"/>
          <w:b/>
          <w:bCs/>
          <w:sz w:val="52"/>
          <w:szCs w:val="52"/>
          <w:lang w:val="en-US" w:eastAsia="zh-CN"/>
        </w:rPr>
        <w:t xml:space="preserve"> </w:t>
      </w:r>
      <w:r>
        <w:rPr>
          <w:rFonts w:hint="eastAsia"/>
          <w:b/>
          <w:bCs/>
          <w:sz w:val="52"/>
          <w:szCs w:val="52"/>
          <w:lang w:eastAsia="zh-CN"/>
        </w:rPr>
        <w:t>报</w:t>
      </w:r>
      <w:r>
        <w:rPr>
          <w:rFonts w:hint="eastAsia"/>
          <w:b/>
          <w:bCs/>
          <w:sz w:val="52"/>
          <w:szCs w:val="52"/>
          <w:lang w:val="en-US" w:eastAsia="zh-CN"/>
        </w:rPr>
        <w:t xml:space="preserve"> </w:t>
      </w:r>
      <w:r>
        <w:rPr>
          <w:rFonts w:hint="eastAsia"/>
          <w:b/>
          <w:bCs/>
          <w:sz w:val="52"/>
          <w:szCs w:val="52"/>
          <w:lang w:eastAsia="zh-CN"/>
        </w:rPr>
        <w:t>告</w:t>
      </w:r>
    </w:p>
    <w:p w14:paraId="68ACC0A1">
      <w:pPr>
        <w:keepNext w:val="0"/>
        <w:keepLines w:val="0"/>
        <w:pageBreakBefore w:val="0"/>
        <w:shd w:val="clear"/>
        <w:kinsoku/>
        <w:overflowPunct/>
        <w:topLinePunct w:val="0"/>
        <w:bidi w:val="0"/>
        <w:spacing w:beforeAutospacing="0" w:afterAutospacing="0" w:line="240" w:lineRule="auto"/>
        <w:ind w:left="0" w:leftChars="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评估对象：</w:t>
      </w:r>
      <w:r>
        <w:rPr>
          <w:rFonts w:hint="eastAsia" w:ascii="仿宋_GB2312" w:hAnsi="仿宋_GB2312" w:eastAsia="仿宋_GB2312" w:cs="仿宋_GB2312"/>
          <w:b w:val="0"/>
          <w:bCs w:val="0"/>
          <w:sz w:val="28"/>
          <w:szCs w:val="28"/>
          <w:lang w:val="en-US" w:eastAsia="zh-CN"/>
        </w:rPr>
        <w:t xml:space="preserve">                                                       评估日期：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5916"/>
        <w:gridCol w:w="5925"/>
        <w:gridCol w:w="1140"/>
      </w:tblGrid>
      <w:tr w14:paraId="1191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14:paraId="1E76746B">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b/>
                <w:bCs/>
                <w:sz w:val="28"/>
                <w:szCs w:val="28"/>
                <w:vertAlign w:val="baseline"/>
                <w:lang w:eastAsia="zh-CN"/>
              </w:rPr>
            </w:pPr>
            <w:r>
              <w:rPr>
                <w:rFonts w:hint="eastAsia"/>
                <w:b/>
                <w:bCs/>
                <w:sz w:val="28"/>
                <w:szCs w:val="28"/>
                <w:vertAlign w:val="baseline"/>
                <w:lang w:eastAsia="zh-CN"/>
              </w:rPr>
              <w:t>序号</w:t>
            </w:r>
          </w:p>
        </w:tc>
        <w:tc>
          <w:tcPr>
            <w:tcW w:w="5916" w:type="dxa"/>
            <w:noWrap w:val="0"/>
            <w:vAlign w:val="top"/>
          </w:tcPr>
          <w:p w14:paraId="2935E3F0">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b/>
                <w:bCs/>
                <w:sz w:val="28"/>
                <w:szCs w:val="28"/>
                <w:vertAlign w:val="baseline"/>
                <w:lang w:eastAsia="zh-CN"/>
              </w:rPr>
            </w:pPr>
            <w:r>
              <w:rPr>
                <w:rFonts w:hint="eastAsia"/>
                <w:b/>
                <w:bCs/>
                <w:sz w:val="28"/>
                <w:szCs w:val="28"/>
                <w:vertAlign w:val="baseline"/>
                <w:lang w:eastAsia="zh-CN"/>
              </w:rPr>
              <w:t>评估内容</w:t>
            </w:r>
          </w:p>
        </w:tc>
        <w:tc>
          <w:tcPr>
            <w:tcW w:w="5925" w:type="dxa"/>
            <w:noWrap w:val="0"/>
            <w:vAlign w:val="top"/>
          </w:tcPr>
          <w:p w14:paraId="50426F32">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b/>
                <w:bCs/>
                <w:sz w:val="28"/>
                <w:szCs w:val="28"/>
                <w:vertAlign w:val="baseline"/>
                <w:lang w:eastAsia="zh-CN"/>
              </w:rPr>
            </w:pPr>
            <w:r>
              <w:rPr>
                <w:rFonts w:hint="eastAsia"/>
                <w:b/>
                <w:bCs/>
                <w:sz w:val="28"/>
                <w:szCs w:val="28"/>
                <w:vertAlign w:val="baseline"/>
                <w:lang w:eastAsia="zh-CN"/>
              </w:rPr>
              <w:t>结论</w:t>
            </w:r>
          </w:p>
        </w:tc>
        <w:tc>
          <w:tcPr>
            <w:tcW w:w="1140" w:type="dxa"/>
            <w:noWrap w:val="0"/>
            <w:vAlign w:val="top"/>
          </w:tcPr>
          <w:p w14:paraId="7BD43274">
            <w:pPr>
              <w:keepNext w:val="0"/>
              <w:keepLines w:val="0"/>
              <w:pageBreakBefore w:val="0"/>
              <w:shd w:val="clear"/>
              <w:kinsoku/>
              <w:overflowPunct/>
              <w:topLinePunct w:val="0"/>
              <w:bidi w:val="0"/>
              <w:spacing w:beforeAutospacing="0" w:afterAutospacing="0" w:line="240" w:lineRule="auto"/>
              <w:ind w:left="0" w:leftChars="0"/>
              <w:jc w:val="center"/>
              <w:rPr>
                <w:rFonts w:hint="eastAsia"/>
                <w:b/>
                <w:bCs/>
                <w:sz w:val="28"/>
                <w:szCs w:val="28"/>
                <w:vertAlign w:val="baseline"/>
                <w:lang w:eastAsia="zh-CN"/>
              </w:rPr>
            </w:pPr>
            <w:r>
              <w:rPr>
                <w:rFonts w:hint="eastAsia"/>
                <w:b/>
                <w:bCs/>
                <w:sz w:val="28"/>
                <w:szCs w:val="28"/>
                <w:vertAlign w:val="baseline"/>
                <w:lang w:eastAsia="zh-CN"/>
              </w:rPr>
              <w:t>得分</w:t>
            </w:r>
          </w:p>
        </w:tc>
      </w:tr>
      <w:tr w14:paraId="79D3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71A69C64">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sz w:val="28"/>
                <w:szCs w:val="28"/>
                <w:vertAlign w:val="baseline"/>
                <w:lang w:val="en-US" w:eastAsia="zh-CN"/>
              </w:rPr>
            </w:pPr>
            <w:r>
              <w:rPr>
                <w:rFonts w:hint="eastAsia"/>
                <w:sz w:val="28"/>
                <w:szCs w:val="28"/>
                <w:vertAlign w:val="baseline"/>
                <w:lang w:val="en-US" w:eastAsia="zh-CN"/>
              </w:rPr>
              <w:t>1</w:t>
            </w:r>
          </w:p>
        </w:tc>
        <w:tc>
          <w:tcPr>
            <w:tcW w:w="5916" w:type="dxa"/>
            <w:noWrap w:val="0"/>
            <w:vAlign w:val="top"/>
          </w:tcPr>
          <w:p w14:paraId="07E28A18">
            <w:pPr>
              <w:keepNext w:val="0"/>
              <w:keepLines w:val="0"/>
              <w:pageBreakBefore w:val="0"/>
              <w:shd w:val="clear"/>
              <w:kinsoku/>
              <w:overflowPunct/>
              <w:topLinePunct w:val="0"/>
              <w:bidi w:val="0"/>
              <w:spacing w:beforeAutospacing="0" w:afterAutospacing="0" w:line="240" w:lineRule="auto"/>
              <w:ind w:left="0" w:leftChars="0"/>
              <w:rPr>
                <w:rFonts w:hint="eastAsia" w:eastAsia="宋体"/>
                <w:sz w:val="24"/>
                <w:szCs w:val="24"/>
                <w:vertAlign w:val="baseline"/>
                <w:lang w:eastAsia="zh-CN"/>
              </w:rPr>
            </w:pPr>
            <w:r>
              <w:rPr>
                <w:rFonts w:hint="eastAsia"/>
                <w:b/>
                <w:bCs/>
                <w:sz w:val="24"/>
                <w:szCs w:val="24"/>
                <w:vertAlign w:val="baseline"/>
                <w:lang w:eastAsia="zh-CN"/>
              </w:rPr>
              <w:t>改正违法</w:t>
            </w:r>
            <w:r>
              <w:rPr>
                <w:rFonts w:hint="eastAsia"/>
                <w:sz w:val="24"/>
                <w:szCs w:val="24"/>
                <w:vertAlign w:val="baseline"/>
                <w:lang w:eastAsia="zh-CN"/>
              </w:rPr>
              <w:t>：是否已停止违法，是否采取措施消除违法状态，减轻危害后果？（</w:t>
            </w:r>
            <w:r>
              <w:rPr>
                <w:rFonts w:hint="eastAsia"/>
                <w:sz w:val="24"/>
                <w:szCs w:val="24"/>
                <w:vertAlign w:val="baseline"/>
                <w:lang w:val="en-US" w:eastAsia="zh-CN"/>
              </w:rPr>
              <w:t>20分</w:t>
            </w:r>
            <w:r>
              <w:rPr>
                <w:rFonts w:hint="eastAsia"/>
                <w:sz w:val="24"/>
                <w:szCs w:val="24"/>
                <w:vertAlign w:val="baseline"/>
                <w:lang w:eastAsia="zh-CN"/>
              </w:rPr>
              <w:t>）</w:t>
            </w:r>
          </w:p>
        </w:tc>
        <w:tc>
          <w:tcPr>
            <w:tcW w:w="5925" w:type="dxa"/>
            <w:noWrap w:val="0"/>
            <w:vAlign w:val="top"/>
          </w:tcPr>
          <w:p w14:paraId="2001F746">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1A39F0F2">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r w14:paraId="29E3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5F1DFFF8">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sz w:val="28"/>
                <w:szCs w:val="28"/>
                <w:vertAlign w:val="baseline"/>
                <w:lang w:val="en-US" w:eastAsia="zh-CN"/>
              </w:rPr>
            </w:pPr>
            <w:r>
              <w:rPr>
                <w:rFonts w:hint="eastAsia"/>
                <w:sz w:val="28"/>
                <w:szCs w:val="28"/>
                <w:vertAlign w:val="baseline"/>
                <w:lang w:val="en-US" w:eastAsia="zh-CN"/>
              </w:rPr>
              <w:t>2</w:t>
            </w:r>
          </w:p>
        </w:tc>
        <w:tc>
          <w:tcPr>
            <w:tcW w:w="5916" w:type="dxa"/>
            <w:noWrap w:val="0"/>
            <w:vAlign w:val="top"/>
          </w:tcPr>
          <w:p w14:paraId="334F15C6">
            <w:pPr>
              <w:keepNext w:val="0"/>
              <w:keepLines w:val="0"/>
              <w:pageBreakBefore w:val="0"/>
              <w:shd w:val="clear"/>
              <w:kinsoku/>
              <w:overflowPunct/>
              <w:topLinePunct w:val="0"/>
              <w:bidi w:val="0"/>
              <w:spacing w:beforeAutospacing="0" w:afterAutospacing="0" w:line="240" w:lineRule="auto"/>
              <w:ind w:left="0" w:leftChars="0"/>
              <w:rPr>
                <w:rFonts w:hint="eastAsia" w:eastAsia="宋体"/>
                <w:sz w:val="24"/>
                <w:szCs w:val="24"/>
                <w:vertAlign w:val="baseline"/>
                <w:lang w:eastAsia="zh-CN"/>
              </w:rPr>
            </w:pPr>
            <w:r>
              <w:rPr>
                <w:rFonts w:hint="eastAsia"/>
                <w:b/>
                <w:bCs/>
                <w:sz w:val="24"/>
                <w:szCs w:val="24"/>
                <w:vertAlign w:val="baseline"/>
                <w:lang w:eastAsia="zh-CN"/>
              </w:rPr>
              <w:t>组织再造</w:t>
            </w:r>
            <w:r>
              <w:rPr>
                <w:rFonts w:hint="eastAsia"/>
                <w:sz w:val="24"/>
                <w:szCs w:val="24"/>
                <w:vertAlign w:val="baseline"/>
                <w:lang w:eastAsia="zh-CN"/>
              </w:rPr>
              <w:t>：是否建立合规管理机构或配置合规管理人员？专业水平和职权是否满足工作需要？（</w:t>
            </w:r>
            <w:r>
              <w:rPr>
                <w:rFonts w:hint="eastAsia"/>
                <w:sz w:val="24"/>
                <w:szCs w:val="24"/>
                <w:vertAlign w:val="baseline"/>
                <w:lang w:val="en-US" w:eastAsia="zh-CN"/>
              </w:rPr>
              <w:t>20分</w:t>
            </w:r>
            <w:r>
              <w:rPr>
                <w:rFonts w:hint="eastAsia"/>
                <w:sz w:val="24"/>
                <w:szCs w:val="24"/>
                <w:vertAlign w:val="baseline"/>
                <w:lang w:eastAsia="zh-CN"/>
              </w:rPr>
              <w:t>）</w:t>
            </w:r>
          </w:p>
        </w:tc>
        <w:tc>
          <w:tcPr>
            <w:tcW w:w="5925" w:type="dxa"/>
            <w:noWrap w:val="0"/>
            <w:vAlign w:val="top"/>
          </w:tcPr>
          <w:p w14:paraId="7C6D84A8">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1C7C7825">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r w14:paraId="03BE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4605A221">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sz w:val="28"/>
                <w:szCs w:val="28"/>
                <w:vertAlign w:val="baseline"/>
                <w:lang w:val="en-US" w:eastAsia="zh-CN"/>
              </w:rPr>
            </w:pPr>
            <w:r>
              <w:rPr>
                <w:rFonts w:hint="eastAsia"/>
                <w:sz w:val="28"/>
                <w:szCs w:val="28"/>
                <w:vertAlign w:val="baseline"/>
                <w:lang w:val="en-US" w:eastAsia="zh-CN"/>
              </w:rPr>
              <w:t>3</w:t>
            </w:r>
          </w:p>
        </w:tc>
        <w:tc>
          <w:tcPr>
            <w:tcW w:w="5916" w:type="dxa"/>
            <w:noWrap w:val="0"/>
            <w:vAlign w:val="top"/>
          </w:tcPr>
          <w:p w14:paraId="0CD0DBB5">
            <w:pPr>
              <w:keepNext w:val="0"/>
              <w:keepLines w:val="0"/>
              <w:pageBreakBefore w:val="0"/>
              <w:shd w:val="clear"/>
              <w:kinsoku/>
              <w:overflowPunct/>
              <w:topLinePunct w:val="0"/>
              <w:bidi w:val="0"/>
              <w:spacing w:beforeAutospacing="0" w:afterAutospacing="0" w:line="240" w:lineRule="auto"/>
              <w:ind w:left="0" w:leftChars="0"/>
              <w:rPr>
                <w:rFonts w:hint="default" w:eastAsia="宋体"/>
                <w:sz w:val="24"/>
                <w:szCs w:val="24"/>
                <w:vertAlign w:val="baseline"/>
                <w:lang w:val="en-US" w:eastAsia="zh-CN"/>
              </w:rPr>
            </w:pPr>
            <w:r>
              <w:rPr>
                <w:rFonts w:hint="eastAsia"/>
                <w:b/>
                <w:bCs/>
                <w:sz w:val="24"/>
                <w:szCs w:val="24"/>
                <w:vertAlign w:val="baseline"/>
                <w:lang w:eastAsia="zh-CN"/>
              </w:rPr>
              <w:t>制度建设</w:t>
            </w:r>
            <w:r>
              <w:rPr>
                <w:rFonts w:hint="eastAsia"/>
                <w:sz w:val="24"/>
                <w:szCs w:val="24"/>
                <w:vertAlign w:val="baseline"/>
                <w:lang w:eastAsia="zh-CN"/>
              </w:rPr>
              <w:t>：与涉案违规风险相关的制度漏洞或工作流程是否得到改进、完善？是否建立违规风险监测、举报、调查、处理和定期报告机制？（</w:t>
            </w:r>
            <w:r>
              <w:rPr>
                <w:rFonts w:hint="eastAsia"/>
                <w:sz w:val="24"/>
                <w:szCs w:val="24"/>
                <w:vertAlign w:val="baseline"/>
                <w:lang w:val="en-US" w:eastAsia="zh-CN"/>
              </w:rPr>
              <w:t>10分</w:t>
            </w:r>
            <w:r>
              <w:rPr>
                <w:rFonts w:hint="eastAsia"/>
                <w:sz w:val="24"/>
                <w:szCs w:val="24"/>
                <w:vertAlign w:val="baseline"/>
                <w:lang w:eastAsia="zh-CN"/>
              </w:rPr>
              <w:t>）</w:t>
            </w:r>
          </w:p>
        </w:tc>
        <w:tc>
          <w:tcPr>
            <w:tcW w:w="5925" w:type="dxa"/>
            <w:noWrap w:val="0"/>
            <w:vAlign w:val="top"/>
          </w:tcPr>
          <w:p w14:paraId="603745E5">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0FE0AA59">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r w14:paraId="436B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19280FC1">
            <w:pPr>
              <w:keepNext w:val="0"/>
              <w:keepLines w:val="0"/>
              <w:pageBreakBefore w:val="0"/>
              <w:shd w:val="clear"/>
              <w:kinsoku/>
              <w:overflowPunct/>
              <w:topLinePunct w:val="0"/>
              <w:bidi w:val="0"/>
              <w:spacing w:beforeAutospacing="0" w:afterAutospacing="0" w:line="240" w:lineRule="auto"/>
              <w:ind w:left="0" w:leftChars="0"/>
              <w:jc w:val="center"/>
              <w:rPr>
                <w:rFonts w:hint="default" w:eastAsia="宋体"/>
                <w:sz w:val="28"/>
                <w:szCs w:val="28"/>
                <w:vertAlign w:val="baseline"/>
                <w:lang w:val="en-US" w:eastAsia="zh-CN"/>
              </w:rPr>
            </w:pPr>
            <w:r>
              <w:rPr>
                <w:rFonts w:hint="eastAsia"/>
                <w:sz w:val="28"/>
                <w:szCs w:val="28"/>
                <w:vertAlign w:val="baseline"/>
                <w:lang w:val="en-US" w:eastAsia="zh-CN"/>
              </w:rPr>
              <w:t>4</w:t>
            </w:r>
          </w:p>
        </w:tc>
        <w:tc>
          <w:tcPr>
            <w:tcW w:w="5916" w:type="dxa"/>
            <w:noWrap w:val="0"/>
            <w:vAlign w:val="top"/>
          </w:tcPr>
          <w:p w14:paraId="075F8463">
            <w:pPr>
              <w:keepNext w:val="0"/>
              <w:keepLines w:val="0"/>
              <w:pageBreakBefore w:val="0"/>
              <w:shd w:val="clear"/>
              <w:kinsoku/>
              <w:overflowPunct/>
              <w:topLinePunct w:val="0"/>
              <w:bidi w:val="0"/>
              <w:spacing w:beforeAutospacing="0" w:afterAutospacing="0" w:line="240" w:lineRule="auto"/>
              <w:ind w:left="0" w:leftChars="0"/>
              <w:rPr>
                <w:rFonts w:hint="eastAsia" w:ascii="Calibri" w:hAnsi="Calibri" w:eastAsia="宋体" w:cs="Times New Roman"/>
                <w:color w:val="auto"/>
                <w:kern w:val="2"/>
                <w:sz w:val="24"/>
                <w:szCs w:val="24"/>
                <w:vertAlign w:val="baseline"/>
                <w:lang w:val="en-US" w:eastAsia="zh-CN" w:bidi="ar-SA"/>
              </w:rPr>
            </w:pPr>
            <w:r>
              <w:rPr>
                <w:rFonts w:hint="eastAsia"/>
                <w:b/>
                <w:bCs/>
                <w:sz w:val="24"/>
                <w:szCs w:val="24"/>
                <w:vertAlign w:val="baseline"/>
                <w:lang w:eastAsia="zh-CN"/>
              </w:rPr>
              <w:t>风险识别</w:t>
            </w:r>
            <w:r>
              <w:rPr>
                <w:rFonts w:hint="eastAsia"/>
                <w:sz w:val="24"/>
                <w:szCs w:val="24"/>
                <w:vertAlign w:val="baseline"/>
                <w:lang w:eastAsia="zh-CN"/>
              </w:rPr>
              <w:t>：是否能有效识别、控制涉案领域违规风险？（</w:t>
            </w:r>
            <w:r>
              <w:rPr>
                <w:rFonts w:hint="eastAsia"/>
                <w:sz w:val="24"/>
                <w:szCs w:val="24"/>
                <w:vertAlign w:val="baseline"/>
                <w:lang w:val="en-US" w:eastAsia="zh-CN"/>
              </w:rPr>
              <w:t>10分</w:t>
            </w:r>
            <w:r>
              <w:rPr>
                <w:rFonts w:hint="eastAsia"/>
                <w:sz w:val="24"/>
                <w:szCs w:val="24"/>
                <w:vertAlign w:val="baseline"/>
                <w:lang w:eastAsia="zh-CN"/>
              </w:rPr>
              <w:t>）</w:t>
            </w:r>
          </w:p>
        </w:tc>
        <w:tc>
          <w:tcPr>
            <w:tcW w:w="5925" w:type="dxa"/>
            <w:noWrap w:val="0"/>
            <w:vAlign w:val="top"/>
          </w:tcPr>
          <w:p w14:paraId="62C81D95">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1BF6E12C">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r w14:paraId="064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62811C05">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sz w:val="28"/>
                <w:szCs w:val="28"/>
                <w:vertAlign w:val="baseline"/>
                <w:lang w:val="en-US" w:eastAsia="zh-CN"/>
              </w:rPr>
            </w:pPr>
            <w:r>
              <w:rPr>
                <w:rFonts w:hint="eastAsia"/>
                <w:sz w:val="28"/>
                <w:szCs w:val="28"/>
                <w:vertAlign w:val="baseline"/>
                <w:lang w:val="en-US" w:eastAsia="zh-CN"/>
              </w:rPr>
              <w:t>5</w:t>
            </w:r>
          </w:p>
        </w:tc>
        <w:tc>
          <w:tcPr>
            <w:tcW w:w="5916" w:type="dxa"/>
            <w:noWrap w:val="0"/>
            <w:vAlign w:val="top"/>
          </w:tcPr>
          <w:p w14:paraId="1A2BA526">
            <w:pPr>
              <w:keepNext w:val="0"/>
              <w:keepLines w:val="0"/>
              <w:pageBreakBefore w:val="0"/>
              <w:shd w:val="clear"/>
              <w:kinsoku/>
              <w:overflowPunct/>
              <w:topLinePunct w:val="0"/>
              <w:bidi w:val="0"/>
              <w:spacing w:beforeAutospacing="0" w:afterAutospacing="0" w:line="240" w:lineRule="auto"/>
              <w:ind w:left="0" w:leftChars="0"/>
              <w:rPr>
                <w:rFonts w:ascii="Calibri" w:hAnsi="Calibri" w:eastAsia="宋体" w:cs="Times New Roman"/>
                <w:color w:val="auto"/>
                <w:kern w:val="2"/>
                <w:sz w:val="24"/>
                <w:szCs w:val="24"/>
                <w:vertAlign w:val="baseline"/>
                <w:lang w:val="en-US" w:eastAsia="zh-CN" w:bidi="ar-SA"/>
              </w:rPr>
            </w:pPr>
            <w:r>
              <w:rPr>
                <w:rFonts w:hint="eastAsia"/>
                <w:b/>
                <w:bCs/>
                <w:sz w:val="24"/>
                <w:szCs w:val="24"/>
                <w:vertAlign w:val="baseline"/>
                <w:lang w:eastAsia="zh-CN"/>
              </w:rPr>
              <w:t>合规保障</w:t>
            </w:r>
            <w:r>
              <w:rPr>
                <w:rFonts w:hint="eastAsia"/>
                <w:sz w:val="24"/>
                <w:szCs w:val="24"/>
                <w:vertAlign w:val="baseline"/>
                <w:lang w:eastAsia="zh-CN"/>
              </w:rPr>
              <w:t>：是否有必要的人力、物力予以保障，是否能够得到长期有效执行落实？（</w:t>
            </w:r>
            <w:r>
              <w:rPr>
                <w:rFonts w:hint="eastAsia"/>
                <w:sz w:val="24"/>
                <w:szCs w:val="24"/>
                <w:vertAlign w:val="baseline"/>
                <w:lang w:val="en-US" w:eastAsia="zh-CN"/>
              </w:rPr>
              <w:t>10分</w:t>
            </w:r>
            <w:r>
              <w:rPr>
                <w:rFonts w:hint="eastAsia"/>
                <w:sz w:val="24"/>
                <w:szCs w:val="24"/>
                <w:vertAlign w:val="baseline"/>
                <w:lang w:eastAsia="zh-CN"/>
              </w:rPr>
              <w:t>）</w:t>
            </w:r>
          </w:p>
        </w:tc>
        <w:tc>
          <w:tcPr>
            <w:tcW w:w="5925" w:type="dxa"/>
            <w:noWrap w:val="0"/>
            <w:vAlign w:val="top"/>
          </w:tcPr>
          <w:p w14:paraId="41663E74">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521B5F69">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r w14:paraId="7955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5D7E1528">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sz w:val="28"/>
                <w:szCs w:val="28"/>
                <w:vertAlign w:val="baseline"/>
                <w:lang w:val="en-US" w:eastAsia="zh-CN"/>
              </w:rPr>
            </w:pPr>
            <w:r>
              <w:rPr>
                <w:rFonts w:hint="eastAsia"/>
                <w:sz w:val="28"/>
                <w:szCs w:val="28"/>
                <w:vertAlign w:val="baseline"/>
                <w:lang w:val="en-US" w:eastAsia="zh-CN"/>
              </w:rPr>
              <w:t>6</w:t>
            </w:r>
          </w:p>
        </w:tc>
        <w:tc>
          <w:tcPr>
            <w:tcW w:w="5916" w:type="dxa"/>
            <w:noWrap w:val="0"/>
            <w:vAlign w:val="top"/>
          </w:tcPr>
          <w:p w14:paraId="2D9ED6F9">
            <w:pPr>
              <w:keepNext w:val="0"/>
              <w:keepLines w:val="0"/>
              <w:pageBreakBefore w:val="0"/>
              <w:shd w:val="clear"/>
              <w:kinsoku/>
              <w:overflowPunct/>
              <w:topLinePunct w:val="0"/>
              <w:bidi w:val="0"/>
              <w:spacing w:beforeAutospacing="0" w:afterAutospacing="0" w:line="240" w:lineRule="auto"/>
              <w:ind w:left="0" w:leftChars="0"/>
              <w:rPr>
                <w:rFonts w:hint="eastAsia" w:eastAsia="宋体"/>
                <w:sz w:val="24"/>
                <w:szCs w:val="24"/>
                <w:vertAlign w:val="baseline"/>
                <w:lang w:eastAsia="zh-CN"/>
              </w:rPr>
            </w:pPr>
            <w:r>
              <w:rPr>
                <w:rFonts w:hint="eastAsia"/>
                <w:b/>
                <w:bCs/>
                <w:sz w:val="24"/>
                <w:szCs w:val="24"/>
                <w:vertAlign w:val="baseline"/>
                <w:lang w:eastAsia="zh-CN"/>
              </w:rPr>
              <w:t>合规文化</w:t>
            </w:r>
            <w:r>
              <w:rPr>
                <w:rFonts w:hint="eastAsia"/>
                <w:sz w:val="24"/>
                <w:szCs w:val="24"/>
                <w:vertAlign w:val="baseline"/>
                <w:lang w:eastAsia="zh-CN"/>
              </w:rPr>
              <w:t>：是否开展必要的培训，是否将合规纳入企业文化建设，是否形成较好的合规氛围？（</w:t>
            </w:r>
            <w:r>
              <w:rPr>
                <w:rFonts w:hint="eastAsia"/>
                <w:sz w:val="24"/>
                <w:szCs w:val="24"/>
                <w:vertAlign w:val="baseline"/>
                <w:lang w:val="en-US" w:eastAsia="zh-CN"/>
              </w:rPr>
              <w:t>10分</w:t>
            </w:r>
            <w:r>
              <w:rPr>
                <w:rFonts w:hint="eastAsia"/>
                <w:sz w:val="24"/>
                <w:szCs w:val="24"/>
                <w:vertAlign w:val="baseline"/>
                <w:lang w:eastAsia="zh-CN"/>
              </w:rPr>
              <w:t>）</w:t>
            </w:r>
          </w:p>
        </w:tc>
        <w:tc>
          <w:tcPr>
            <w:tcW w:w="5925" w:type="dxa"/>
            <w:noWrap w:val="0"/>
            <w:vAlign w:val="top"/>
          </w:tcPr>
          <w:p w14:paraId="00406B4F">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3B8611CB">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r w14:paraId="3447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673C00B0">
            <w:pPr>
              <w:keepNext w:val="0"/>
              <w:keepLines w:val="0"/>
              <w:pageBreakBefore w:val="0"/>
              <w:shd w:val="clear"/>
              <w:kinsoku/>
              <w:overflowPunct/>
              <w:topLinePunct w:val="0"/>
              <w:bidi w:val="0"/>
              <w:spacing w:beforeAutospacing="0" w:afterAutospacing="0" w:line="240" w:lineRule="auto"/>
              <w:ind w:left="0" w:leftChars="0"/>
              <w:jc w:val="center"/>
              <w:rPr>
                <w:rFonts w:hint="eastAsia" w:eastAsia="宋体"/>
                <w:sz w:val="28"/>
                <w:szCs w:val="28"/>
                <w:vertAlign w:val="baseline"/>
                <w:lang w:val="en-US" w:eastAsia="zh-CN"/>
              </w:rPr>
            </w:pPr>
            <w:r>
              <w:rPr>
                <w:rFonts w:hint="eastAsia"/>
                <w:sz w:val="28"/>
                <w:szCs w:val="28"/>
                <w:vertAlign w:val="baseline"/>
                <w:lang w:val="en-US" w:eastAsia="zh-CN"/>
              </w:rPr>
              <w:t>7</w:t>
            </w:r>
          </w:p>
        </w:tc>
        <w:tc>
          <w:tcPr>
            <w:tcW w:w="5916" w:type="dxa"/>
            <w:noWrap w:val="0"/>
            <w:vAlign w:val="top"/>
          </w:tcPr>
          <w:p w14:paraId="3D776B26">
            <w:pPr>
              <w:keepNext w:val="0"/>
              <w:keepLines w:val="0"/>
              <w:pageBreakBefore w:val="0"/>
              <w:shd w:val="clear"/>
              <w:kinsoku/>
              <w:overflowPunct/>
              <w:topLinePunct w:val="0"/>
              <w:bidi w:val="0"/>
              <w:spacing w:beforeAutospacing="0" w:afterAutospacing="0" w:line="240" w:lineRule="auto"/>
              <w:ind w:left="0" w:leftChars="0"/>
              <w:rPr>
                <w:rFonts w:hint="eastAsia" w:eastAsia="宋体"/>
                <w:sz w:val="24"/>
                <w:szCs w:val="24"/>
                <w:vertAlign w:val="baseline"/>
                <w:lang w:eastAsia="zh-CN"/>
              </w:rPr>
            </w:pPr>
            <w:r>
              <w:rPr>
                <w:rFonts w:hint="eastAsia"/>
                <w:b/>
                <w:bCs/>
                <w:sz w:val="24"/>
                <w:szCs w:val="24"/>
                <w:vertAlign w:val="baseline"/>
                <w:lang w:eastAsia="zh-CN"/>
              </w:rPr>
              <w:t>全面合规</w:t>
            </w:r>
            <w:r>
              <w:rPr>
                <w:rFonts w:hint="eastAsia"/>
                <w:sz w:val="24"/>
                <w:szCs w:val="24"/>
                <w:vertAlign w:val="baseline"/>
                <w:lang w:eastAsia="zh-CN"/>
              </w:rPr>
              <w:t>：是否自我加压，在更广的领域开展合规建设？（</w:t>
            </w:r>
            <w:r>
              <w:rPr>
                <w:rFonts w:hint="eastAsia"/>
                <w:sz w:val="24"/>
                <w:szCs w:val="24"/>
                <w:vertAlign w:val="baseline"/>
                <w:lang w:val="en-US" w:eastAsia="zh-CN"/>
              </w:rPr>
              <w:t>20分</w:t>
            </w:r>
            <w:r>
              <w:rPr>
                <w:rFonts w:hint="eastAsia"/>
                <w:sz w:val="24"/>
                <w:szCs w:val="24"/>
                <w:vertAlign w:val="baseline"/>
                <w:lang w:eastAsia="zh-CN"/>
              </w:rPr>
              <w:t>）</w:t>
            </w:r>
          </w:p>
        </w:tc>
        <w:tc>
          <w:tcPr>
            <w:tcW w:w="5925" w:type="dxa"/>
            <w:noWrap w:val="0"/>
            <w:vAlign w:val="top"/>
          </w:tcPr>
          <w:p w14:paraId="6B1B24E6">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52D49DE1">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r w14:paraId="6D5F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14:paraId="638EEAC7">
            <w:pPr>
              <w:keepNext w:val="0"/>
              <w:keepLines w:val="0"/>
              <w:pageBreakBefore w:val="0"/>
              <w:shd w:val="clear"/>
              <w:kinsoku/>
              <w:overflowPunct/>
              <w:topLinePunct w:val="0"/>
              <w:bidi w:val="0"/>
              <w:spacing w:beforeAutospacing="0" w:afterAutospacing="0" w:line="240" w:lineRule="auto"/>
              <w:ind w:left="0" w:leftChars="0"/>
              <w:jc w:val="center"/>
              <w:rPr>
                <w:rFonts w:hint="default" w:eastAsia="宋体"/>
                <w:sz w:val="28"/>
                <w:szCs w:val="28"/>
                <w:vertAlign w:val="baseline"/>
                <w:lang w:val="en-US" w:eastAsia="zh-CN"/>
              </w:rPr>
            </w:pPr>
            <w:r>
              <w:rPr>
                <w:rFonts w:hint="eastAsia"/>
                <w:sz w:val="28"/>
                <w:szCs w:val="28"/>
                <w:vertAlign w:val="baseline"/>
                <w:lang w:val="en-US" w:eastAsia="zh-CN"/>
              </w:rPr>
              <w:t>8</w:t>
            </w:r>
          </w:p>
        </w:tc>
        <w:tc>
          <w:tcPr>
            <w:tcW w:w="5916" w:type="dxa"/>
            <w:noWrap w:val="0"/>
            <w:vAlign w:val="top"/>
          </w:tcPr>
          <w:p w14:paraId="706A05CA">
            <w:pPr>
              <w:keepNext w:val="0"/>
              <w:keepLines w:val="0"/>
              <w:pageBreakBefore w:val="0"/>
              <w:shd w:val="clear"/>
              <w:kinsoku/>
              <w:overflowPunct/>
              <w:topLinePunct w:val="0"/>
              <w:bidi w:val="0"/>
              <w:spacing w:beforeAutospacing="0" w:afterAutospacing="0" w:line="240" w:lineRule="auto"/>
              <w:ind w:left="0" w:leftChars="0"/>
              <w:rPr>
                <w:rFonts w:hint="eastAsia" w:eastAsia="宋体"/>
                <w:sz w:val="24"/>
                <w:szCs w:val="24"/>
                <w:vertAlign w:val="baseline"/>
                <w:lang w:eastAsia="zh-CN"/>
              </w:rPr>
            </w:pPr>
            <w:r>
              <w:rPr>
                <w:rFonts w:hint="eastAsia"/>
                <w:sz w:val="24"/>
                <w:szCs w:val="24"/>
                <w:vertAlign w:val="baseline"/>
                <w:lang w:eastAsia="zh-CN"/>
              </w:rPr>
              <w:t>总体评价、裁量建议及是否有不同意见的说明</w:t>
            </w:r>
          </w:p>
        </w:tc>
        <w:tc>
          <w:tcPr>
            <w:tcW w:w="5925" w:type="dxa"/>
            <w:noWrap w:val="0"/>
            <w:vAlign w:val="top"/>
          </w:tcPr>
          <w:p w14:paraId="47533827">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c>
          <w:tcPr>
            <w:tcW w:w="1140" w:type="dxa"/>
            <w:noWrap w:val="0"/>
            <w:vAlign w:val="top"/>
          </w:tcPr>
          <w:p w14:paraId="0C700728">
            <w:pPr>
              <w:keepNext w:val="0"/>
              <w:keepLines w:val="0"/>
              <w:pageBreakBefore w:val="0"/>
              <w:shd w:val="clear"/>
              <w:kinsoku/>
              <w:overflowPunct/>
              <w:topLinePunct w:val="0"/>
              <w:bidi w:val="0"/>
              <w:spacing w:beforeAutospacing="0" w:afterAutospacing="0" w:line="240" w:lineRule="auto"/>
              <w:ind w:left="0" w:leftChars="0"/>
              <w:rPr>
                <w:sz w:val="24"/>
                <w:szCs w:val="24"/>
                <w:vertAlign w:val="baseline"/>
              </w:rPr>
            </w:pPr>
          </w:p>
        </w:tc>
      </w:tr>
    </w:tbl>
    <w:p w14:paraId="694D0129">
      <w:pPr>
        <w:keepNext w:val="0"/>
        <w:keepLines w:val="0"/>
        <w:pageBreakBefore w:val="0"/>
        <w:shd w:val="clear"/>
        <w:kinsoku/>
        <w:overflowPunct/>
        <w:topLinePunct w:val="0"/>
        <w:bidi w:val="0"/>
        <w:spacing w:beforeAutospacing="0" w:afterAutospacing="0" w:line="240" w:lineRule="auto"/>
        <w:ind w:left="0" w:leftChars="0"/>
        <w:rPr>
          <w:sz w:val="28"/>
          <w:szCs w:val="28"/>
        </w:rPr>
      </w:pPr>
      <w:r>
        <w:rPr>
          <w:rFonts w:hint="eastAsia"/>
          <w:sz w:val="28"/>
          <w:szCs w:val="28"/>
          <w:lang w:eastAsia="zh-CN"/>
        </w:rPr>
        <w:t>评估组长：</w:t>
      </w:r>
      <w:r>
        <w:rPr>
          <w:rFonts w:hint="eastAsia"/>
          <w:sz w:val="28"/>
          <w:szCs w:val="28"/>
          <w:lang w:val="en-US" w:eastAsia="zh-CN"/>
        </w:rPr>
        <w:t xml:space="preserve">                              </w:t>
      </w:r>
      <w:r>
        <w:rPr>
          <w:rFonts w:hint="eastAsia"/>
          <w:sz w:val="28"/>
          <w:szCs w:val="28"/>
          <w:lang w:eastAsia="zh-CN"/>
        </w:rPr>
        <w:t>评估组员：</w:t>
      </w:r>
    </w:p>
    <w:p w14:paraId="21CA3B1C">
      <w:pPr>
        <w:keepNext w:val="0"/>
        <w:keepLines w:val="0"/>
        <w:pageBreakBefore w:val="0"/>
        <w:numPr>
          <w:ilvl w:val="0"/>
          <w:numId w:val="0"/>
        </w:numPr>
        <w:shd w:val="clear"/>
        <w:kinsoku/>
        <w:overflowPunct/>
        <w:topLinePunct w:val="0"/>
        <w:bidi w:val="0"/>
        <w:spacing w:beforeAutospacing="0" w:afterAutospacing="0" w:line="240" w:lineRule="auto"/>
        <w:ind w:left="0" w:leftChars="0"/>
        <w:rPr>
          <w:rFonts w:hint="default"/>
          <w:lang w:val="en-US" w:eastAsia="zh-CN"/>
        </w:rPr>
      </w:pPr>
    </w:p>
    <w:sectPr>
      <w:pgSz w:w="16838" w:h="11906" w:orient="landscape"/>
      <w:pgMar w:top="1380" w:right="1440" w:bottom="1486"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ZXBSK--GBK1-0">
    <w:altName w:val="黑体"/>
    <w:panose1 w:val="00000000000000000000"/>
    <w:charset w:val="00"/>
    <w:family w:val="auto"/>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FZFSK--GBK1-0">
    <w:altName w:val="黑体"/>
    <w:panose1 w:val="00000000000000000000"/>
    <w:charset w:val="00"/>
    <w:family w:val="auto"/>
    <w:pitch w:val="default"/>
    <w:sig w:usb0="00000000" w:usb1="00000000" w:usb2="00000010" w:usb3="00000000" w:csb0="00040000" w:csb1="00000000"/>
  </w:font>
  <w:font w:name="小标宋">
    <w:altName w:val="宋体"/>
    <w:panose1 w:val="03000509000000000000"/>
    <w:charset w:val="00"/>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FDF35"/>
    <w:multiLevelType w:val="singleLevel"/>
    <w:tmpl w:val="BDFFDF35"/>
    <w:lvl w:ilvl="0" w:tentative="0">
      <w:start w:val="1"/>
      <w:numFmt w:val="chineseCounting"/>
      <w:suff w:val="nothing"/>
      <w:lvlText w:val="（%1）"/>
      <w:lvlJc w:val="left"/>
      <w:rPr>
        <w:rFonts w:hint="eastAsia"/>
      </w:rPr>
    </w:lvl>
  </w:abstractNum>
  <w:abstractNum w:abstractNumId="1">
    <w:nsid w:val="F2DBB12D"/>
    <w:multiLevelType w:val="singleLevel"/>
    <w:tmpl w:val="F2DBB12D"/>
    <w:lvl w:ilvl="0" w:tentative="0">
      <w:start w:val="1"/>
      <w:numFmt w:val="chineseCounting"/>
      <w:suff w:val="nothing"/>
      <w:lvlText w:val="%1、"/>
      <w:lvlJc w:val="left"/>
      <w:pPr>
        <w:ind w:left="640" w:firstLine="0"/>
      </w:pPr>
      <w:rPr>
        <w:rFonts w:hint="eastAsia"/>
      </w:rPr>
    </w:lvl>
  </w:abstractNum>
  <w:abstractNum w:abstractNumId="2">
    <w:nsid w:val="FD59E511"/>
    <w:multiLevelType w:val="singleLevel"/>
    <w:tmpl w:val="FD59E511"/>
    <w:lvl w:ilvl="0" w:tentative="0">
      <w:start w:val="1"/>
      <w:numFmt w:val="decimal"/>
      <w:suff w:val="space"/>
      <w:lvlText w:val="%1."/>
      <w:lvlJc w:val="left"/>
    </w:lvl>
  </w:abstractNum>
  <w:abstractNum w:abstractNumId="3">
    <w:nsid w:val="FE3E5262"/>
    <w:multiLevelType w:val="singleLevel"/>
    <w:tmpl w:val="FE3E5262"/>
    <w:lvl w:ilvl="0" w:tentative="0">
      <w:start w:val="1"/>
      <w:numFmt w:val="chineseCounting"/>
      <w:suff w:val="nothing"/>
      <w:lvlText w:val="（%1）"/>
      <w:lvlJc w:val="left"/>
      <w:rPr>
        <w:rFonts w:hint="eastAsia"/>
      </w:rPr>
    </w:lvl>
  </w:abstractNum>
  <w:abstractNum w:abstractNumId="4">
    <w:nsid w:val="FF7D5014"/>
    <w:multiLevelType w:val="singleLevel"/>
    <w:tmpl w:val="FF7D5014"/>
    <w:lvl w:ilvl="0" w:tentative="0">
      <w:start w:val="3"/>
      <w:numFmt w:val="chineseCounting"/>
      <w:suff w:val="nothing"/>
      <w:lvlText w:val="%1、"/>
      <w:lvlJc w:val="left"/>
      <w:rPr>
        <w:rFonts w:hint="eastAsia"/>
      </w:rPr>
    </w:lvl>
  </w:abstractNum>
  <w:abstractNum w:abstractNumId="5">
    <w:nsid w:val="7D7E867A"/>
    <w:multiLevelType w:val="singleLevel"/>
    <w:tmpl w:val="7D7E867A"/>
    <w:lvl w:ilvl="0" w:tentative="0">
      <w:start w:val="1"/>
      <w:numFmt w:val="chineseCounting"/>
      <w:suff w:val="nothing"/>
      <w:lvlText w:val="（%1）"/>
      <w:lvlJc w:val="left"/>
      <w:pPr>
        <w:ind w:left="330" w:leftChars="0" w:firstLine="0" w:firstLineChars="0"/>
      </w:pPr>
      <w:rPr>
        <w:rFonts w:hint="eastAsia"/>
      </w:rPr>
    </w:lvl>
  </w:abstractNum>
  <w:abstractNum w:abstractNumId="6">
    <w:nsid w:val="7EFFB981"/>
    <w:multiLevelType w:val="singleLevel"/>
    <w:tmpl w:val="7EFFB981"/>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2U3OTRiOThjOTdmNjQ2NzE1Y2ZjNWUyNWFkZTYifQ=="/>
  </w:docVars>
  <w:rsids>
    <w:rsidRoot w:val="00000000"/>
    <w:rsid w:val="008D6593"/>
    <w:rsid w:val="01D52A58"/>
    <w:rsid w:val="029307AF"/>
    <w:rsid w:val="02BD7F0B"/>
    <w:rsid w:val="030F1CCA"/>
    <w:rsid w:val="0393F85F"/>
    <w:rsid w:val="044C3E9A"/>
    <w:rsid w:val="04BA7D51"/>
    <w:rsid w:val="04D81C0D"/>
    <w:rsid w:val="074D4107"/>
    <w:rsid w:val="07A5161A"/>
    <w:rsid w:val="0A756EBC"/>
    <w:rsid w:val="0BD83622"/>
    <w:rsid w:val="0C7F1C11"/>
    <w:rsid w:val="0CCF12DF"/>
    <w:rsid w:val="0CEA0782"/>
    <w:rsid w:val="0DD90328"/>
    <w:rsid w:val="0E367771"/>
    <w:rsid w:val="0F3F6776"/>
    <w:rsid w:val="0F5B5841"/>
    <w:rsid w:val="0FF01B85"/>
    <w:rsid w:val="101739F6"/>
    <w:rsid w:val="114A46AE"/>
    <w:rsid w:val="12D30369"/>
    <w:rsid w:val="13A075CD"/>
    <w:rsid w:val="15A20227"/>
    <w:rsid w:val="15E72234"/>
    <w:rsid w:val="173611CF"/>
    <w:rsid w:val="17787D90"/>
    <w:rsid w:val="17F45E38"/>
    <w:rsid w:val="18297BB3"/>
    <w:rsid w:val="18B202E3"/>
    <w:rsid w:val="18D5206E"/>
    <w:rsid w:val="1A0336FC"/>
    <w:rsid w:val="1A147EF1"/>
    <w:rsid w:val="1A705206"/>
    <w:rsid w:val="1B9F5D82"/>
    <w:rsid w:val="1BDF38EA"/>
    <w:rsid w:val="1BE1749B"/>
    <w:rsid w:val="1C83589C"/>
    <w:rsid w:val="1CBA6C0D"/>
    <w:rsid w:val="1D353A79"/>
    <w:rsid w:val="1DAF1FD6"/>
    <w:rsid w:val="1E03378A"/>
    <w:rsid w:val="1ECF3263"/>
    <w:rsid w:val="1ECF58E9"/>
    <w:rsid w:val="1F6F5FDA"/>
    <w:rsid w:val="1FCA2452"/>
    <w:rsid w:val="1FFF8119"/>
    <w:rsid w:val="20314BF4"/>
    <w:rsid w:val="21DB01F9"/>
    <w:rsid w:val="22F405B8"/>
    <w:rsid w:val="23A7533A"/>
    <w:rsid w:val="245762A6"/>
    <w:rsid w:val="25427840"/>
    <w:rsid w:val="266C61E6"/>
    <w:rsid w:val="26D870C8"/>
    <w:rsid w:val="26F771AD"/>
    <w:rsid w:val="26F7BAD9"/>
    <w:rsid w:val="27004274"/>
    <w:rsid w:val="273F448B"/>
    <w:rsid w:val="27661052"/>
    <w:rsid w:val="27B51034"/>
    <w:rsid w:val="27BDE079"/>
    <w:rsid w:val="29262E80"/>
    <w:rsid w:val="29A44ECD"/>
    <w:rsid w:val="2A4914A1"/>
    <w:rsid w:val="2C205FF1"/>
    <w:rsid w:val="2D610D4E"/>
    <w:rsid w:val="2E464B69"/>
    <w:rsid w:val="2E7F38BF"/>
    <w:rsid w:val="2F472930"/>
    <w:rsid w:val="2FB7186D"/>
    <w:rsid w:val="2FEDB112"/>
    <w:rsid w:val="300E7B64"/>
    <w:rsid w:val="313A386A"/>
    <w:rsid w:val="317503B0"/>
    <w:rsid w:val="31D461CB"/>
    <w:rsid w:val="328637C7"/>
    <w:rsid w:val="34DE1D23"/>
    <w:rsid w:val="35497DFC"/>
    <w:rsid w:val="35ED3F45"/>
    <w:rsid w:val="36062BF9"/>
    <w:rsid w:val="36FD5437"/>
    <w:rsid w:val="37B92A45"/>
    <w:rsid w:val="37F22E99"/>
    <w:rsid w:val="392B7033"/>
    <w:rsid w:val="39347A7C"/>
    <w:rsid w:val="3A2636DC"/>
    <w:rsid w:val="3AC61655"/>
    <w:rsid w:val="3AFF6C1F"/>
    <w:rsid w:val="3BAE3989"/>
    <w:rsid w:val="3BF7ECC8"/>
    <w:rsid w:val="3CEF2946"/>
    <w:rsid w:val="3D7A2B4E"/>
    <w:rsid w:val="3DBFC14E"/>
    <w:rsid w:val="3DDC93C5"/>
    <w:rsid w:val="3E5BAB46"/>
    <w:rsid w:val="3E5C4845"/>
    <w:rsid w:val="3F722798"/>
    <w:rsid w:val="3FB045A3"/>
    <w:rsid w:val="3FB9D551"/>
    <w:rsid w:val="3FCD1927"/>
    <w:rsid w:val="3FDDB0AE"/>
    <w:rsid w:val="3FE75610"/>
    <w:rsid w:val="40D160EB"/>
    <w:rsid w:val="41046039"/>
    <w:rsid w:val="42CC28C2"/>
    <w:rsid w:val="43062778"/>
    <w:rsid w:val="43097E84"/>
    <w:rsid w:val="434FDD74"/>
    <w:rsid w:val="4356105B"/>
    <w:rsid w:val="43744F11"/>
    <w:rsid w:val="448E7078"/>
    <w:rsid w:val="451D65FC"/>
    <w:rsid w:val="45975239"/>
    <w:rsid w:val="45B32E6A"/>
    <w:rsid w:val="45CF7059"/>
    <w:rsid w:val="461E5753"/>
    <w:rsid w:val="46BF372E"/>
    <w:rsid w:val="47565A99"/>
    <w:rsid w:val="47637B42"/>
    <w:rsid w:val="47D50858"/>
    <w:rsid w:val="4AF87FF7"/>
    <w:rsid w:val="4DC30722"/>
    <w:rsid w:val="4F187C35"/>
    <w:rsid w:val="4FA74C56"/>
    <w:rsid w:val="4FBC850B"/>
    <w:rsid w:val="4FC854F3"/>
    <w:rsid w:val="4FFA38CB"/>
    <w:rsid w:val="50535FA7"/>
    <w:rsid w:val="509203C6"/>
    <w:rsid w:val="50A40459"/>
    <w:rsid w:val="51694CEF"/>
    <w:rsid w:val="536B34BE"/>
    <w:rsid w:val="53B44160"/>
    <w:rsid w:val="54361B52"/>
    <w:rsid w:val="548C2FAF"/>
    <w:rsid w:val="54967355"/>
    <w:rsid w:val="551D69F1"/>
    <w:rsid w:val="55B57594"/>
    <w:rsid w:val="560E0DEC"/>
    <w:rsid w:val="562E6171"/>
    <w:rsid w:val="57BF5235"/>
    <w:rsid w:val="58520BA9"/>
    <w:rsid w:val="5A1630D0"/>
    <w:rsid w:val="5A614855"/>
    <w:rsid w:val="5A964ACC"/>
    <w:rsid w:val="5AB51DDE"/>
    <w:rsid w:val="5BE27DFF"/>
    <w:rsid w:val="5C0D2BF3"/>
    <w:rsid w:val="5CFF984F"/>
    <w:rsid w:val="5D143EE7"/>
    <w:rsid w:val="5DBFB6AC"/>
    <w:rsid w:val="5DF11A41"/>
    <w:rsid w:val="5E4E036B"/>
    <w:rsid w:val="5EADA8C4"/>
    <w:rsid w:val="5FCB4BE7"/>
    <w:rsid w:val="5FF97B70"/>
    <w:rsid w:val="60326EE6"/>
    <w:rsid w:val="60B66813"/>
    <w:rsid w:val="61223F1C"/>
    <w:rsid w:val="61C52EE7"/>
    <w:rsid w:val="62584298"/>
    <w:rsid w:val="62670500"/>
    <w:rsid w:val="62C81078"/>
    <w:rsid w:val="62CD7EA4"/>
    <w:rsid w:val="62F13B86"/>
    <w:rsid w:val="64540C88"/>
    <w:rsid w:val="651A2071"/>
    <w:rsid w:val="65DA57CB"/>
    <w:rsid w:val="66A77FCB"/>
    <w:rsid w:val="67987D71"/>
    <w:rsid w:val="686B59F1"/>
    <w:rsid w:val="686C0D72"/>
    <w:rsid w:val="6870329E"/>
    <w:rsid w:val="687D40A7"/>
    <w:rsid w:val="693F0C09"/>
    <w:rsid w:val="6ACE4725"/>
    <w:rsid w:val="6ADE32FC"/>
    <w:rsid w:val="6B730158"/>
    <w:rsid w:val="6BF30D22"/>
    <w:rsid w:val="6CFCA87D"/>
    <w:rsid w:val="6DEF2A6B"/>
    <w:rsid w:val="6E9130A4"/>
    <w:rsid w:val="6EA5E53F"/>
    <w:rsid w:val="6EA98825"/>
    <w:rsid w:val="6EED212E"/>
    <w:rsid w:val="6F096A3B"/>
    <w:rsid w:val="6F3D0C24"/>
    <w:rsid w:val="6FDFB73A"/>
    <w:rsid w:val="6FF653BE"/>
    <w:rsid w:val="703219A0"/>
    <w:rsid w:val="70401BFA"/>
    <w:rsid w:val="704F227C"/>
    <w:rsid w:val="70537112"/>
    <w:rsid w:val="70B61718"/>
    <w:rsid w:val="71B46AA3"/>
    <w:rsid w:val="71C92D3B"/>
    <w:rsid w:val="72144BF7"/>
    <w:rsid w:val="722B03AA"/>
    <w:rsid w:val="72887708"/>
    <w:rsid w:val="73407014"/>
    <w:rsid w:val="73E81854"/>
    <w:rsid w:val="73EF94A4"/>
    <w:rsid w:val="73F6A335"/>
    <w:rsid w:val="73FFB177"/>
    <w:rsid w:val="747F9D43"/>
    <w:rsid w:val="753D5647"/>
    <w:rsid w:val="758053D5"/>
    <w:rsid w:val="75932D71"/>
    <w:rsid w:val="75947EEF"/>
    <w:rsid w:val="75BFD902"/>
    <w:rsid w:val="76304BE8"/>
    <w:rsid w:val="76BE836D"/>
    <w:rsid w:val="77E5EAD6"/>
    <w:rsid w:val="77EF6705"/>
    <w:rsid w:val="77FB1A1A"/>
    <w:rsid w:val="78DF5D5C"/>
    <w:rsid w:val="79BD2123"/>
    <w:rsid w:val="7B3DA2F1"/>
    <w:rsid w:val="7B716826"/>
    <w:rsid w:val="7B722ADC"/>
    <w:rsid w:val="7BF71B67"/>
    <w:rsid w:val="7BFE9A54"/>
    <w:rsid w:val="7CB41BB0"/>
    <w:rsid w:val="7D7C3671"/>
    <w:rsid w:val="7DB94C1C"/>
    <w:rsid w:val="7DBFAE3F"/>
    <w:rsid w:val="7DFB79C0"/>
    <w:rsid w:val="7EAFC68C"/>
    <w:rsid w:val="7EF8857A"/>
    <w:rsid w:val="7F3B6CB7"/>
    <w:rsid w:val="7F625BE9"/>
    <w:rsid w:val="7F7236B4"/>
    <w:rsid w:val="7F9F37FF"/>
    <w:rsid w:val="7FBA4A18"/>
    <w:rsid w:val="7FBF7098"/>
    <w:rsid w:val="7FD6B002"/>
    <w:rsid w:val="7FDE2D09"/>
    <w:rsid w:val="7FDFFE01"/>
    <w:rsid w:val="7FE60762"/>
    <w:rsid w:val="7FEC15F3"/>
    <w:rsid w:val="7FF336DB"/>
    <w:rsid w:val="7FFA4962"/>
    <w:rsid w:val="7FFF458B"/>
    <w:rsid w:val="7FFF7E59"/>
    <w:rsid w:val="9972FAEA"/>
    <w:rsid w:val="9DD7331A"/>
    <w:rsid w:val="9EFC6A9C"/>
    <w:rsid w:val="9FC1C51E"/>
    <w:rsid w:val="AFDC9DF7"/>
    <w:rsid w:val="BA7B23C6"/>
    <w:rsid w:val="BAA7AA7B"/>
    <w:rsid w:val="BAB94A78"/>
    <w:rsid w:val="BC7D3609"/>
    <w:rsid w:val="BE7FB418"/>
    <w:rsid w:val="BFFF4157"/>
    <w:rsid w:val="CF6D20A1"/>
    <w:rsid w:val="CFFF59FE"/>
    <w:rsid w:val="D3FF06E0"/>
    <w:rsid w:val="D75710DA"/>
    <w:rsid w:val="DAD2F1AE"/>
    <w:rsid w:val="DDCC5A74"/>
    <w:rsid w:val="DF43A1BD"/>
    <w:rsid w:val="DFFBEC5A"/>
    <w:rsid w:val="E4FB6E2F"/>
    <w:rsid w:val="E7AF7A35"/>
    <w:rsid w:val="ECF73B33"/>
    <w:rsid w:val="EF7FA1DD"/>
    <w:rsid w:val="EFAF9D7E"/>
    <w:rsid w:val="EFFA32A1"/>
    <w:rsid w:val="EFFC40E7"/>
    <w:rsid w:val="F073390E"/>
    <w:rsid w:val="F15737D9"/>
    <w:rsid w:val="F3BFACBB"/>
    <w:rsid w:val="F3FA381E"/>
    <w:rsid w:val="F565F4D6"/>
    <w:rsid w:val="F6DF2183"/>
    <w:rsid w:val="F77D3F94"/>
    <w:rsid w:val="F7B745B9"/>
    <w:rsid w:val="F7BC2405"/>
    <w:rsid w:val="F7BF6A3C"/>
    <w:rsid w:val="F7FF7954"/>
    <w:rsid w:val="FB7BF838"/>
    <w:rsid w:val="FBE8B2AE"/>
    <w:rsid w:val="FD793A37"/>
    <w:rsid w:val="FDF98583"/>
    <w:rsid w:val="FDFF0583"/>
    <w:rsid w:val="FEFE2016"/>
    <w:rsid w:val="FFB99616"/>
    <w:rsid w:val="FFD7D5DD"/>
    <w:rsid w:val="FFEFF3D1"/>
    <w:rsid w:val="FFF32ACB"/>
    <w:rsid w:val="FFFFA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Indent"/>
    <w:basedOn w:val="1"/>
    <w:next w:val="4"/>
    <w:qFormat/>
    <w:uiPriority w:val="0"/>
    <w:pPr>
      <w:ind w:firstLine="420" w:firstLineChars="200"/>
    </w:pPr>
    <w:rPr>
      <w:rFonts w:eastAsia="仿宋"/>
    </w:rPr>
  </w:style>
  <w:style w:type="paragraph" w:styleId="4">
    <w:name w:val="Body Text"/>
    <w:basedOn w:val="1"/>
    <w:next w:val="5"/>
    <w:qFormat/>
    <w:uiPriority w:val="0"/>
    <w:pPr>
      <w:spacing w:before="0" w:after="140" w:line="276" w:lineRule="auto"/>
    </w:pPr>
  </w:style>
  <w:style w:type="paragraph" w:styleId="5">
    <w:name w:val="Body Text First Indent"/>
    <w:basedOn w:val="4"/>
    <w:next w:val="1"/>
    <w:qFormat/>
    <w:uiPriority w:val="0"/>
    <w:pPr>
      <w:tabs>
        <w:tab w:val="left" w:pos="7920"/>
      </w:tabs>
      <w:ind w:firstLine="420" w:firstLineChars="100"/>
    </w:pPr>
  </w:style>
  <w:style w:type="paragraph" w:styleId="6">
    <w:name w:val="footer"/>
    <w:basedOn w:val="1"/>
    <w:qFormat/>
    <w:uiPriority w:val="0"/>
    <w:pPr>
      <w:tabs>
        <w:tab w:val="center" w:pos="4153"/>
        <w:tab w:val="right" w:pos="8306"/>
      </w:tabs>
      <w:snapToGrid w:val="0"/>
    </w:pPr>
    <w:rPr>
      <w:sz w:val="18"/>
      <w:szCs w:val="18"/>
    </w:rPr>
  </w:style>
  <w:style w:type="paragraph" w:styleId="7">
    <w:name w:val="footnote text"/>
    <w:basedOn w:val="1"/>
    <w:qFormat/>
    <w:uiPriority w:val="99"/>
    <w:pPr>
      <w:snapToGrid w:val="0"/>
      <w:jc w:val="left"/>
    </w:pPr>
    <w:rPr>
      <w:rFonts w:ascii="Calibri" w:hAnsi="Calibri" w:eastAsia="宋体" w:cs="Times New Roman"/>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rPr>
      <w:i/>
    </w:rPr>
  </w:style>
  <w:style w:type="character" w:styleId="15">
    <w:name w:val="Hyperlink"/>
    <w:basedOn w:val="11"/>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6416</Words>
  <Characters>6477</Characters>
  <Lines>0</Lines>
  <Paragraphs>0</Paragraphs>
  <TotalTime>14</TotalTime>
  <ScaleCrop>false</ScaleCrop>
  <LinksUpToDate>false</LinksUpToDate>
  <CharactersWithSpaces>8292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2023-03-18T10:21:00Z</dcterms:created>
  <dc:creator>user4</dc:creator>
  <cp:lastModifiedBy>Administrator</cp:lastModifiedBy>
  <cp:lastPrinted>2024-10-10T09:05:00Z</cp:lastPrinted>
  <dcterms:modified xsi:type="dcterms:W3CDTF">2024-10-10T06:52:34Z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B387F4D4EE4144E29F153E9EBBFE2A98</vt:lpwstr>
  </property>
</Properties>
</file>