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17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36"/>
          <w:szCs w:val="36"/>
          <w:u w:val="none"/>
          <w:lang w:val="en-US" w:eastAsia="zh-CN" w:bidi="ar"/>
        </w:rPr>
        <w:t>关于《仙居县油茶产业发展三年行动方案</w:t>
      </w:r>
    </w:p>
    <w:p w14:paraId="002B8B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36"/>
          <w:szCs w:val="36"/>
          <w:u w:val="none"/>
          <w:lang w:val="en-US" w:eastAsia="zh-CN" w:bidi="ar"/>
        </w:rPr>
        <w:t>（2023-2025年）》的起草说明</w:t>
      </w:r>
    </w:p>
    <w:p w14:paraId="4848EAFC">
      <w:pPr>
        <w:pStyle w:val="2"/>
        <w:numPr>
          <w:ilvl w:val="0"/>
          <w:numId w:val="0"/>
        </w:numPr>
        <w:rPr>
          <w:rFonts w:hint="eastAsia" w:ascii="黑体" w:hAnsi="黑体" w:eastAsia="黑体" w:cs="黑体"/>
          <w:b w:val="0"/>
          <w:bCs w:val="0"/>
          <w:i w:val="0"/>
          <w:iCs w:val="0"/>
          <w:caps w:val="0"/>
          <w:color w:val="auto"/>
          <w:spacing w:val="0"/>
          <w:kern w:val="0"/>
          <w:sz w:val="32"/>
          <w:szCs w:val="32"/>
          <w:u w:val="none"/>
          <w:lang w:val="en-US" w:eastAsia="zh-CN" w:bidi="ar"/>
        </w:rPr>
      </w:pPr>
    </w:p>
    <w:p w14:paraId="206E0F68">
      <w:pPr>
        <w:pStyle w:val="2"/>
        <w:keepNext w:val="0"/>
        <w:keepLines w:val="0"/>
        <w:pageBreakBefore w:val="0"/>
        <w:widowControl w:val="0"/>
        <w:numPr>
          <w:ilvl w:val="0"/>
          <w:numId w:val="1"/>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i w:val="0"/>
          <w:iCs w:val="0"/>
          <w:caps w:val="0"/>
          <w:color w:val="auto"/>
          <w:spacing w:val="0"/>
          <w:kern w:val="0"/>
          <w:sz w:val="32"/>
          <w:szCs w:val="32"/>
          <w:u w:val="none"/>
          <w:lang w:val="en-US" w:eastAsia="zh-CN" w:bidi="ar"/>
        </w:rPr>
      </w:pPr>
      <w:r>
        <w:rPr>
          <w:rFonts w:hint="eastAsia" w:ascii="黑体" w:hAnsi="黑体" w:eastAsia="黑体" w:cs="黑体"/>
          <w:b w:val="0"/>
          <w:bCs w:val="0"/>
          <w:i w:val="0"/>
          <w:iCs w:val="0"/>
          <w:caps w:val="0"/>
          <w:color w:val="auto"/>
          <w:spacing w:val="0"/>
          <w:kern w:val="0"/>
          <w:sz w:val="32"/>
          <w:szCs w:val="32"/>
          <w:u w:val="none"/>
          <w:lang w:val="en-US" w:eastAsia="zh-CN" w:bidi="ar"/>
        </w:rPr>
        <w:t>起草背景</w:t>
      </w:r>
    </w:p>
    <w:p w14:paraId="45DD11D2">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一是油茶作为浙江的传统优势经济树种和木本食用油料树种，迄今已有 2300 多年的栽培和利用历史；二是党中央、国务院高度重视油茶产业发展工作，习近平总书记多次强调“要大力发展油茶产业”。浙江省委、省政府相继出台《浙江省油茶生产保供实施方案（2021-2025年）》等政策文件，把油茶种植纳入粮油保供范围。为此，结合我县油茶产业的发展情况，并充分参考省市相关文件精神，起草出台了《行动方案》，进一步研究发展目标和扶持政策，明确单位职责，完善工作机制，提高项目质量，推进</w:t>
      </w:r>
      <w:r>
        <w:rPr>
          <w:rFonts w:hint="eastAsia" w:ascii="仿宋_GB2312" w:hAnsi="仿宋_GB2312" w:eastAsia="仿宋_GB2312" w:cs="仿宋_GB2312"/>
          <w:kern w:val="0"/>
          <w:sz w:val="32"/>
          <w:szCs w:val="32"/>
          <w:lang w:eastAsia="zh-CN" w:bidi="ar"/>
        </w:rPr>
        <w:t>油茶</w:t>
      </w:r>
      <w:r>
        <w:rPr>
          <w:rFonts w:hint="eastAsia" w:ascii="仿宋_GB2312" w:hAnsi="仿宋_GB2312" w:eastAsia="仿宋_GB2312" w:cs="仿宋_GB2312"/>
          <w:kern w:val="0"/>
          <w:sz w:val="32"/>
          <w:szCs w:val="32"/>
          <w:lang w:bidi="ar"/>
        </w:rPr>
        <w:t>产业发展。</w:t>
      </w:r>
    </w:p>
    <w:p w14:paraId="530F846A">
      <w:pPr>
        <w:pStyle w:val="2"/>
        <w:keepNext w:val="0"/>
        <w:keepLines w:val="0"/>
        <w:pageBreakBefore w:val="0"/>
        <w:widowControl w:val="0"/>
        <w:numPr>
          <w:ilvl w:val="0"/>
          <w:numId w:val="1"/>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i w:val="0"/>
          <w:iCs w:val="0"/>
          <w:caps w:val="0"/>
          <w:color w:val="auto"/>
          <w:spacing w:val="0"/>
          <w:kern w:val="0"/>
          <w:sz w:val="32"/>
          <w:szCs w:val="32"/>
          <w:u w:val="none"/>
          <w:lang w:val="en-US" w:eastAsia="zh-CN" w:bidi="ar"/>
        </w:rPr>
      </w:pPr>
      <w:r>
        <w:rPr>
          <w:rFonts w:hint="eastAsia" w:ascii="黑体" w:hAnsi="黑体" w:eastAsia="黑体" w:cs="黑体"/>
          <w:b w:val="0"/>
          <w:bCs w:val="0"/>
          <w:i w:val="0"/>
          <w:iCs w:val="0"/>
          <w:caps w:val="0"/>
          <w:color w:val="auto"/>
          <w:spacing w:val="0"/>
          <w:kern w:val="0"/>
          <w:sz w:val="32"/>
          <w:szCs w:val="32"/>
          <w:u w:val="none"/>
          <w:lang w:val="en-US" w:eastAsia="zh-CN" w:bidi="ar"/>
        </w:rPr>
        <w:t>起草参考依据</w:t>
      </w:r>
    </w:p>
    <w:p w14:paraId="57978237">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《国家林业和草原局 国家发展和改革委员会 财政部关于印发&lt;加快油茶产业发展三年行动方案（2023-2025年）&gt;的通知》（林改发〔2022〕130号）</w:t>
      </w:r>
    </w:p>
    <w:p w14:paraId="24E1DE77">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仿宋_GB2312" w:cs="方正小标宋简体"/>
          <w:b w:val="0"/>
          <w:bCs w:val="0"/>
          <w:i w:val="0"/>
          <w:iCs w:val="0"/>
          <w:caps w:val="0"/>
          <w:color w:val="auto"/>
          <w:spacing w:val="0"/>
          <w:kern w:val="0"/>
          <w:sz w:val="36"/>
          <w:szCs w:val="36"/>
          <w:u w:val="none"/>
          <w:lang w:val="en-US"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《浙江省林业局 浙江省发展和改革委员会 浙江省财政厅关于印发〈浙江省油茶产业发展三年行动方案（2023-2025年）〉的通知》（浙林改〔2023〕30号）</w:t>
      </w:r>
    </w:p>
    <w:p w14:paraId="55685E36">
      <w:pPr>
        <w:pStyle w:val="2"/>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i w:val="0"/>
          <w:iCs w:val="0"/>
          <w:caps w:val="0"/>
          <w:color w:val="auto"/>
          <w:spacing w:val="0"/>
          <w:kern w:val="0"/>
          <w:sz w:val="32"/>
          <w:szCs w:val="32"/>
          <w:u w:val="none"/>
          <w:lang w:val="en-US" w:eastAsia="zh-CN" w:bidi="ar"/>
        </w:rPr>
      </w:pPr>
      <w:r>
        <w:rPr>
          <w:rFonts w:hint="eastAsia" w:ascii="黑体" w:hAnsi="黑体" w:eastAsia="黑体" w:cs="黑体"/>
          <w:b w:val="0"/>
          <w:bCs w:val="0"/>
          <w:i w:val="0"/>
          <w:iCs w:val="0"/>
          <w:caps w:val="0"/>
          <w:color w:val="auto"/>
          <w:spacing w:val="0"/>
          <w:kern w:val="0"/>
          <w:sz w:val="32"/>
          <w:szCs w:val="32"/>
          <w:u w:val="none"/>
          <w:lang w:val="en-US" w:eastAsia="zh-CN" w:bidi="ar"/>
        </w:rPr>
        <w:t>主要内容</w:t>
      </w:r>
    </w:p>
    <w:p w14:paraId="4F8BC1B9">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《行动方案》内容分为七个部分。</w:t>
      </w:r>
    </w:p>
    <w:p w14:paraId="6D1A0882">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bidi="ar"/>
        </w:rPr>
      </w:pPr>
      <w:r>
        <w:rPr>
          <w:rFonts w:hint="eastAsia" w:ascii="楷体_GB2312" w:hAnsi="楷体_GB2312" w:eastAsia="楷体_GB2312" w:cs="楷体_GB2312"/>
          <w:spacing w:val="0"/>
          <w:sz w:val="32"/>
          <w:szCs w:val="32"/>
          <w:lang w:val="en-US" w:eastAsia="zh-CN"/>
        </w:rPr>
        <w:t>第一部分是指导思想。</w:t>
      </w:r>
      <w:r>
        <w:rPr>
          <w:rFonts w:hint="eastAsia" w:ascii="仿宋_GB2312" w:hAnsi="仿宋_GB2312" w:eastAsia="仿宋_GB2312" w:cs="仿宋_GB2312"/>
          <w:sz w:val="32"/>
          <w:szCs w:val="32"/>
          <w:lang w:bidi="ar"/>
        </w:rPr>
        <w:t>以习近平新时代中国特色社会主义思想为指导，牢固树立“绿水青山就是金山银山”的发展理念</w:t>
      </w:r>
      <w:r>
        <w:rPr>
          <w:rFonts w:hint="eastAsia" w:ascii="仿宋_GB2312" w:hAnsi="仿宋_GB2312" w:eastAsia="仿宋_GB2312" w:cs="仿宋_GB2312"/>
          <w:sz w:val="32"/>
          <w:szCs w:val="32"/>
          <w:lang w:eastAsia="zh-CN" w:bidi="ar"/>
        </w:rPr>
        <w:t>。</w:t>
      </w:r>
    </w:p>
    <w:p w14:paraId="15A34095">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bidi="ar"/>
        </w:rPr>
      </w:pPr>
      <w:r>
        <w:rPr>
          <w:rFonts w:hint="eastAsia" w:ascii="楷体_GB2312" w:hAnsi="楷体_GB2312" w:eastAsia="楷体_GB2312" w:cs="楷体_GB2312"/>
          <w:spacing w:val="0"/>
          <w:sz w:val="32"/>
          <w:szCs w:val="32"/>
          <w:lang w:eastAsia="zh-CN"/>
        </w:rPr>
        <w:t>第二部分是基本原则。</w:t>
      </w:r>
      <w:r>
        <w:rPr>
          <w:rFonts w:hint="eastAsia" w:ascii="仿宋_GB2312" w:hAnsi="仿宋_GB2312" w:eastAsia="仿宋_GB2312" w:cs="仿宋_GB2312"/>
          <w:sz w:val="32"/>
          <w:szCs w:val="32"/>
          <w:lang w:eastAsia="zh-CN" w:bidi="ar"/>
        </w:rPr>
        <w:t>一是</w:t>
      </w:r>
      <w:r>
        <w:rPr>
          <w:rFonts w:hint="eastAsia" w:ascii="仿宋_GB2312" w:hAnsi="仿宋_GB2312" w:eastAsia="仿宋_GB2312" w:cs="仿宋_GB2312"/>
          <w:sz w:val="32"/>
          <w:szCs w:val="32"/>
          <w:lang w:bidi="ar"/>
        </w:rPr>
        <w:t>坚持政府推动，夯实基础</w:t>
      </w:r>
      <w:r>
        <w:rPr>
          <w:rFonts w:hint="eastAsia" w:ascii="仿宋_GB2312" w:hAnsi="仿宋_GB2312" w:eastAsia="仿宋_GB2312" w:cs="仿宋_GB2312"/>
          <w:sz w:val="32"/>
          <w:szCs w:val="32"/>
          <w:lang w:eastAsia="zh-CN" w:bidi="ar"/>
        </w:rPr>
        <w:t>，二是</w:t>
      </w:r>
      <w:r>
        <w:rPr>
          <w:rFonts w:hint="eastAsia" w:ascii="仿宋_GB2312" w:hAnsi="仿宋_GB2312" w:eastAsia="仿宋_GB2312" w:cs="仿宋_GB2312"/>
          <w:sz w:val="32"/>
          <w:szCs w:val="32"/>
          <w:lang w:bidi="ar"/>
        </w:rPr>
        <w:t>坚持科技引领，高质</w:t>
      </w:r>
      <w:r>
        <w:rPr>
          <w:rFonts w:hint="eastAsia" w:ascii="仿宋_GB2312" w:hAnsi="仿宋_GB2312" w:eastAsia="仿宋_GB2312" w:cs="仿宋_GB2312"/>
          <w:sz w:val="32"/>
          <w:szCs w:val="32"/>
          <w:lang w:val="en-US" w:eastAsia="zh-CN" w:bidi="ar"/>
        </w:rPr>
        <w:t>量</w:t>
      </w:r>
      <w:bookmarkStart w:id="0" w:name="_GoBack"/>
      <w:bookmarkEnd w:id="0"/>
      <w:r>
        <w:rPr>
          <w:rFonts w:hint="eastAsia" w:ascii="仿宋_GB2312" w:hAnsi="仿宋_GB2312" w:eastAsia="仿宋_GB2312" w:cs="仿宋_GB2312"/>
          <w:sz w:val="32"/>
          <w:szCs w:val="32"/>
          <w:lang w:bidi="ar"/>
        </w:rPr>
        <w:t>发展</w:t>
      </w:r>
      <w:r>
        <w:rPr>
          <w:rFonts w:hint="eastAsia" w:ascii="仿宋_GB2312" w:hAnsi="仿宋_GB2312" w:eastAsia="仿宋_GB2312" w:cs="仿宋_GB2312"/>
          <w:sz w:val="32"/>
          <w:szCs w:val="32"/>
          <w:lang w:eastAsia="zh-CN" w:bidi="ar"/>
        </w:rPr>
        <w:t>，三是</w:t>
      </w:r>
      <w:r>
        <w:rPr>
          <w:rFonts w:hint="eastAsia" w:ascii="仿宋_GB2312" w:hAnsi="仿宋_GB2312" w:eastAsia="仿宋_GB2312" w:cs="仿宋_GB2312"/>
          <w:sz w:val="32"/>
          <w:szCs w:val="32"/>
          <w:lang w:bidi="ar"/>
        </w:rPr>
        <w:t>坚持因地制宜，科学发展</w:t>
      </w:r>
      <w:r>
        <w:rPr>
          <w:rFonts w:hint="eastAsia" w:ascii="仿宋_GB2312" w:hAnsi="仿宋_GB2312" w:eastAsia="仿宋_GB2312" w:cs="仿宋_GB2312"/>
          <w:sz w:val="32"/>
          <w:szCs w:val="32"/>
          <w:lang w:eastAsia="zh-CN" w:bidi="ar"/>
        </w:rPr>
        <w:t>。</w:t>
      </w:r>
    </w:p>
    <w:p w14:paraId="4DAFC050">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lang w:eastAsia="zh-CN"/>
        </w:rPr>
        <w:t>第三部分是工作目标。</w:t>
      </w:r>
      <w:r>
        <w:rPr>
          <w:rFonts w:hint="eastAsia" w:ascii="仿宋_GB2312" w:hAnsi="仿宋_GB2312" w:eastAsia="仿宋_GB2312" w:cs="仿宋_GB2312"/>
          <w:sz w:val="32"/>
          <w:szCs w:val="32"/>
          <w:lang w:eastAsia="zh-CN" w:bidi="ar"/>
        </w:rPr>
        <w:t>在三年行动（</w:t>
      </w:r>
      <w:r>
        <w:rPr>
          <w:rFonts w:hint="eastAsia" w:ascii="仿宋_GB2312" w:hAnsi="仿宋_GB2312" w:eastAsia="仿宋_GB2312" w:cs="仿宋_GB2312"/>
          <w:sz w:val="32"/>
          <w:szCs w:val="32"/>
          <w:lang w:val="en-US" w:eastAsia="zh-CN" w:bidi="ar"/>
        </w:rPr>
        <w:t>2023-2025年</w:t>
      </w:r>
      <w:r>
        <w:rPr>
          <w:rFonts w:hint="eastAsia" w:ascii="仿宋_GB2312" w:hAnsi="仿宋_GB2312" w:eastAsia="仿宋_GB2312" w:cs="仿宋_GB2312"/>
          <w:sz w:val="32"/>
          <w:szCs w:val="32"/>
          <w:lang w:eastAsia="zh-CN" w:bidi="ar"/>
        </w:rPr>
        <w:t>）期间，</w:t>
      </w:r>
      <w:r>
        <w:rPr>
          <w:rFonts w:hint="eastAsia" w:ascii="仿宋_GB2312" w:hAnsi="仿宋_GB2312" w:eastAsia="仿宋_GB2312" w:cs="仿宋_GB2312"/>
          <w:sz w:val="32"/>
          <w:szCs w:val="32"/>
          <w:lang w:bidi="ar"/>
        </w:rPr>
        <w:t>全县完成油茶新造林21800亩、低产林</w:t>
      </w:r>
      <w:r>
        <w:rPr>
          <w:rFonts w:hint="eastAsia" w:ascii="仿宋_GB2312" w:hAnsi="仿宋_GB2312" w:eastAsia="仿宋_GB2312" w:cs="仿宋_GB2312"/>
          <w:sz w:val="32"/>
          <w:szCs w:val="32"/>
          <w:lang w:eastAsia="zh-CN" w:bidi="ar"/>
        </w:rPr>
        <w:t>改造</w:t>
      </w:r>
      <w:r>
        <w:rPr>
          <w:rFonts w:hint="eastAsia" w:ascii="仿宋_GB2312" w:hAnsi="仿宋_GB2312" w:eastAsia="仿宋_GB2312" w:cs="仿宋_GB2312"/>
          <w:sz w:val="32"/>
          <w:szCs w:val="32"/>
          <w:lang w:bidi="ar"/>
        </w:rPr>
        <w:t>23000亩。</w:t>
      </w:r>
    </w:p>
    <w:p w14:paraId="69910529">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bidi="ar"/>
        </w:rPr>
      </w:pPr>
      <w:r>
        <w:rPr>
          <w:rFonts w:hint="eastAsia" w:ascii="楷体_GB2312" w:hAnsi="楷体_GB2312" w:eastAsia="楷体_GB2312" w:cs="楷体_GB2312"/>
          <w:spacing w:val="0"/>
          <w:sz w:val="32"/>
          <w:szCs w:val="32"/>
          <w:lang w:eastAsia="zh-CN"/>
        </w:rPr>
        <w:t>第四部分是实施途径。</w:t>
      </w:r>
      <w:r>
        <w:rPr>
          <w:rFonts w:hint="eastAsia" w:ascii="仿宋_GB2312" w:hAnsi="仿宋_GB2312" w:eastAsia="仿宋_GB2312" w:cs="仿宋_GB2312"/>
          <w:sz w:val="32"/>
          <w:szCs w:val="32"/>
          <w:lang w:eastAsia="zh-CN" w:bidi="ar"/>
        </w:rPr>
        <w:t>这一部分是指出油茶新造林和低产林改造不同实施地块类型上的实施要求。</w:t>
      </w:r>
    </w:p>
    <w:tbl>
      <w:tblPr>
        <w:tblStyle w:val="8"/>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2728"/>
        <w:gridCol w:w="4745"/>
      </w:tblGrid>
      <w:tr w14:paraId="76CE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05" w:type="dxa"/>
            <w:vAlign w:val="center"/>
          </w:tcPr>
          <w:p w14:paraId="7AA12555">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t>项目类别</w:t>
            </w:r>
          </w:p>
        </w:tc>
        <w:tc>
          <w:tcPr>
            <w:tcW w:w="2728" w:type="dxa"/>
            <w:vAlign w:val="center"/>
          </w:tcPr>
          <w:p w14:paraId="10DF2D21">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t>地块类型</w:t>
            </w:r>
          </w:p>
        </w:tc>
        <w:tc>
          <w:tcPr>
            <w:tcW w:w="4745" w:type="dxa"/>
            <w:vAlign w:val="center"/>
          </w:tcPr>
          <w:p w14:paraId="0CADB1FB">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t>要求</w:t>
            </w:r>
          </w:p>
        </w:tc>
      </w:tr>
      <w:tr w14:paraId="48B0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05" w:type="dxa"/>
            <w:vMerge w:val="restart"/>
            <w:vAlign w:val="center"/>
          </w:tcPr>
          <w:p w14:paraId="4B0ABFB1">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t>油茶新造林</w:t>
            </w:r>
          </w:p>
        </w:tc>
        <w:tc>
          <w:tcPr>
            <w:tcW w:w="2728" w:type="dxa"/>
            <w:vAlign w:val="center"/>
          </w:tcPr>
          <w:p w14:paraId="75B3933C">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kern w:val="0"/>
                <w:sz w:val="22"/>
                <w:szCs w:val="22"/>
                <w:lang w:bidi="ar"/>
              </w:rPr>
              <w:t>火烧迹地、采伐迹地</w:t>
            </w:r>
            <w:r>
              <w:rPr>
                <w:rFonts w:hint="eastAsia" w:ascii="仿宋" w:hAnsi="仿宋" w:eastAsia="仿宋" w:cs="仿宋"/>
                <w:sz w:val="22"/>
                <w:szCs w:val="22"/>
                <w:lang w:bidi="ar"/>
              </w:rPr>
              <w:t>、枯死木清理迹地</w:t>
            </w:r>
          </w:p>
        </w:tc>
        <w:tc>
          <w:tcPr>
            <w:tcW w:w="4745" w:type="dxa"/>
            <w:vAlign w:val="center"/>
          </w:tcPr>
          <w:p w14:paraId="63812BB2">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color w:val="auto"/>
                <w:sz w:val="22"/>
                <w:szCs w:val="22"/>
                <w:lang w:eastAsia="zh-CN" w:bidi="ar"/>
              </w:rPr>
              <w:t>因地制宜，采用</w:t>
            </w:r>
            <w:r>
              <w:rPr>
                <w:rFonts w:hint="eastAsia" w:ascii="仿宋" w:hAnsi="仿宋" w:eastAsia="仿宋" w:cs="仿宋"/>
                <w:kern w:val="0"/>
                <w:sz w:val="22"/>
                <w:szCs w:val="22"/>
                <w:lang w:bidi="ar"/>
              </w:rPr>
              <w:t>带状清理带状整地，</w:t>
            </w:r>
            <w:r>
              <w:rPr>
                <w:rFonts w:hint="eastAsia" w:ascii="仿宋" w:hAnsi="仿宋" w:eastAsia="仿宋" w:cs="仿宋"/>
                <w:kern w:val="0"/>
                <w:sz w:val="22"/>
                <w:szCs w:val="22"/>
                <w:lang w:eastAsia="zh-CN" w:bidi="ar"/>
              </w:rPr>
              <w:t>原则上</w:t>
            </w:r>
            <w:r>
              <w:rPr>
                <w:rFonts w:hint="eastAsia" w:ascii="仿宋" w:hAnsi="仿宋" w:eastAsia="仿宋" w:cs="仿宋"/>
                <w:kern w:val="0"/>
                <w:sz w:val="22"/>
                <w:szCs w:val="22"/>
                <w:lang w:bidi="ar"/>
              </w:rPr>
              <w:t>选择3个花期相对一致的</w:t>
            </w:r>
            <w:r>
              <w:rPr>
                <w:rFonts w:hint="eastAsia" w:ascii="仿宋" w:hAnsi="仿宋" w:eastAsia="仿宋" w:cs="仿宋"/>
                <w:kern w:val="0"/>
                <w:sz w:val="22"/>
                <w:szCs w:val="22"/>
                <w:lang w:eastAsia="zh-CN" w:bidi="ar"/>
              </w:rPr>
              <w:t>适合本地推广的</w:t>
            </w:r>
            <w:r>
              <w:rPr>
                <w:rFonts w:hint="eastAsia" w:ascii="仿宋" w:hAnsi="仿宋" w:eastAsia="仿宋" w:cs="仿宋"/>
                <w:kern w:val="0"/>
                <w:sz w:val="22"/>
                <w:szCs w:val="22"/>
                <w:lang w:bidi="ar"/>
              </w:rPr>
              <w:t>油茶良种双行状间隔排列配置造林，栽植密度56-74株/亩</w:t>
            </w:r>
            <w:r>
              <w:rPr>
                <w:rFonts w:hint="eastAsia" w:ascii="仿宋" w:hAnsi="仿宋" w:eastAsia="仿宋" w:cs="仿宋"/>
                <w:color w:val="auto"/>
                <w:kern w:val="0"/>
                <w:sz w:val="22"/>
                <w:szCs w:val="22"/>
                <w:lang w:bidi="ar"/>
              </w:rPr>
              <w:t>；公益林</w:t>
            </w:r>
            <w:r>
              <w:rPr>
                <w:rFonts w:hint="eastAsia" w:ascii="仿宋" w:hAnsi="仿宋" w:eastAsia="仿宋" w:cs="仿宋"/>
                <w:color w:val="auto"/>
                <w:kern w:val="0"/>
                <w:sz w:val="22"/>
                <w:szCs w:val="22"/>
                <w:lang w:eastAsia="zh-CN" w:bidi="ar"/>
              </w:rPr>
              <w:t>或天然林</w:t>
            </w:r>
            <w:r>
              <w:rPr>
                <w:rFonts w:hint="eastAsia" w:ascii="仿宋" w:hAnsi="仿宋" w:eastAsia="仿宋" w:cs="仿宋"/>
                <w:color w:val="auto"/>
                <w:kern w:val="0"/>
                <w:sz w:val="22"/>
                <w:szCs w:val="22"/>
                <w:lang w:bidi="ar"/>
              </w:rPr>
              <w:t>火烧迹地</w:t>
            </w:r>
            <w:r>
              <w:rPr>
                <w:rFonts w:hint="eastAsia" w:ascii="仿宋" w:hAnsi="仿宋" w:eastAsia="仿宋" w:cs="仿宋"/>
                <w:color w:val="auto"/>
                <w:kern w:val="0"/>
                <w:sz w:val="22"/>
                <w:szCs w:val="22"/>
                <w:lang w:eastAsia="zh-CN" w:bidi="ar"/>
              </w:rPr>
              <w:t>，</w:t>
            </w:r>
            <w:r>
              <w:rPr>
                <w:rFonts w:hint="eastAsia" w:ascii="仿宋" w:hAnsi="仿宋" w:eastAsia="仿宋" w:cs="仿宋"/>
                <w:color w:val="auto"/>
                <w:sz w:val="22"/>
                <w:szCs w:val="22"/>
              </w:rPr>
              <w:t>每亩栽植</w:t>
            </w:r>
            <w:r>
              <w:rPr>
                <w:rFonts w:hint="eastAsia" w:ascii="仿宋" w:hAnsi="仿宋" w:eastAsia="仿宋" w:cs="仿宋"/>
                <w:color w:val="auto"/>
                <w:kern w:val="0"/>
                <w:sz w:val="22"/>
                <w:szCs w:val="22"/>
                <w:lang w:bidi="ar"/>
              </w:rPr>
              <w:t>油茶良种72株，配置其它</w:t>
            </w:r>
            <w:r>
              <w:rPr>
                <w:rFonts w:hint="eastAsia" w:ascii="仿宋" w:hAnsi="仿宋" w:eastAsia="仿宋" w:cs="仿宋"/>
                <w:color w:val="auto"/>
                <w:kern w:val="0"/>
                <w:sz w:val="22"/>
                <w:szCs w:val="22"/>
                <w:lang w:eastAsia="zh-CN" w:bidi="ar"/>
              </w:rPr>
              <w:t>乔木</w:t>
            </w:r>
            <w:r>
              <w:rPr>
                <w:rFonts w:hint="eastAsia" w:ascii="仿宋" w:hAnsi="仿宋" w:eastAsia="仿宋" w:cs="仿宋"/>
                <w:color w:val="auto"/>
                <w:kern w:val="0"/>
                <w:sz w:val="22"/>
                <w:szCs w:val="22"/>
                <w:lang w:bidi="ar"/>
              </w:rPr>
              <w:t>树种40株。</w:t>
            </w:r>
          </w:p>
        </w:tc>
      </w:tr>
      <w:tr w14:paraId="1763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405" w:type="dxa"/>
            <w:vMerge w:val="continue"/>
            <w:vAlign w:val="center"/>
          </w:tcPr>
          <w:p w14:paraId="494E9A04">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p>
        </w:tc>
        <w:tc>
          <w:tcPr>
            <w:tcW w:w="2728" w:type="dxa"/>
            <w:vAlign w:val="center"/>
          </w:tcPr>
          <w:p w14:paraId="087445EF">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sz w:val="22"/>
                <w:szCs w:val="22"/>
                <w:lang w:bidi="ar"/>
              </w:rPr>
              <w:t>森林督查图斑</w:t>
            </w:r>
          </w:p>
        </w:tc>
        <w:tc>
          <w:tcPr>
            <w:tcW w:w="4745" w:type="dxa"/>
            <w:vAlign w:val="center"/>
          </w:tcPr>
          <w:p w14:paraId="6C3023F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kern w:val="0"/>
                <w:sz w:val="22"/>
                <w:szCs w:val="22"/>
                <w:lang w:val="en-US" w:eastAsia="zh-CN" w:bidi="ar"/>
              </w:rPr>
              <w:t>未实施复绿或已实施复绿但成活率差的地块按上述方式造林，成活率好的实施改造补植，补植油茶良种56株/亩及以上。</w:t>
            </w:r>
          </w:p>
        </w:tc>
      </w:tr>
      <w:tr w14:paraId="6691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405" w:type="dxa"/>
            <w:vMerge w:val="continue"/>
            <w:vAlign w:val="center"/>
          </w:tcPr>
          <w:p w14:paraId="052BB669">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p>
        </w:tc>
        <w:tc>
          <w:tcPr>
            <w:tcW w:w="2728" w:type="dxa"/>
            <w:vAlign w:val="center"/>
          </w:tcPr>
          <w:p w14:paraId="27600C8D">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2"/>
                <w:szCs w:val="22"/>
                <w:lang w:bidi="ar"/>
              </w:rPr>
            </w:pPr>
            <w:r>
              <w:rPr>
                <w:rFonts w:hint="eastAsia" w:ascii="仿宋" w:hAnsi="仿宋" w:eastAsia="仿宋" w:cs="仿宋"/>
                <w:kern w:val="0"/>
                <w:sz w:val="22"/>
                <w:szCs w:val="22"/>
                <w:lang w:bidi="ar"/>
              </w:rPr>
              <w:t>林种结构调整</w:t>
            </w:r>
          </w:p>
        </w:tc>
        <w:tc>
          <w:tcPr>
            <w:tcW w:w="4745" w:type="dxa"/>
            <w:vAlign w:val="center"/>
          </w:tcPr>
          <w:p w14:paraId="1C9A3A1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kern w:val="0"/>
                <w:sz w:val="22"/>
                <w:szCs w:val="22"/>
                <w:lang w:bidi="ar"/>
              </w:rPr>
              <w:t>商品林的先按规定审批采伐林木，再按</w:t>
            </w:r>
            <w:r>
              <w:rPr>
                <w:rFonts w:hint="eastAsia" w:ascii="仿宋" w:hAnsi="仿宋" w:eastAsia="仿宋" w:cs="仿宋"/>
                <w:kern w:val="0"/>
                <w:sz w:val="22"/>
                <w:szCs w:val="22"/>
                <w:lang w:eastAsia="zh-CN" w:bidi="ar"/>
              </w:rPr>
              <w:t>上述</w:t>
            </w:r>
            <w:r>
              <w:rPr>
                <w:rFonts w:hint="eastAsia" w:ascii="仿宋" w:hAnsi="仿宋" w:eastAsia="仿宋" w:cs="仿宋"/>
                <w:sz w:val="22"/>
                <w:szCs w:val="22"/>
                <w:lang w:bidi="ar"/>
              </w:rPr>
              <w:t>方式造林；公益林的先按规定调整出公益林，</w:t>
            </w:r>
            <w:r>
              <w:rPr>
                <w:rFonts w:hint="eastAsia" w:ascii="仿宋" w:hAnsi="仿宋" w:eastAsia="仿宋" w:cs="仿宋"/>
                <w:kern w:val="0"/>
                <w:sz w:val="22"/>
                <w:szCs w:val="22"/>
                <w:lang w:bidi="ar"/>
              </w:rPr>
              <w:t>按规定审批采伐林木，再按</w:t>
            </w:r>
            <w:r>
              <w:rPr>
                <w:rFonts w:hint="eastAsia" w:ascii="仿宋" w:hAnsi="仿宋" w:eastAsia="仿宋" w:cs="仿宋"/>
                <w:kern w:val="0"/>
                <w:sz w:val="22"/>
                <w:szCs w:val="22"/>
                <w:lang w:eastAsia="zh-CN" w:bidi="ar"/>
              </w:rPr>
              <w:t>上述</w:t>
            </w:r>
            <w:r>
              <w:rPr>
                <w:rFonts w:hint="eastAsia" w:ascii="仿宋" w:hAnsi="仿宋" w:eastAsia="仿宋" w:cs="仿宋"/>
                <w:sz w:val="22"/>
                <w:szCs w:val="22"/>
                <w:lang w:bidi="ar"/>
              </w:rPr>
              <w:t>方式造林。因地制宜结合松材线虫病防治开展松林主动改造。</w:t>
            </w:r>
          </w:p>
        </w:tc>
      </w:tr>
      <w:tr w14:paraId="411D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405" w:type="dxa"/>
            <w:vMerge w:val="continue"/>
            <w:vAlign w:val="center"/>
          </w:tcPr>
          <w:p w14:paraId="5B399815">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p>
        </w:tc>
        <w:tc>
          <w:tcPr>
            <w:tcW w:w="2728" w:type="dxa"/>
            <w:vAlign w:val="center"/>
          </w:tcPr>
          <w:p w14:paraId="28AFC5E7">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kern w:val="0"/>
                <w:sz w:val="22"/>
                <w:szCs w:val="22"/>
                <w:lang w:bidi="ar"/>
              </w:rPr>
            </w:pPr>
            <w:r>
              <w:rPr>
                <w:rFonts w:hint="eastAsia" w:ascii="仿宋" w:hAnsi="仿宋" w:eastAsia="仿宋" w:cs="仿宋"/>
                <w:sz w:val="22"/>
                <w:szCs w:val="22"/>
                <w:lang w:bidi="ar"/>
              </w:rPr>
              <w:t>找回油茶</w:t>
            </w:r>
            <w:r>
              <w:rPr>
                <w:rFonts w:hint="eastAsia" w:ascii="仿宋" w:hAnsi="仿宋" w:eastAsia="仿宋" w:cs="仿宋"/>
                <w:kern w:val="0"/>
                <w:sz w:val="22"/>
                <w:szCs w:val="22"/>
                <w:lang w:bidi="ar"/>
              </w:rPr>
              <w:t>（</w:t>
            </w:r>
            <w:r>
              <w:rPr>
                <w:rFonts w:hint="eastAsia" w:ascii="仿宋" w:hAnsi="仿宋" w:eastAsia="仿宋" w:cs="仿宋"/>
                <w:kern w:val="0"/>
                <w:sz w:val="22"/>
                <w:szCs w:val="22"/>
                <w:lang w:eastAsia="zh-CN" w:bidi="ar"/>
              </w:rPr>
              <w:t>存量</w:t>
            </w:r>
            <w:r>
              <w:rPr>
                <w:rFonts w:hint="eastAsia" w:ascii="仿宋" w:hAnsi="仿宋" w:eastAsia="仿宋" w:cs="仿宋"/>
                <w:kern w:val="0"/>
                <w:sz w:val="22"/>
                <w:szCs w:val="22"/>
                <w:lang w:bidi="ar"/>
              </w:rPr>
              <w:t>）</w:t>
            </w:r>
            <w:r>
              <w:rPr>
                <w:rFonts w:hint="eastAsia" w:ascii="仿宋" w:hAnsi="仿宋" w:eastAsia="仿宋" w:cs="仿宋"/>
                <w:sz w:val="22"/>
                <w:szCs w:val="22"/>
                <w:lang w:bidi="ar"/>
              </w:rPr>
              <w:t>部分</w:t>
            </w:r>
          </w:p>
        </w:tc>
        <w:tc>
          <w:tcPr>
            <w:tcW w:w="4745" w:type="dxa"/>
            <w:vAlign w:val="center"/>
          </w:tcPr>
          <w:p w14:paraId="0C36F203">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sz w:val="22"/>
                <w:szCs w:val="22"/>
                <w:lang w:eastAsia="zh-CN" w:bidi="ar"/>
              </w:rPr>
              <w:t>仅限</w:t>
            </w:r>
            <w:r>
              <w:rPr>
                <w:rFonts w:hint="eastAsia" w:ascii="仿宋" w:hAnsi="仿宋" w:eastAsia="仿宋" w:cs="仿宋"/>
                <w:sz w:val="22"/>
                <w:szCs w:val="22"/>
                <w:lang w:val="en-US" w:eastAsia="zh-CN" w:bidi="ar"/>
              </w:rPr>
              <w:t>2023年实施。</w:t>
            </w:r>
            <w:r>
              <w:rPr>
                <w:rFonts w:hint="eastAsia" w:ascii="仿宋" w:hAnsi="仿宋" w:eastAsia="仿宋" w:cs="仿宋"/>
                <w:sz w:val="22"/>
                <w:szCs w:val="22"/>
                <w:lang w:bidi="ar"/>
              </w:rPr>
              <w:t>2009年</w:t>
            </w:r>
            <w:r>
              <w:rPr>
                <w:rFonts w:hint="eastAsia" w:ascii="仿宋" w:hAnsi="仿宋" w:eastAsia="仿宋" w:cs="仿宋"/>
                <w:sz w:val="22"/>
                <w:szCs w:val="22"/>
                <w:lang w:eastAsia="zh-CN" w:bidi="ar"/>
              </w:rPr>
              <w:t>及之</w:t>
            </w:r>
            <w:r>
              <w:rPr>
                <w:rFonts w:hint="eastAsia" w:ascii="仿宋" w:hAnsi="仿宋" w:eastAsia="仿宋" w:cs="仿宋"/>
                <w:sz w:val="22"/>
                <w:szCs w:val="22"/>
                <w:lang w:bidi="ar"/>
              </w:rPr>
              <w:t>后的良种油茶，疏伐油茶调整密度至</w:t>
            </w:r>
            <w:r>
              <w:rPr>
                <w:rFonts w:hint="eastAsia" w:ascii="仿宋" w:hAnsi="仿宋" w:eastAsia="仿宋" w:cs="仿宋"/>
                <w:kern w:val="0"/>
                <w:sz w:val="22"/>
                <w:szCs w:val="22"/>
                <w:lang w:bidi="ar"/>
              </w:rPr>
              <w:t>56-74株/亩；</w:t>
            </w:r>
            <w:r>
              <w:rPr>
                <w:rFonts w:hint="eastAsia" w:ascii="仿宋" w:hAnsi="仿宋" w:eastAsia="仿宋" w:cs="仿宋"/>
                <w:sz w:val="22"/>
                <w:szCs w:val="22"/>
                <w:lang w:bidi="ar"/>
              </w:rPr>
              <w:t>2009年</w:t>
            </w:r>
            <w:r>
              <w:rPr>
                <w:rFonts w:hint="eastAsia" w:ascii="仿宋" w:hAnsi="仿宋" w:eastAsia="仿宋" w:cs="仿宋"/>
                <w:sz w:val="22"/>
                <w:szCs w:val="22"/>
                <w:lang w:eastAsia="zh-CN" w:bidi="ar"/>
              </w:rPr>
              <w:t>之</w:t>
            </w:r>
            <w:r>
              <w:rPr>
                <w:rFonts w:hint="eastAsia" w:ascii="仿宋" w:hAnsi="仿宋" w:eastAsia="仿宋" w:cs="仿宋"/>
                <w:sz w:val="22"/>
                <w:szCs w:val="22"/>
                <w:lang w:bidi="ar"/>
              </w:rPr>
              <w:t>前的老油茶，疏伐油茶调整密度，补植</w:t>
            </w:r>
            <w:r>
              <w:rPr>
                <w:rFonts w:hint="eastAsia" w:ascii="仿宋" w:hAnsi="仿宋" w:eastAsia="仿宋" w:cs="仿宋"/>
                <w:kern w:val="0"/>
                <w:sz w:val="22"/>
                <w:szCs w:val="22"/>
                <w:lang w:bidi="ar"/>
              </w:rPr>
              <w:t>油茶良种30株/亩及以上。</w:t>
            </w:r>
          </w:p>
        </w:tc>
      </w:tr>
      <w:tr w14:paraId="4545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405" w:type="dxa"/>
            <w:vMerge w:val="continue"/>
            <w:vAlign w:val="center"/>
          </w:tcPr>
          <w:p w14:paraId="05FBE667">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p>
        </w:tc>
        <w:tc>
          <w:tcPr>
            <w:tcW w:w="2728" w:type="dxa"/>
            <w:vAlign w:val="center"/>
          </w:tcPr>
          <w:p w14:paraId="6B4A5B92">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2"/>
                <w:szCs w:val="22"/>
                <w:lang w:bidi="ar"/>
              </w:rPr>
            </w:pPr>
            <w:r>
              <w:rPr>
                <w:rFonts w:hint="eastAsia" w:ascii="仿宋" w:hAnsi="仿宋" w:eastAsia="仿宋" w:cs="仿宋"/>
                <w:kern w:val="2"/>
                <w:sz w:val="22"/>
                <w:szCs w:val="22"/>
                <w:lang w:val="en-US" w:eastAsia="zh-CN" w:bidi="ar"/>
              </w:rPr>
              <w:t>其他</w:t>
            </w:r>
          </w:p>
        </w:tc>
        <w:tc>
          <w:tcPr>
            <w:tcW w:w="4745" w:type="dxa"/>
            <w:vAlign w:val="center"/>
          </w:tcPr>
          <w:p w14:paraId="54CE32A5">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p>
        </w:tc>
      </w:tr>
      <w:tr w14:paraId="14C6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05" w:type="dxa"/>
            <w:vMerge w:val="restart"/>
            <w:vAlign w:val="center"/>
          </w:tcPr>
          <w:p w14:paraId="271361B2">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t>低产林改造</w:t>
            </w:r>
          </w:p>
        </w:tc>
        <w:tc>
          <w:tcPr>
            <w:tcW w:w="2728" w:type="dxa"/>
            <w:vAlign w:val="center"/>
          </w:tcPr>
          <w:p w14:paraId="2BCD563A">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kern w:val="2"/>
                <w:sz w:val="22"/>
                <w:szCs w:val="22"/>
                <w:lang w:val="en-US" w:eastAsia="zh-CN" w:bidi="ar"/>
              </w:rPr>
            </w:pPr>
            <w:r>
              <w:rPr>
                <w:rFonts w:hint="eastAsia" w:ascii="仿宋" w:hAnsi="仿宋" w:eastAsia="仿宋" w:cs="仿宋"/>
                <w:kern w:val="0"/>
                <w:sz w:val="22"/>
                <w:szCs w:val="22"/>
                <w:lang w:bidi="ar"/>
              </w:rPr>
              <w:t>2009年及之后新造林地块</w:t>
            </w:r>
          </w:p>
        </w:tc>
        <w:tc>
          <w:tcPr>
            <w:tcW w:w="4745" w:type="dxa"/>
            <w:vAlign w:val="center"/>
          </w:tcPr>
          <w:p w14:paraId="6E310547">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kern w:val="0"/>
                <w:sz w:val="22"/>
                <w:szCs w:val="22"/>
                <w:lang w:bidi="ar"/>
              </w:rPr>
              <w:t>伐除前期低产品种，调整密度至56-74株/亩，适宜补植的则补植容器大苗（3年（1+2）或4年（1+3）），加强抚育管理。</w:t>
            </w:r>
          </w:p>
        </w:tc>
      </w:tr>
      <w:tr w14:paraId="676B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405" w:type="dxa"/>
            <w:vMerge w:val="continue"/>
            <w:vAlign w:val="center"/>
          </w:tcPr>
          <w:p w14:paraId="22E35526">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p>
        </w:tc>
        <w:tc>
          <w:tcPr>
            <w:tcW w:w="2728" w:type="dxa"/>
            <w:vAlign w:val="center"/>
          </w:tcPr>
          <w:p w14:paraId="00943E53">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kern w:val="0"/>
                <w:sz w:val="22"/>
                <w:szCs w:val="22"/>
                <w:lang w:bidi="ar"/>
              </w:rPr>
            </w:pPr>
            <w:r>
              <w:rPr>
                <w:rFonts w:hint="eastAsia" w:ascii="仿宋" w:hAnsi="仿宋" w:eastAsia="仿宋" w:cs="仿宋"/>
                <w:kern w:val="0"/>
                <w:sz w:val="22"/>
                <w:szCs w:val="22"/>
                <w:lang w:bidi="ar"/>
              </w:rPr>
              <w:t>2009年之前造林地块</w:t>
            </w:r>
          </w:p>
        </w:tc>
        <w:tc>
          <w:tcPr>
            <w:tcW w:w="4745" w:type="dxa"/>
            <w:vAlign w:val="center"/>
          </w:tcPr>
          <w:p w14:paraId="6D6FA371">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i w:val="0"/>
                <w:iCs w:val="0"/>
                <w:caps w:val="0"/>
                <w:color w:val="000000"/>
                <w:spacing w:val="0"/>
                <w:kern w:val="0"/>
                <w:sz w:val="22"/>
                <w:szCs w:val="22"/>
                <w:shd w:val="clear" w:color="auto" w:fill="FFFFFF"/>
                <w:vertAlign w:val="baseline"/>
                <w:lang w:val="en-US" w:eastAsia="zh-CN" w:bidi="ar"/>
              </w:rPr>
            </w:pPr>
            <w:r>
              <w:rPr>
                <w:rFonts w:hint="eastAsia" w:ascii="仿宋" w:hAnsi="仿宋" w:eastAsia="仿宋" w:cs="仿宋"/>
                <w:kern w:val="0"/>
                <w:sz w:val="22"/>
                <w:szCs w:val="22"/>
                <w:lang w:bidi="ar"/>
              </w:rPr>
              <w:t>采取“多砍少补”的方式，</w:t>
            </w:r>
            <w:r>
              <w:rPr>
                <w:rFonts w:hint="eastAsia" w:ascii="仿宋" w:hAnsi="仿宋" w:eastAsia="仿宋" w:cs="仿宋"/>
                <w:sz w:val="22"/>
                <w:szCs w:val="22"/>
                <w:lang w:bidi="ar"/>
              </w:rPr>
              <w:t>疏伐油茶调整密度，补植</w:t>
            </w:r>
            <w:r>
              <w:rPr>
                <w:rFonts w:hint="eastAsia" w:ascii="仿宋" w:hAnsi="仿宋" w:eastAsia="仿宋" w:cs="仿宋"/>
                <w:kern w:val="0"/>
                <w:sz w:val="22"/>
                <w:szCs w:val="22"/>
                <w:lang w:bidi="ar"/>
              </w:rPr>
              <w:t>油茶良种30株/亩及以上，改造后林分密度达到56-74株/亩。以4米株距、离原低产植株2米行距规格，采用良种大苗（3年（1+2）或4年（1+3））行状种植。</w:t>
            </w:r>
          </w:p>
        </w:tc>
      </w:tr>
    </w:tbl>
    <w:p w14:paraId="132B4A82">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bidi="ar"/>
        </w:rPr>
      </w:pPr>
      <w:r>
        <w:rPr>
          <w:rFonts w:hint="eastAsia" w:ascii="楷体_GB2312" w:hAnsi="微软雅黑" w:eastAsia="楷体_GB2312" w:cs="楷体_GB2312"/>
          <w:i w:val="0"/>
          <w:iCs w:val="0"/>
          <w:caps w:val="0"/>
          <w:color w:val="000000"/>
          <w:spacing w:val="0"/>
          <w:kern w:val="0"/>
          <w:sz w:val="32"/>
          <w:szCs w:val="32"/>
          <w:shd w:val="clear" w:color="auto" w:fill="FFFFFF"/>
          <w:lang w:val="en-US" w:eastAsia="zh-CN" w:bidi="ar"/>
        </w:rPr>
        <w:t>第五部分是扶持政策。</w:t>
      </w:r>
      <w:r>
        <w:rPr>
          <w:rFonts w:hint="eastAsia" w:ascii="仿宋_GB2312" w:hAnsi="仿宋_GB2312" w:eastAsia="仿宋_GB2312" w:cs="仿宋_GB2312"/>
          <w:sz w:val="32"/>
          <w:szCs w:val="32"/>
          <w:lang w:bidi="ar"/>
        </w:rPr>
        <w:t>此次扶持政策实行以奖代补。</w:t>
      </w:r>
      <w:r>
        <w:rPr>
          <w:rFonts w:hint="eastAsia" w:ascii="仿宋_GB2312" w:hAnsi="仿宋_GB2312" w:eastAsia="仿宋_GB2312" w:cs="仿宋_GB2312"/>
          <w:sz w:val="32"/>
          <w:szCs w:val="32"/>
          <w:lang w:val="en-US" w:eastAsia="zh-CN" w:bidi="ar"/>
        </w:rPr>
        <w:t>奖补费用包含设计、验收、审计等间接费用（不含县级）。</w:t>
      </w:r>
      <w:r>
        <w:rPr>
          <w:rFonts w:hint="eastAsia" w:ascii="仿宋_GB2312" w:hAnsi="仿宋_GB2312" w:eastAsia="仿宋_GB2312" w:cs="仿宋_GB2312"/>
          <w:sz w:val="32"/>
          <w:szCs w:val="32"/>
          <w:lang w:eastAsia="zh-CN" w:bidi="ar"/>
        </w:rPr>
        <w:t>以</w:t>
      </w:r>
      <w:r>
        <w:rPr>
          <w:rFonts w:hint="eastAsia" w:ascii="仿宋_GB2312" w:hAnsi="仿宋_GB2312" w:eastAsia="仿宋_GB2312" w:cs="仿宋_GB2312"/>
          <w:sz w:val="32"/>
          <w:szCs w:val="32"/>
          <w:lang w:val="en-US" w:eastAsia="zh-CN" w:bidi="ar"/>
        </w:rPr>
        <w:t>乡镇人民政府（街道办事处）和村集体为实施主体的，采用工程化</w:t>
      </w:r>
      <w:r>
        <w:rPr>
          <w:rFonts w:hint="eastAsia" w:ascii="仿宋_GB2312" w:hAnsi="仿宋_GB2312" w:eastAsia="仿宋_GB2312" w:cs="仿宋_GB2312"/>
          <w:sz w:val="32"/>
          <w:szCs w:val="32"/>
          <w:lang w:eastAsia="zh-CN" w:bidi="ar"/>
        </w:rPr>
        <w:t>管理模式</w:t>
      </w:r>
      <w:r>
        <w:rPr>
          <w:rFonts w:hint="eastAsia" w:ascii="仿宋_GB2312" w:hAnsi="仿宋_GB2312" w:eastAsia="仿宋_GB2312" w:cs="仿宋_GB2312"/>
          <w:sz w:val="32"/>
          <w:szCs w:val="32"/>
          <w:lang w:val="en-US" w:eastAsia="zh-CN" w:bidi="ar"/>
        </w:rPr>
        <w:t>实施。</w:t>
      </w:r>
    </w:p>
    <w:tbl>
      <w:tblPr>
        <w:tblStyle w:val="8"/>
        <w:tblpPr w:leftFromText="180" w:rightFromText="180" w:vertAnchor="text" w:horzAnchor="page" w:tblpX="812" w:tblpY="818"/>
        <w:tblOverlap w:val="never"/>
        <w:tblW w:w="10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036"/>
        <w:gridCol w:w="1519"/>
        <w:gridCol w:w="2130"/>
        <w:gridCol w:w="5366"/>
      </w:tblGrid>
      <w:tr w14:paraId="32A5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6B882A03">
            <w:pPr>
              <w:jc w:val="center"/>
              <w:rPr>
                <w:rFonts w:hint="eastAsia" w:ascii="仿宋" w:hAnsi="仿宋" w:eastAsia="仿宋" w:cs="仿宋"/>
                <w:sz w:val="18"/>
                <w:szCs w:val="18"/>
              </w:rPr>
            </w:pPr>
            <w:r>
              <w:rPr>
                <w:rFonts w:hint="eastAsia" w:ascii="仿宋" w:hAnsi="仿宋" w:eastAsia="仿宋" w:cs="仿宋"/>
                <w:sz w:val="18"/>
                <w:szCs w:val="18"/>
              </w:rPr>
              <w:t>项目类别</w:t>
            </w:r>
          </w:p>
        </w:tc>
        <w:tc>
          <w:tcPr>
            <w:tcW w:w="1036" w:type="dxa"/>
            <w:tcBorders>
              <w:top w:val="single" w:color="auto" w:sz="4" w:space="0"/>
              <w:left w:val="single" w:color="auto" w:sz="4" w:space="0"/>
              <w:bottom w:val="single" w:color="auto" w:sz="4" w:space="0"/>
              <w:right w:val="single" w:color="auto" w:sz="4" w:space="0"/>
            </w:tcBorders>
            <w:vAlign w:val="center"/>
          </w:tcPr>
          <w:p w14:paraId="1260F081">
            <w:pPr>
              <w:jc w:val="center"/>
              <w:rPr>
                <w:rFonts w:hint="eastAsia" w:ascii="仿宋" w:hAnsi="仿宋" w:eastAsia="仿宋" w:cs="仿宋"/>
                <w:sz w:val="18"/>
                <w:szCs w:val="18"/>
              </w:rPr>
            </w:pPr>
            <w:r>
              <w:rPr>
                <w:rFonts w:hint="eastAsia" w:ascii="仿宋" w:hAnsi="仿宋" w:eastAsia="仿宋" w:cs="仿宋"/>
                <w:sz w:val="18"/>
                <w:szCs w:val="18"/>
              </w:rPr>
              <w:t>具体类型</w:t>
            </w:r>
          </w:p>
        </w:tc>
        <w:tc>
          <w:tcPr>
            <w:tcW w:w="1519" w:type="dxa"/>
            <w:tcBorders>
              <w:top w:val="single" w:color="auto" w:sz="4" w:space="0"/>
              <w:left w:val="single" w:color="auto" w:sz="4" w:space="0"/>
              <w:bottom w:val="single" w:color="auto" w:sz="4" w:space="0"/>
              <w:right w:val="single" w:color="auto" w:sz="4" w:space="0"/>
            </w:tcBorders>
            <w:vAlign w:val="center"/>
          </w:tcPr>
          <w:p w14:paraId="34D67DDA">
            <w:pPr>
              <w:jc w:val="center"/>
              <w:rPr>
                <w:rFonts w:hint="eastAsia" w:ascii="仿宋" w:hAnsi="仿宋" w:eastAsia="仿宋" w:cs="仿宋"/>
                <w:sz w:val="18"/>
                <w:szCs w:val="18"/>
              </w:rPr>
            </w:pPr>
            <w:r>
              <w:rPr>
                <w:rFonts w:hint="eastAsia" w:ascii="仿宋" w:hAnsi="仿宋" w:eastAsia="仿宋" w:cs="仿宋"/>
                <w:sz w:val="18"/>
                <w:szCs w:val="18"/>
              </w:rPr>
              <w:t>面积</w:t>
            </w:r>
          </w:p>
        </w:tc>
        <w:tc>
          <w:tcPr>
            <w:tcW w:w="2130" w:type="dxa"/>
            <w:tcBorders>
              <w:top w:val="single" w:color="auto" w:sz="4" w:space="0"/>
              <w:left w:val="single" w:color="auto" w:sz="4" w:space="0"/>
              <w:bottom w:val="single" w:color="auto" w:sz="4" w:space="0"/>
              <w:right w:val="single" w:color="auto" w:sz="4" w:space="0"/>
            </w:tcBorders>
            <w:vAlign w:val="center"/>
          </w:tcPr>
          <w:p w14:paraId="28E9CCCC">
            <w:pPr>
              <w:jc w:val="center"/>
              <w:rPr>
                <w:rFonts w:hint="eastAsia" w:ascii="仿宋" w:hAnsi="仿宋" w:eastAsia="仿宋" w:cs="仿宋"/>
                <w:sz w:val="18"/>
                <w:szCs w:val="18"/>
              </w:rPr>
            </w:pPr>
            <w:r>
              <w:rPr>
                <w:rFonts w:hint="eastAsia" w:ascii="仿宋" w:hAnsi="仿宋" w:eastAsia="仿宋" w:cs="仿宋"/>
                <w:sz w:val="18"/>
                <w:szCs w:val="18"/>
              </w:rPr>
              <w:t>奖补标准</w:t>
            </w:r>
          </w:p>
        </w:tc>
        <w:tc>
          <w:tcPr>
            <w:tcW w:w="5366" w:type="dxa"/>
            <w:tcBorders>
              <w:top w:val="single" w:color="auto" w:sz="4" w:space="0"/>
              <w:left w:val="single" w:color="auto" w:sz="4" w:space="0"/>
              <w:bottom w:val="single" w:color="auto" w:sz="4" w:space="0"/>
              <w:right w:val="single" w:color="auto" w:sz="4" w:space="0"/>
            </w:tcBorders>
            <w:vAlign w:val="center"/>
          </w:tcPr>
          <w:p w14:paraId="376BD093">
            <w:pPr>
              <w:jc w:val="center"/>
              <w:rPr>
                <w:rFonts w:hint="eastAsia" w:ascii="仿宋" w:hAnsi="仿宋" w:eastAsia="仿宋" w:cs="仿宋"/>
                <w:sz w:val="18"/>
                <w:szCs w:val="18"/>
              </w:rPr>
            </w:pPr>
            <w:r>
              <w:rPr>
                <w:rFonts w:hint="eastAsia" w:ascii="仿宋" w:hAnsi="仿宋" w:eastAsia="仿宋" w:cs="仿宋"/>
                <w:sz w:val="18"/>
                <w:szCs w:val="18"/>
              </w:rPr>
              <w:t>技术标准</w:t>
            </w:r>
          </w:p>
        </w:tc>
      </w:tr>
      <w:tr w14:paraId="228B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44" w:type="dxa"/>
            <w:gridSpan w:val="2"/>
            <w:vMerge w:val="restart"/>
            <w:tcBorders>
              <w:top w:val="single" w:color="auto" w:sz="4" w:space="0"/>
              <w:left w:val="single" w:color="auto" w:sz="4" w:space="0"/>
              <w:right w:val="single" w:color="auto" w:sz="4" w:space="0"/>
            </w:tcBorders>
            <w:vAlign w:val="center"/>
          </w:tcPr>
          <w:p w14:paraId="7D82A058">
            <w:pPr>
              <w:jc w:val="center"/>
              <w:rPr>
                <w:rFonts w:hint="eastAsia" w:ascii="仿宋" w:hAnsi="仿宋" w:eastAsia="仿宋" w:cs="仿宋"/>
                <w:sz w:val="18"/>
                <w:szCs w:val="18"/>
              </w:rPr>
            </w:pPr>
            <w:r>
              <w:rPr>
                <w:rFonts w:hint="eastAsia" w:ascii="仿宋" w:hAnsi="仿宋" w:eastAsia="仿宋" w:cs="仿宋"/>
                <w:sz w:val="18"/>
                <w:szCs w:val="18"/>
              </w:rPr>
              <w:t>油茶新造林</w:t>
            </w:r>
          </w:p>
        </w:tc>
        <w:tc>
          <w:tcPr>
            <w:tcW w:w="1519" w:type="dxa"/>
            <w:tcBorders>
              <w:top w:val="single" w:color="auto" w:sz="4" w:space="0"/>
              <w:left w:val="single" w:color="auto" w:sz="4" w:space="0"/>
              <w:bottom w:val="single" w:color="auto" w:sz="4" w:space="0"/>
              <w:right w:val="single" w:color="auto" w:sz="4" w:space="0"/>
            </w:tcBorders>
            <w:vAlign w:val="center"/>
          </w:tcPr>
          <w:p w14:paraId="5D0BC5A2">
            <w:pPr>
              <w:jc w:val="center"/>
              <w:rPr>
                <w:rFonts w:hint="eastAsia" w:ascii="仿宋" w:hAnsi="仿宋" w:eastAsia="仿宋" w:cs="仿宋"/>
                <w:sz w:val="18"/>
                <w:szCs w:val="18"/>
              </w:rPr>
            </w:pPr>
            <w:r>
              <w:rPr>
                <w:rFonts w:hint="eastAsia" w:ascii="仿宋" w:hAnsi="仿宋" w:eastAsia="仿宋" w:cs="仿宋"/>
                <w:sz w:val="18"/>
                <w:szCs w:val="18"/>
              </w:rPr>
              <w:t>1亩≤连片＜10亩</w:t>
            </w:r>
          </w:p>
        </w:tc>
        <w:tc>
          <w:tcPr>
            <w:tcW w:w="2130" w:type="dxa"/>
            <w:tcBorders>
              <w:top w:val="single" w:color="auto" w:sz="4" w:space="0"/>
              <w:left w:val="single" w:color="auto" w:sz="4" w:space="0"/>
              <w:bottom w:val="single" w:color="auto" w:sz="4" w:space="0"/>
              <w:right w:val="single" w:color="auto" w:sz="4" w:space="0"/>
            </w:tcBorders>
            <w:vAlign w:val="center"/>
          </w:tcPr>
          <w:p w14:paraId="72BFB334">
            <w:pPr>
              <w:jc w:val="center"/>
              <w:rPr>
                <w:rFonts w:hint="eastAsia" w:ascii="仿宋" w:hAnsi="仿宋" w:eastAsia="仿宋" w:cs="仿宋"/>
                <w:sz w:val="18"/>
                <w:szCs w:val="18"/>
              </w:rPr>
            </w:pPr>
            <w:r>
              <w:rPr>
                <w:rFonts w:hint="eastAsia" w:ascii="仿宋" w:hAnsi="仿宋" w:eastAsia="仿宋" w:cs="仿宋"/>
                <w:sz w:val="18"/>
                <w:szCs w:val="18"/>
              </w:rPr>
              <w:t>苗木款按实奖补，超过4元/株的按4元/株补</w:t>
            </w:r>
          </w:p>
        </w:tc>
        <w:tc>
          <w:tcPr>
            <w:tcW w:w="5366" w:type="dxa"/>
            <w:tcBorders>
              <w:top w:val="single" w:color="auto" w:sz="4" w:space="0"/>
              <w:left w:val="single" w:color="auto" w:sz="4" w:space="0"/>
              <w:bottom w:val="single" w:color="auto" w:sz="4" w:space="0"/>
              <w:right w:val="single" w:color="auto" w:sz="4" w:space="0"/>
            </w:tcBorders>
            <w:vAlign w:val="center"/>
          </w:tcPr>
          <w:p w14:paraId="535C189E">
            <w:pPr>
              <w:rPr>
                <w:rFonts w:hint="eastAsia" w:ascii="仿宋" w:hAnsi="仿宋" w:eastAsia="仿宋" w:cs="仿宋"/>
                <w:sz w:val="18"/>
                <w:szCs w:val="18"/>
              </w:rPr>
            </w:pPr>
            <w:r>
              <w:rPr>
                <w:rFonts w:hint="eastAsia" w:ascii="仿宋" w:hAnsi="仿宋" w:eastAsia="仿宋" w:cs="仿宋"/>
                <w:sz w:val="18"/>
                <w:szCs w:val="18"/>
              </w:rPr>
              <w:t>长林53、40、4号或省审定品种或红花油茶的合格苗，具有生产经营许可证、良种证、检疫证和品种标签，每亩56-74株，穴60×60×60cm，穴底施有机肥≥5kg和钙镁磷肥≥1kg（或复合肥0.5kg），成活率≥90%，台账档案齐全。</w:t>
            </w:r>
          </w:p>
        </w:tc>
      </w:tr>
      <w:tr w14:paraId="1023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644" w:type="dxa"/>
            <w:gridSpan w:val="2"/>
            <w:vMerge w:val="continue"/>
            <w:tcBorders>
              <w:left w:val="single" w:color="auto" w:sz="4" w:space="0"/>
              <w:bottom w:val="single" w:color="auto" w:sz="4" w:space="0"/>
              <w:right w:val="single" w:color="auto" w:sz="4" w:space="0"/>
            </w:tcBorders>
            <w:vAlign w:val="center"/>
          </w:tcPr>
          <w:p w14:paraId="30248FCF">
            <w:pPr>
              <w:jc w:val="center"/>
              <w:rPr>
                <w:rFonts w:hint="eastAsia" w:ascii="仿宋" w:hAnsi="仿宋" w:eastAsia="仿宋" w:cs="仿宋"/>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14:paraId="223F84C4">
            <w:pPr>
              <w:jc w:val="center"/>
              <w:rPr>
                <w:rFonts w:hint="eastAsia" w:ascii="仿宋" w:hAnsi="仿宋" w:eastAsia="仿宋" w:cs="仿宋"/>
                <w:sz w:val="18"/>
                <w:szCs w:val="18"/>
              </w:rPr>
            </w:pPr>
            <w:r>
              <w:rPr>
                <w:rFonts w:hint="eastAsia" w:ascii="仿宋" w:hAnsi="仿宋" w:eastAsia="仿宋" w:cs="仿宋"/>
                <w:sz w:val="18"/>
                <w:szCs w:val="18"/>
              </w:rPr>
              <w:t>连片≥10亩</w:t>
            </w:r>
          </w:p>
        </w:tc>
        <w:tc>
          <w:tcPr>
            <w:tcW w:w="2130" w:type="dxa"/>
            <w:tcBorders>
              <w:top w:val="single" w:color="auto" w:sz="4" w:space="0"/>
              <w:left w:val="single" w:color="auto" w:sz="4" w:space="0"/>
              <w:bottom w:val="single" w:color="auto" w:sz="4" w:space="0"/>
              <w:right w:val="single" w:color="auto" w:sz="4" w:space="0"/>
            </w:tcBorders>
            <w:vAlign w:val="center"/>
          </w:tcPr>
          <w:p w14:paraId="53C0838E">
            <w:pPr>
              <w:jc w:val="center"/>
              <w:rPr>
                <w:rFonts w:hint="eastAsia" w:ascii="仿宋" w:hAnsi="仿宋" w:eastAsia="仿宋" w:cs="仿宋"/>
                <w:sz w:val="18"/>
                <w:szCs w:val="18"/>
              </w:rPr>
            </w:pPr>
            <w:r>
              <w:rPr>
                <w:rFonts w:hint="eastAsia" w:ascii="仿宋" w:hAnsi="仿宋" w:eastAsia="仿宋" w:cs="仿宋"/>
                <w:sz w:val="18"/>
                <w:szCs w:val="18"/>
              </w:rPr>
              <w:t>2500元/亩。当年奖补1900元/亩，次年开始每年按要求完成抚育1次及以上的，奖补抚育管理费300元/亩，连续扶持两年</w:t>
            </w:r>
          </w:p>
        </w:tc>
        <w:tc>
          <w:tcPr>
            <w:tcW w:w="5366" w:type="dxa"/>
            <w:tcBorders>
              <w:top w:val="single" w:color="auto" w:sz="4" w:space="0"/>
              <w:left w:val="single" w:color="auto" w:sz="4" w:space="0"/>
              <w:bottom w:val="single" w:color="auto" w:sz="4" w:space="0"/>
              <w:right w:val="single" w:color="auto" w:sz="4" w:space="0"/>
            </w:tcBorders>
            <w:vAlign w:val="center"/>
          </w:tcPr>
          <w:p w14:paraId="242248AB">
            <w:pPr>
              <w:rPr>
                <w:rFonts w:hint="eastAsia" w:ascii="仿宋" w:hAnsi="仿宋" w:eastAsia="仿宋" w:cs="仿宋"/>
                <w:sz w:val="18"/>
                <w:szCs w:val="18"/>
              </w:rPr>
            </w:pPr>
            <w:r>
              <w:rPr>
                <w:rFonts w:hint="eastAsia" w:ascii="仿宋" w:hAnsi="仿宋" w:eastAsia="仿宋" w:cs="仿宋"/>
                <w:sz w:val="18"/>
                <w:szCs w:val="18"/>
              </w:rPr>
              <w:t>林地清理干净，长林53、40、4号或省审定品种或红花油茶合格苗，具有生产经营许可证、良种证、检疫证和品种标签，每亩56-74株，穴60×60×60cm，穴底施有机肥≥5kg和钙镁磷肥≥1kg（或复合肥0.5kg）,成活率≥90%，台账档案齐全。</w:t>
            </w:r>
          </w:p>
        </w:tc>
      </w:tr>
      <w:tr w14:paraId="5FED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08" w:type="dxa"/>
            <w:vMerge w:val="restart"/>
            <w:tcBorders>
              <w:top w:val="single" w:color="auto" w:sz="4" w:space="0"/>
              <w:left w:val="single" w:color="auto" w:sz="4" w:space="0"/>
              <w:bottom w:val="single" w:color="auto" w:sz="4" w:space="0"/>
              <w:right w:val="single" w:color="auto" w:sz="4" w:space="0"/>
            </w:tcBorders>
            <w:vAlign w:val="center"/>
          </w:tcPr>
          <w:p w14:paraId="1B9C0EED">
            <w:pPr>
              <w:jc w:val="center"/>
              <w:rPr>
                <w:rFonts w:hint="eastAsia" w:ascii="仿宋" w:hAnsi="仿宋" w:eastAsia="仿宋" w:cs="仿宋"/>
                <w:sz w:val="18"/>
                <w:szCs w:val="18"/>
              </w:rPr>
            </w:pPr>
            <w:r>
              <w:rPr>
                <w:rFonts w:hint="eastAsia" w:ascii="仿宋" w:hAnsi="仿宋" w:eastAsia="仿宋" w:cs="仿宋"/>
                <w:sz w:val="18"/>
                <w:szCs w:val="18"/>
              </w:rPr>
              <w:t>低产林改造</w:t>
            </w:r>
          </w:p>
        </w:tc>
        <w:tc>
          <w:tcPr>
            <w:tcW w:w="1036" w:type="dxa"/>
            <w:tcBorders>
              <w:top w:val="single" w:color="auto" w:sz="4" w:space="0"/>
              <w:left w:val="single" w:color="auto" w:sz="4" w:space="0"/>
              <w:bottom w:val="single" w:color="auto" w:sz="4" w:space="0"/>
              <w:right w:val="single" w:color="auto" w:sz="4" w:space="0"/>
            </w:tcBorders>
            <w:vAlign w:val="center"/>
          </w:tcPr>
          <w:p w14:paraId="7646B34A">
            <w:pPr>
              <w:jc w:val="center"/>
              <w:rPr>
                <w:rFonts w:hint="eastAsia" w:ascii="仿宋" w:hAnsi="仿宋" w:eastAsia="仿宋" w:cs="仿宋"/>
                <w:sz w:val="18"/>
                <w:szCs w:val="18"/>
              </w:rPr>
            </w:pPr>
            <w:r>
              <w:rPr>
                <w:rFonts w:hint="eastAsia" w:ascii="仿宋" w:hAnsi="仿宋" w:eastAsia="仿宋" w:cs="仿宋"/>
                <w:sz w:val="18"/>
                <w:szCs w:val="18"/>
              </w:rPr>
              <w:t>2009年及之后营造的油茶低产林</w:t>
            </w:r>
          </w:p>
        </w:tc>
        <w:tc>
          <w:tcPr>
            <w:tcW w:w="1519" w:type="dxa"/>
            <w:tcBorders>
              <w:top w:val="single" w:color="auto" w:sz="4" w:space="0"/>
              <w:left w:val="single" w:color="auto" w:sz="4" w:space="0"/>
              <w:bottom w:val="single" w:color="auto" w:sz="4" w:space="0"/>
              <w:right w:val="single" w:color="auto" w:sz="4" w:space="0"/>
            </w:tcBorders>
            <w:vAlign w:val="center"/>
          </w:tcPr>
          <w:p w14:paraId="3E13F40D">
            <w:pPr>
              <w:jc w:val="center"/>
              <w:rPr>
                <w:rFonts w:hint="eastAsia" w:ascii="仿宋" w:hAnsi="仿宋" w:eastAsia="仿宋" w:cs="仿宋"/>
                <w:sz w:val="18"/>
                <w:szCs w:val="18"/>
              </w:rPr>
            </w:pPr>
            <w:r>
              <w:rPr>
                <w:rFonts w:hint="eastAsia" w:ascii="仿宋" w:hAnsi="仿宋" w:eastAsia="仿宋" w:cs="仿宋"/>
                <w:sz w:val="18"/>
                <w:szCs w:val="18"/>
              </w:rPr>
              <w:t>连片≥30亩</w:t>
            </w:r>
          </w:p>
        </w:tc>
        <w:tc>
          <w:tcPr>
            <w:tcW w:w="2130" w:type="dxa"/>
            <w:tcBorders>
              <w:top w:val="single" w:color="auto" w:sz="4" w:space="0"/>
              <w:left w:val="single" w:color="auto" w:sz="4" w:space="0"/>
              <w:bottom w:val="single" w:color="auto" w:sz="4" w:space="0"/>
              <w:right w:val="single" w:color="auto" w:sz="4" w:space="0"/>
            </w:tcBorders>
            <w:vAlign w:val="center"/>
          </w:tcPr>
          <w:p w14:paraId="647BA2E3">
            <w:pPr>
              <w:jc w:val="center"/>
              <w:rPr>
                <w:rFonts w:hint="eastAsia" w:ascii="仿宋" w:hAnsi="仿宋" w:eastAsia="仿宋" w:cs="仿宋"/>
                <w:sz w:val="18"/>
                <w:szCs w:val="18"/>
              </w:rPr>
            </w:pPr>
            <w:r>
              <w:rPr>
                <w:rFonts w:hint="eastAsia" w:ascii="仿宋" w:hAnsi="仿宋" w:eastAsia="仿宋" w:cs="仿宋"/>
                <w:sz w:val="18"/>
                <w:szCs w:val="18"/>
              </w:rPr>
              <w:t>800元/亩。当年奖补500元/亩，第二年抚育验收合格后奖补300元/亩。</w:t>
            </w:r>
          </w:p>
        </w:tc>
        <w:tc>
          <w:tcPr>
            <w:tcW w:w="5366" w:type="dxa"/>
            <w:tcBorders>
              <w:top w:val="single" w:color="auto" w:sz="4" w:space="0"/>
              <w:left w:val="single" w:color="auto" w:sz="4" w:space="0"/>
              <w:bottom w:val="single" w:color="auto" w:sz="4" w:space="0"/>
              <w:right w:val="single" w:color="auto" w:sz="4" w:space="0"/>
            </w:tcBorders>
            <w:vAlign w:val="center"/>
          </w:tcPr>
          <w:p w14:paraId="4BA9A16D">
            <w:pPr>
              <w:rPr>
                <w:rFonts w:hint="eastAsia" w:ascii="仿宋" w:hAnsi="仿宋" w:eastAsia="仿宋" w:cs="仿宋"/>
                <w:sz w:val="18"/>
                <w:szCs w:val="18"/>
              </w:rPr>
            </w:pPr>
            <w:r>
              <w:rPr>
                <w:rFonts w:hint="eastAsia" w:ascii="仿宋" w:hAnsi="仿宋" w:eastAsia="仿宋" w:cs="仿宋"/>
                <w:sz w:val="18"/>
                <w:szCs w:val="18"/>
              </w:rPr>
              <w:t>清除低产品种，调密度至每亩56-74株，郁闭度0.7左右，合理补植3年生容器大苗，适当抚育，良种苗木证明，生产管理、管护、肥料等生产投入品记录完备，台账档案齐全。</w:t>
            </w:r>
          </w:p>
        </w:tc>
      </w:tr>
      <w:tr w14:paraId="7E2C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14:paraId="7608362E">
            <w:pPr>
              <w:widowControl/>
              <w:jc w:val="left"/>
              <w:rPr>
                <w:rFonts w:hint="eastAsia" w:ascii="仿宋" w:hAnsi="仿宋" w:eastAsia="仿宋" w:cs="仿宋"/>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0E754C13">
            <w:pPr>
              <w:jc w:val="center"/>
              <w:rPr>
                <w:rFonts w:hint="eastAsia" w:ascii="仿宋" w:hAnsi="仿宋" w:eastAsia="仿宋" w:cs="仿宋"/>
                <w:sz w:val="18"/>
                <w:szCs w:val="18"/>
              </w:rPr>
            </w:pPr>
            <w:r>
              <w:rPr>
                <w:rFonts w:hint="eastAsia" w:ascii="仿宋" w:hAnsi="仿宋" w:eastAsia="仿宋" w:cs="仿宋"/>
                <w:sz w:val="18"/>
                <w:szCs w:val="18"/>
              </w:rPr>
              <w:t>2009年之前营造的油茶低产林</w:t>
            </w:r>
          </w:p>
        </w:tc>
        <w:tc>
          <w:tcPr>
            <w:tcW w:w="1519" w:type="dxa"/>
            <w:tcBorders>
              <w:top w:val="single" w:color="auto" w:sz="4" w:space="0"/>
              <w:left w:val="single" w:color="auto" w:sz="4" w:space="0"/>
              <w:bottom w:val="single" w:color="auto" w:sz="4" w:space="0"/>
              <w:right w:val="single" w:color="auto" w:sz="4" w:space="0"/>
            </w:tcBorders>
            <w:vAlign w:val="center"/>
          </w:tcPr>
          <w:p w14:paraId="3032F420">
            <w:pPr>
              <w:jc w:val="center"/>
              <w:rPr>
                <w:rFonts w:hint="eastAsia" w:ascii="仿宋" w:hAnsi="仿宋" w:eastAsia="仿宋" w:cs="仿宋"/>
                <w:sz w:val="18"/>
                <w:szCs w:val="18"/>
              </w:rPr>
            </w:pPr>
            <w:r>
              <w:rPr>
                <w:rFonts w:hint="eastAsia" w:ascii="仿宋" w:hAnsi="仿宋" w:eastAsia="仿宋" w:cs="仿宋"/>
                <w:sz w:val="18"/>
                <w:szCs w:val="18"/>
              </w:rPr>
              <w:t>连片≥30亩</w:t>
            </w:r>
          </w:p>
        </w:tc>
        <w:tc>
          <w:tcPr>
            <w:tcW w:w="2130" w:type="dxa"/>
            <w:tcBorders>
              <w:top w:val="single" w:color="auto" w:sz="4" w:space="0"/>
              <w:left w:val="single" w:color="auto" w:sz="4" w:space="0"/>
              <w:bottom w:val="single" w:color="auto" w:sz="4" w:space="0"/>
              <w:right w:val="single" w:color="auto" w:sz="4" w:space="0"/>
            </w:tcBorders>
            <w:vAlign w:val="center"/>
          </w:tcPr>
          <w:p w14:paraId="2FD868AC">
            <w:pPr>
              <w:jc w:val="center"/>
              <w:rPr>
                <w:rFonts w:hint="eastAsia" w:ascii="仿宋" w:hAnsi="仿宋" w:eastAsia="仿宋" w:cs="仿宋"/>
                <w:sz w:val="18"/>
                <w:szCs w:val="18"/>
              </w:rPr>
            </w:pPr>
            <w:r>
              <w:rPr>
                <w:rFonts w:hint="eastAsia" w:ascii="仿宋" w:hAnsi="仿宋" w:eastAsia="仿宋" w:cs="仿宋"/>
                <w:sz w:val="18"/>
                <w:szCs w:val="18"/>
              </w:rPr>
              <w:t>1600元/亩。当年奖补1000元/亩，第二年抚育验收合格后奖补600元/亩。</w:t>
            </w:r>
          </w:p>
        </w:tc>
        <w:tc>
          <w:tcPr>
            <w:tcW w:w="5366" w:type="dxa"/>
            <w:tcBorders>
              <w:top w:val="single" w:color="auto" w:sz="4" w:space="0"/>
              <w:left w:val="single" w:color="auto" w:sz="4" w:space="0"/>
              <w:bottom w:val="single" w:color="auto" w:sz="4" w:space="0"/>
              <w:right w:val="single" w:color="auto" w:sz="4" w:space="0"/>
            </w:tcBorders>
            <w:vAlign w:val="center"/>
          </w:tcPr>
          <w:p w14:paraId="4F76FE87">
            <w:pPr>
              <w:rPr>
                <w:rFonts w:hint="eastAsia" w:ascii="仿宋" w:hAnsi="仿宋" w:eastAsia="仿宋" w:cs="仿宋"/>
                <w:sz w:val="18"/>
                <w:szCs w:val="18"/>
              </w:rPr>
            </w:pPr>
            <w:r>
              <w:rPr>
                <w:rFonts w:hint="eastAsia" w:ascii="仿宋" w:hAnsi="仿宋" w:eastAsia="仿宋" w:cs="仿宋"/>
                <w:sz w:val="18"/>
                <w:szCs w:val="18"/>
                <w:lang w:bidi="ar"/>
              </w:rPr>
              <w:t>疏伐油茶调整密度，</w:t>
            </w:r>
            <w:r>
              <w:rPr>
                <w:rFonts w:hint="eastAsia" w:ascii="仿宋" w:hAnsi="仿宋" w:eastAsia="仿宋" w:cs="仿宋"/>
                <w:sz w:val="18"/>
                <w:szCs w:val="18"/>
              </w:rPr>
              <w:t>保留的老株适当疏枝整形，合理补植3年生容器大苗每亩≥30株，适当抚育，良种苗木证明，生产管理、管护、肥料等生产投入品记录完备，台账档案齐全。</w:t>
            </w:r>
          </w:p>
        </w:tc>
      </w:tr>
    </w:tbl>
    <w:p w14:paraId="2475D2DF">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lang w:eastAsia="zh-CN"/>
        </w:rPr>
      </w:pPr>
      <w:r>
        <w:rPr>
          <w:rFonts w:hint="eastAsia" w:ascii="仿宋_GB2312" w:hAnsi="Calibri" w:eastAsia="仿宋_GB2312" w:cs="Times New Roman"/>
          <w:b/>
          <w:bCs/>
          <w:kern w:val="2"/>
          <w:sz w:val="28"/>
          <w:szCs w:val="28"/>
          <w:lang w:val="en-US" w:eastAsia="zh-CN" w:bidi="ar-SA"/>
        </w:rPr>
        <w:t>仙居县油茶产业发展三年行动方案政策扶持标准表</w:t>
      </w:r>
    </w:p>
    <w:p w14:paraId="161A701C">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i w:val="0"/>
          <w:iCs w:val="0"/>
          <w:caps w:val="0"/>
          <w:color w:val="auto"/>
          <w:spacing w:val="0"/>
          <w:kern w:val="0"/>
          <w:sz w:val="32"/>
          <w:szCs w:val="32"/>
          <w:u w:val="none"/>
          <w:lang w:val="en-US" w:eastAsia="zh-CN" w:bidi="ar"/>
        </w:rPr>
      </w:pPr>
      <w:r>
        <w:rPr>
          <w:rFonts w:hint="eastAsia" w:ascii="楷体_GB2312" w:hAnsi="楷体_GB2312" w:eastAsia="楷体_GB2312" w:cs="楷体_GB2312"/>
          <w:kern w:val="0"/>
          <w:sz w:val="32"/>
          <w:szCs w:val="32"/>
          <w:lang w:eastAsia="zh-CN" w:bidi="ar"/>
        </w:rPr>
        <w:t>第六部分是保障措施。</w:t>
      </w:r>
      <w:r>
        <w:rPr>
          <w:rFonts w:hint="eastAsia" w:ascii="仿宋_GB2312" w:hAnsi="仿宋_GB2312" w:eastAsia="仿宋_GB2312" w:cs="仿宋_GB2312"/>
          <w:sz w:val="32"/>
          <w:szCs w:val="32"/>
          <w:lang w:eastAsia="zh-CN" w:bidi="ar"/>
        </w:rPr>
        <w:t>一是</w:t>
      </w:r>
      <w:r>
        <w:rPr>
          <w:rFonts w:hint="eastAsia" w:ascii="仿宋_GB2312" w:hAnsi="仿宋_GB2312" w:eastAsia="仿宋_GB2312" w:cs="仿宋_GB2312"/>
          <w:sz w:val="32"/>
          <w:szCs w:val="32"/>
          <w:lang w:bidi="ar"/>
        </w:rPr>
        <w:t>强化组织保障</w:t>
      </w:r>
      <w:r>
        <w:rPr>
          <w:rFonts w:hint="eastAsia" w:ascii="仿宋_GB2312" w:hAnsi="仿宋_GB2312" w:eastAsia="仿宋_GB2312" w:cs="仿宋_GB2312"/>
          <w:sz w:val="32"/>
          <w:szCs w:val="32"/>
          <w:lang w:eastAsia="zh-CN" w:bidi="ar"/>
        </w:rPr>
        <w:t>，二是</w:t>
      </w:r>
      <w:r>
        <w:rPr>
          <w:rFonts w:hint="eastAsia" w:ascii="仿宋_GB2312" w:hAnsi="仿宋_GB2312" w:eastAsia="仿宋_GB2312" w:cs="仿宋_GB2312"/>
          <w:sz w:val="32"/>
          <w:szCs w:val="32"/>
          <w:lang w:bidi="ar"/>
        </w:rPr>
        <w:t>强化资金保障</w:t>
      </w:r>
      <w:r>
        <w:rPr>
          <w:rFonts w:hint="eastAsia" w:ascii="仿宋_GB2312" w:hAnsi="仿宋_GB2312" w:eastAsia="仿宋_GB2312" w:cs="仿宋_GB2312"/>
          <w:sz w:val="32"/>
          <w:szCs w:val="32"/>
          <w:lang w:eastAsia="zh-CN" w:bidi="ar"/>
        </w:rPr>
        <w:t>，三是</w:t>
      </w:r>
      <w:r>
        <w:rPr>
          <w:rFonts w:hint="eastAsia" w:ascii="仿宋_GB2312" w:hAnsi="仿宋_GB2312" w:eastAsia="仿宋_GB2312" w:cs="仿宋_GB2312"/>
          <w:sz w:val="32"/>
          <w:szCs w:val="32"/>
          <w:lang w:bidi="ar"/>
        </w:rPr>
        <w:t>强化监督考核</w:t>
      </w:r>
      <w:r>
        <w:rPr>
          <w:rFonts w:hint="eastAsia" w:ascii="仿宋_GB2312" w:hAnsi="仿宋_GB2312" w:eastAsia="仿宋_GB2312" w:cs="仿宋_GB2312"/>
          <w:sz w:val="32"/>
          <w:szCs w:val="32"/>
          <w:lang w:eastAsia="zh-CN" w:bidi="ar"/>
        </w:rPr>
        <w:t>，四是</w:t>
      </w:r>
      <w:r>
        <w:rPr>
          <w:rFonts w:hint="eastAsia" w:ascii="仿宋_GB2312" w:hAnsi="仿宋_GB2312" w:eastAsia="仿宋_GB2312" w:cs="仿宋_GB2312"/>
          <w:sz w:val="32"/>
          <w:szCs w:val="32"/>
          <w:lang w:bidi="ar"/>
        </w:rPr>
        <w:t>强化技术保障。</w:t>
      </w:r>
    </w:p>
    <w:p w14:paraId="3DEFC8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spacing w:val="0"/>
          <w:kern w:val="2"/>
          <w:sz w:val="32"/>
          <w:szCs w:val="32"/>
          <w:lang w:val="en-US" w:eastAsia="zh-CN" w:bidi="ar-SA"/>
        </w:rPr>
        <w:t>第七部分是其他。</w:t>
      </w:r>
      <w:r>
        <w:rPr>
          <w:rFonts w:hint="eastAsia" w:ascii="仿宋_GB2312" w:hAnsi="仿宋_GB2312" w:eastAsia="仿宋_GB2312" w:cs="仿宋_GB2312"/>
          <w:kern w:val="2"/>
          <w:sz w:val="32"/>
          <w:szCs w:val="32"/>
          <w:lang w:val="en-US" w:eastAsia="zh-CN" w:bidi="ar"/>
        </w:rPr>
        <w:t>这一部分指出各乡镇街道超出任务部分享受同等扶持政策，实施期限截至2025年12月31日，资金兑付时间截至2028年12月31日。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A0F59"/>
    <w:multiLevelType w:val="singleLevel"/>
    <w:tmpl w:val="A81A0F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A4C73"/>
    <w:rsid w:val="09845E21"/>
    <w:rsid w:val="0F337B26"/>
    <w:rsid w:val="10D717AB"/>
    <w:rsid w:val="22D41D34"/>
    <w:rsid w:val="393C6FA9"/>
    <w:rsid w:val="5C6A2B93"/>
    <w:rsid w:val="741D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99"/>
    <w:pPr>
      <w:ind w:firstLine="420" w:firstLineChars="100"/>
    </w:pPr>
  </w:style>
  <w:style w:type="paragraph" w:styleId="5">
    <w:name w:val="footnote text"/>
    <w:basedOn w:val="1"/>
    <w:qFormat/>
    <w:uiPriority w:val="0"/>
    <w:pPr>
      <w:snapToGrid w:val="0"/>
    </w:pPr>
    <w:rPr>
      <w:rFonts w:ascii="Times New Roman" w:hAnsi="Times New Roman" w:eastAsia="宋体" w:cs="Times New Roman"/>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726</Words>
  <Characters>794</Characters>
  <Lines>0</Lines>
  <Paragraphs>0</Paragraphs>
  <TotalTime>16</TotalTime>
  <ScaleCrop>false</ScaleCrop>
  <LinksUpToDate>false</LinksUpToDate>
  <CharactersWithSpaces>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2023-11-15T01:58:00Z</dcterms:created>
  <dc:creator>Administrator</dc:creator>
  <cp:lastModifiedBy>花枝</cp:lastModifiedBy>
  <dcterms:modified xsi:type="dcterms:W3CDTF">2025-05-07T09:46:04Z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B78B8051303544F98AF8207A3AF68A88_13</vt:lpwstr>
  </property>
  <property fmtid="{D5CDD505-2E9C-101B-9397-08002B2CF9AE}" pid="4" name="KSOTemplateDocerSaveRecord">
    <vt:lpwstr>eyJoZGlkIjoiNDZjYjdlYjAwNDg3ZDdiYjkxOWYyMmU1ZWUxNzM1ODUiLCJ1c2VySWQiOiIxMzkxMTk4NjE2In0=</vt:lpwstr>
  </property>
</Properties>
</file>