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简体" w:cs="Times New Roman"/>
          <w:w w:val="95"/>
          <w:sz w:val="44"/>
          <w:szCs w:val="44"/>
          <w:highlight w:val="none"/>
          <w:lang w:val="en-US" w:eastAsia="zh-CN"/>
        </w:rPr>
      </w:pPr>
      <w:r>
        <w:rPr>
          <w:rFonts w:hint="eastAsia" w:eastAsia="方正小标宋简体" w:cs="Times New Roman"/>
          <w:w w:val="95"/>
          <w:sz w:val="44"/>
          <w:szCs w:val="44"/>
          <w:highlight w:val="none"/>
          <w:lang w:val="en-US" w:eastAsia="zh-CN"/>
        </w:rPr>
        <w:t>嘉兴市</w:t>
      </w:r>
      <w:r>
        <w:rPr>
          <w:rFonts w:hint="default" w:ascii="Times New Roman" w:hAnsi="Times New Roman" w:eastAsia="方正小标宋简体" w:cs="Times New Roman"/>
          <w:w w:val="95"/>
          <w:sz w:val="44"/>
          <w:szCs w:val="44"/>
          <w:highlight w:val="none"/>
          <w:lang w:val="en-US" w:eastAsia="zh-CN"/>
        </w:rPr>
        <w:t>进一步推动消费品以旧换新行动方案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简体" w:cs="Times New Roman"/>
          <w:sz w:val="44"/>
          <w:szCs w:val="44"/>
          <w:highlight w:val="none"/>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jc w:val="both"/>
        <w:textAlignment w:val="center"/>
        <w:rPr>
          <w:rFonts w:hint="default" w:ascii="Times New Roman" w:hAnsi="Times New Roman" w:eastAsia="方正小标宋简体" w:cs="Times New Roman"/>
          <w:kern w:val="2"/>
          <w:sz w:val="36"/>
          <w:szCs w:val="36"/>
          <w:highlight w:val="none"/>
        </w:rPr>
      </w:pPr>
      <w:r>
        <w:rPr>
          <w:rFonts w:hint="default" w:ascii="Times New Roman" w:hAnsi="Times New Roman" w:eastAsia="方正小标宋简体" w:cs="Times New Roman"/>
          <w:kern w:val="2"/>
          <w:sz w:val="36"/>
          <w:szCs w:val="36"/>
          <w:highlight w:val="none"/>
          <w:lang w:val="en-US" w:eastAsia="zh-CN" w:bidi="ar"/>
        </w:rPr>
        <w:t xml:space="preserve"> </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为</w:t>
      </w:r>
      <w:r>
        <w:rPr>
          <w:rFonts w:hint="eastAsia" w:ascii="仿宋_GB2312" w:hAnsi="仿宋_GB2312" w:eastAsia="仿宋_GB2312" w:cs="仿宋_GB2312"/>
          <w:kern w:val="2"/>
          <w:sz w:val="32"/>
          <w:szCs w:val="32"/>
          <w:highlight w:val="none"/>
          <w:lang w:val="en-US" w:eastAsia="zh-CN" w:bidi="ar"/>
        </w:rPr>
        <w:t>贯彻落实国家发改委、财政部《关于加力支持大规模设备更新和消费品以旧换新的若干措施》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2"/>
          <w:sz w:val="32"/>
          <w:szCs w:val="32"/>
          <w:highlight w:val="none"/>
          <w:lang w:val="en-US" w:eastAsia="zh-CN" w:bidi="ar"/>
        </w:rPr>
        <w:t>发改环资〔2024〕1104号）、《浙江省进一步推动消费品以旧换新行动方案》（浙政办发</w:t>
      </w:r>
      <w:r>
        <w:rPr>
          <w:rFonts w:hint="default" w:ascii="仿宋_GB2312" w:hAnsi="仿宋_GB2312" w:eastAsia="仿宋_GB2312" w:cs="仿宋_GB2312"/>
          <w:kern w:val="2"/>
          <w:sz w:val="32"/>
          <w:szCs w:val="32"/>
          <w:highlight w:val="none"/>
          <w:lang w:val="en-US" w:eastAsia="zh-CN" w:bidi="ar"/>
        </w:rPr>
        <w:t>〔2024〕</w:t>
      </w:r>
      <w:r>
        <w:rPr>
          <w:rFonts w:hint="eastAsia" w:ascii="仿宋_GB2312" w:hAnsi="仿宋_GB2312" w:eastAsia="仿宋_GB2312" w:cs="仿宋_GB2312"/>
          <w:kern w:val="2"/>
          <w:sz w:val="32"/>
          <w:szCs w:val="32"/>
          <w:highlight w:val="none"/>
          <w:lang w:val="en-US" w:eastAsia="zh-CN" w:bidi="ar"/>
        </w:rPr>
        <w:t>26号）精神，进一步释放消费品领域以旧换新潜力，促进消费市场稳定增长</w:t>
      </w:r>
      <w:bookmarkStart w:id="0" w:name="_GoBack"/>
      <w:bookmarkEnd w:id="0"/>
      <w:r>
        <w:rPr>
          <w:rFonts w:hint="eastAsia" w:ascii="仿宋_GB2312" w:hAnsi="仿宋_GB2312" w:eastAsia="仿宋_GB2312" w:cs="仿宋_GB2312"/>
          <w:kern w:val="2"/>
          <w:sz w:val="32"/>
          <w:szCs w:val="32"/>
          <w:highlight w:val="none"/>
          <w:lang w:val="en-US" w:eastAsia="zh-CN" w:bidi="ar"/>
        </w:rPr>
        <w:t>和提质扩容，现制定如下行动方案。</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center"/>
        <w:rPr>
          <w:rFonts w:hint="default" w:ascii="Times New Roman" w:hAnsi="Times New Roman" w:eastAsia="黑体" w:cs="Times New Roman"/>
          <w:kern w:val="2"/>
          <w:sz w:val="32"/>
          <w:szCs w:val="32"/>
          <w:highlight w:val="none"/>
          <w:lang w:val="en-US" w:eastAsia="zh-CN" w:bidi="ar"/>
        </w:rPr>
      </w:pPr>
      <w:r>
        <w:rPr>
          <w:rFonts w:hint="default" w:ascii="Times New Roman" w:hAnsi="Times New Roman" w:eastAsia="黑体" w:cs="Times New Roman"/>
          <w:kern w:val="2"/>
          <w:sz w:val="32"/>
          <w:szCs w:val="32"/>
          <w:highlight w:val="none"/>
          <w:lang w:eastAsia="zh-CN" w:bidi="ar"/>
        </w:rPr>
        <w:t>一、</w:t>
      </w:r>
      <w:r>
        <w:rPr>
          <w:rFonts w:hint="default" w:ascii="Times New Roman" w:hAnsi="Times New Roman" w:eastAsia="黑体" w:cs="Times New Roman"/>
          <w:kern w:val="2"/>
          <w:sz w:val="32"/>
          <w:szCs w:val="32"/>
          <w:highlight w:val="none"/>
          <w:lang w:val="en-US" w:eastAsia="zh-CN" w:bidi="ar"/>
        </w:rPr>
        <w:t>加力推进汽车以旧换新</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center"/>
        <w:rPr>
          <w:rFonts w:hint="default" w:ascii="Times New Roman" w:hAnsi="Times New Roman" w:eastAsia="楷体_GB2312" w:cs="Times New Roman"/>
          <w:b/>
          <w:bCs/>
          <w:kern w:val="2"/>
          <w:sz w:val="32"/>
          <w:szCs w:val="32"/>
          <w:highlight w:val="none"/>
        </w:rPr>
      </w:pPr>
      <w:r>
        <w:rPr>
          <w:rFonts w:hint="default" w:ascii="Times New Roman" w:hAnsi="Times New Roman" w:eastAsia="楷体_GB2312" w:cs="Times New Roman"/>
          <w:b w:val="0"/>
          <w:bCs w:val="0"/>
          <w:kern w:val="2"/>
          <w:sz w:val="32"/>
          <w:szCs w:val="32"/>
          <w:highlight w:val="none"/>
          <w:lang w:eastAsia="zh-CN" w:bidi="ar"/>
        </w:rPr>
        <w:t>（一）</w:t>
      </w:r>
      <w:r>
        <w:rPr>
          <w:rFonts w:hint="default" w:ascii="Times New Roman" w:hAnsi="Times New Roman" w:eastAsia="楷体_GB2312" w:cs="Times New Roman"/>
          <w:b w:val="0"/>
          <w:bCs w:val="0"/>
          <w:kern w:val="2"/>
          <w:sz w:val="32"/>
          <w:szCs w:val="32"/>
          <w:highlight w:val="none"/>
          <w:lang w:val="en-US" w:eastAsia="zh-CN" w:bidi="ar"/>
        </w:rPr>
        <w:t>提高汽车报废更新补贴标准</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center"/>
        <w:rPr>
          <w:rFonts w:hint="eastAsia" w:ascii="楷体_GB2312" w:hAnsi="楷体_GB2312" w:eastAsia="楷体_GB2312" w:cs="楷体_GB2312"/>
          <w:kern w:val="2"/>
          <w:sz w:val="32"/>
          <w:szCs w:val="32"/>
          <w:highlight w:val="none"/>
        </w:rPr>
      </w:pPr>
      <w:r>
        <w:rPr>
          <w:rFonts w:hint="eastAsia" w:ascii="仿宋_GB2312" w:hAnsi="仿宋_GB2312" w:eastAsia="仿宋_GB2312" w:cs="仿宋_GB2312"/>
          <w:kern w:val="2"/>
          <w:sz w:val="32"/>
          <w:szCs w:val="32"/>
          <w:highlight w:val="none"/>
          <w:lang w:val="en-US" w:eastAsia="zh-CN" w:bidi="ar"/>
        </w:rPr>
        <w:t>在《嘉兴市消费品以旧换新奖补政策实施细则》（嘉商务联发〔2024〕4号）基础上，自2024年4月24日起至2024年12月31日，个人消费者报废国三及以下排放标准燃油乘用车或2018年4月30日（含当日）前注册登记的新能源乘用车，并购买纳入工业和信息化部《减免车辆购置税的新能源汽车车型目录》的新能源乘用车或2.0升及以下排量燃油乘用车，补贴标准提高至购买新能源乘用车补2万元、购买2.0升及以下排量燃油车补1.5万元。补贴申请人名下报废乘用车应在2024年7月25日（含）前登记在本人名下，补贴申领期间，新购置汽车应登记在申请人名下。</w:t>
      </w:r>
    </w:p>
    <w:p>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0" w:beforeAutospacing="0" w:after="0" w:afterAutospacing="0" w:line="560" w:lineRule="exact"/>
        <w:ind w:leftChars="200" w:right="0" w:rightChars="0"/>
        <w:jc w:val="left"/>
        <w:textAlignment w:val="center"/>
        <w:rPr>
          <w:rFonts w:hint="eastAsia" w:ascii="Times New Roman" w:hAnsi="Times New Roman" w:eastAsia="楷体_GB2312" w:cs="Times New Roman"/>
          <w:b w:val="0"/>
          <w:bCs w:val="0"/>
          <w:kern w:val="2"/>
          <w:sz w:val="32"/>
          <w:szCs w:val="32"/>
          <w:highlight w:val="none"/>
          <w:lang w:val="en-US" w:eastAsia="zh-CN" w:bidi="ar"/>
        </w:rPr>
      </w:pPr>
      <w:r>
        <w:rPr>
          <w:rFonts w:hint="eastAsia" w:ascii="Times New Roman" w:hAnsi="Times New Roman" w:eastAsia="楷体_GB2312" w:cs="Times New Roman"/>
          <w:b w:val="0"/>
          <w:bCs w:val="0"/>
          <w:kern w:val="2"/>
          <w:sz w:val="32"/>
          <w:szCs w:val="32"/>
          <w:highlight w:val="none"/>
          <w:lang w:val="en-US" w:eastAsia="zh-CN" w:bidi="ar"/>
        </w:rPr>
        <w:t>（二）开展汽车置换更新补贴</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bidi="ar"/>
        </w:rPr>
        <w:t>个人消费者报废或转让（变更除外）本人名下乘用车，并在嘉兴市内销售企业购置7座以下（含7座）新乘用车，可申请一次性补贴。新车价格在5万至15万（不含）之间的燃油车补贴6000元，新能源汽车补贴8000元；价格在15万至25万（不含）之间的燃油车补贴8000元，新能源汽车补贴10000元；价格在25万及以上的燃油车补贴10000元，新能源汽车补贴12000元。活动期间每名补贴申请人和同一辆二手乘用车只能享受一次补贴。该项政策与国家汽车报废更新补贴不可重复享受。置换更新补贴资金使用完毕即止。</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bidi="ar"/>
        </w:rPr>
        <w:t>消费者应于2025年1 月10日前在微信小程序“汽车置换更新补贴”递交申请，按要求上传相关资料证明。补贴受理地</w:t>
      </w:r>
      <w:r>
        <w:rPr>
          <w:rFonts w:hint="default" w:ascii="仿宋_GB2312" w:hAnsi="仿宋_GB2312" w:eastAsia="仿宋_GB2312" w:cs="仿宋_GB2312"/>
          <w:kern w:val="2"/>
          <w:sz w:val="32"/>
          <w:szCs w:val="32"/>
          <w:highlight w:val="none"/>
          <w:lang w:eastAsia="zh-CN" w:bidi="ar"/>
        </w:rPr>
        <w:t>为</w:t>
      </w:r>
      <w:r>
        <w:rPr>
          <w:rFonts w:hint="eastAsia" w:ascii="仿宋_GB2312" w:hAnsi="仿宋_GB2312" w:eastAsia="仿宋_GB2312" w:cs="仿宋_GB2312"/>
          <w:kern w:val="2"/>
          <w:sz w:val="32"/>
          <w:szCs w:val="32"/>
          <w:highlight w:val="none"/>
          <w:lang w:val="en-US" w:eastAsia="zh-CN" w:bidi="ar"/>
        </w:rPr>
        <w:t>新车《机动车销售统一发票》</w:t>
      </w:r>
      <w:r>
        <w:rPr>
          <w:rFonts w:hint="default" w:ascii="仿宋_GB2312" w:hAnsi="仿宋_GB2312" w:eastAsia="仿宋_GB2312" w:cs="仿宋_GB2312"/>
          <w:kern w:val="2"/>
          <w:sz w:val="32"/>
          <w:szCs w:val="32"/>
          <w:highlight w:val="none"/>
          <w:lang w:val="en-US" w:eastAsia="zh-CN" w:bidi="ar"/>
        </w:rPr>
        <w:t>的</w:t>
      </w:r>
      <w:r>
        <w:rPr>
          <w:rFonts w:hint="eastAsia" w:ascii="仿宋_GB2312" w:hAnsi="仿宋_GB2312" w:eastAsia="仿宋_GB2312" w:cs="仿宋_GB2312"/>
          <w:kern w:val="2"/>
          <w:sz w:val="32"/>
          <w:szCs w:val="32"/>
          <w:highlight w:val="none"/>
          <w:lang w:val="en-US" w:eastAsia="zh-CN" w:bidi="ar"/>
        </w:rPr>
        <w:t>开具地。补贴申请人名下旧车登记时间必须在《浙江省进一步推动消费品以旧换新行动方案》印发之日前。各地商务、公安等部门负责相关审核工作，税务部门按职责做好机动车、二手车销售发票管理工作。</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center"/>
        <w:rPr>
          <w:rFonts w:hint="default" w:ascii="Times New Roman" w:hAnsi="Times New Roman" w:eastAsia="楷体_GB2312" w:cs="Times New Roman"/>
          <w:kern w:val="2"/>
          <w:sz w:val="32"/>
          <w:szCs w:val="32"/>
          <w:highlight w:val="none"/>
        </w:rPr>
      </w:pPr>
      <w:r>
        <w:rPr>
          <w:rFonts w:hint="eastAsia" w:ascii="仿宋_GB2312" w:hAnsi="仿宋_GB2312" w:eastAsia="仿宋_GB2312" w:cs="仿宋_GB2312"/>
          <w:kern w:val="2"/>
          <w:sz w:val="32"/>
          <w:szCs w:val="32"/>
          <w:highlight w:val="none"/>
          <w:lang w:val="en-US" w:eastAsia="zh-CN" w:bidi="ar"/>
        </w:rPr>
        <w:t>各县（市、区）商务主管部门收到申请材料的15个工作日内，会同相关部门按照职责进行审核。申请人提交的信息真实完整，符合要求的，予以审核通过。申请人提交的信息不完整或不清晰无法辨识的，受理地商务部门应将补正信息告知申请人，申请人按要求在本文明确的申请截止日期内通过原渠道补正有关信息。并于审核通过后15个工作日之内将补贴资金拨付至消费者指定的银行账户，各地根据实际情况优化资金申报及</w:t>
      </w:r>
      <w:r>
        <w:rPr>
          <w:rFonts w:hint="default" w:ascii="Times New Roman" w:hAnsi="Times New Roman" w:eastAsia="仿宋_GB2312" w:cs="Times New Roman"/>
          <w:kern w:val="2"/>
          <w:sz w:val="32"/>
          <w:szCs w:val="32"/>
          <w:highlight w:val="none"/>
          <w:lang w:val="en-US" w:eastAsia="zh-CN" w:bidi="ar"/>
        </w:rPr>
        <w:t>拨付流程，确保政策直达快享。</w:t>
      </w:r>
    </w:p>
    <w:p>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center"/>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eastAsia="zh-CN" w:bidi="ar"/>
        </w:rPr>
        <w:t>二、大力促进</w:t>
      </w:r>
      <w:r>
        <w:rPr>
          <w:rFonts w:hint="default" w:ascii="Times New Roman" w:hAnsi="Times New Roman" w:eastAsia="黑体" w:cs="Times New Roman"/>
          <w:kern w:val="2"/>
          <w:sz w:val="32"/>
          <w:szCs w:val="32"/>
          <w:highlight w:val="none"/>
          <w:lang w:val="en-US" w:eastAsia="zh-CN" w:bidi="ar"/>
        </w:rPr>
        <w:t>家电消费</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center"/>
        <w:rPr>
          <w:rFonts w:hint="default" w:ascii="Times New Roman" w:hAnsi="Times New Roman" w:eastAsia="楷体_GB2312" w:cs="Times New Roman"/>
          <w:kern w:val="2"/>
          <w:sz w:val="32"/>
          <w:szCs w:val="32"/>
          <w:highlight w:val="none"/>
        </w:rPr>
      </w:pPr>
      <w:r>
        <w:rPr>
          <w:rFonts w:hint="eastAsia" w:ascii="仿宋_GB2312" w:hAnsi="仿宋_GB2312" w:eastAsia="仿宋_GB2312" w:cs="仿宋_GB2312"/>
          <w:kern w:val="2"/>
          <w:sz w:val="32"/>
          <w:szCs w:val="32"/>
          <w:highlight w:val="none"/>
          <w:lang w:val="en-US" w:eastAsia="zh-CN" w:bidi="ar"/>
        </w:rPr>
        <w:t>对个人消费者购买2级及以上能效或水效标准的冰箱、洗衣机、电视、空调、电脑、热水器、家用灶具、吸油烟机等8类家电产品给予“立购立减”购置补贴。补贴标准为产品销售价格的15%，对购买1级及以上能效或水效标准的产品，额外再给予产品销售价格5%的补贴。每位消费者每类产品可补贴1件，每件商品补贴不超过2000元。</w:t>
      </w:r>
    </w:p>
    <w:p>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center"/>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eastAsia="zh-CN" w:bidi="ar"/>
        </w:rPr>
        <w:t>三、</w:t>
      </w:r>
      <w:r>
        <w:rPr>
          <w:rFonts w:hint="default" w:ascii="Times New Roman" w:hAnsi="Times New Roman" w:eastAsia="黑体" w:cs="Times New Roman"/>
          <w:kern w:val="2"/>
          <w:sz w:val="32"/>
          <w:szCs w:val="32"/>
          <w:highlight w:val="none"/>
          <w:lang w:val="en-US" w:eastAsia="zh-CN" w:bidi="ar"/>
        </w:rPr>
        <w:t>开展电动自行车以旧换新</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center"/>
        <w:rPr>
          <w:rFonts w:hint="default" w:ascii="Times New Roman" w:hAnsi="Times New Roman" w:eastAsia="仿宋_GB2312" w:cs="Times New Roman"/>
          <w:kern w:val="2"/>
          <w:sz w:val="32"/>
          <w:szCs w:val="32"/>
          <w:highlight w:val="none"/>
        </w:rPr>
      </w:pPr>
      <w:r>
        <w:rPr>
          <w:rFonts w:hint="eastAsia" w:ascii="仿宋_GB2312" w:hAnsi="仿宋_GB2312" w:eastAsia="仿宋_GB2312" w:cs="仿宋_GB2312"/>
          <w:kern w:val="2"/>
          <w:sz w:val="32"/>
          <w:szCs w:val="32"/>
          <w:highlight w:val="none"/>
          <w:lang w:val="en-US" w:eastAsia="zh-CN" w:bidi="ar"/>
        </w:rPr>
        <w:t>将电动自行车以旧换新纳入“2024 消费促进年”活动安排。对消费者报废老旧电动自行车并购买新的合标电动自行车，按省级政策予以补贴，规范报废电动自行车及其蓄电池的回收处置。支持电动自行车销售企业与生产企业、回收企业联合开展以旧换新，对消费者给予叠加优惠。</w:t>
      </w:r>
      <w:r>
        <w:rPr>
          <w:rFonts w:hint="default" w:ascii="Times New Roman" w:hAnsi="Times New Roman" w:eastAsia="仿宋_GB2312" w:cs="Times New Roman"/>
          <w:kern w:val="2"/>
          <w:sz w:val="32"/>
          <w:szCs w:val="32"/>
          <w:highlight w:val="none"/>
          <w:lang w:val="en-US" w:eastAsia="zh-CN" w:bidi="ar"/>
        </w:rPr>
        <w:t xml:space="preserve"> </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center"/>
        <w:rPr>
          <w:rFonts w:hint="default" w:ascii="Times New Roman" w:hAnsi="Times New Roman" w:eastAsia="黑体" w:cs="Times New Roman"/>
          <w:color w:val="000000"/>
          <w:kern w:val="2"/>
          <w:sz w:val="32"/>
          <w:szCs w:val="32"/>
          <w:highlight w:val="none"/>
        </w:rPr>
      </w:pPr>
      <w:r>
        <w:rPr>
          <w:rFonts w:hint="default" w:ascii="Times New Roman" w:hAnsi="Times New Roman" w:eastAsia="黑体" w:cs="Times New Roman"/>
          <w:color w:val="000000"/>
          <w:kern w:val="2"/>
          <w:sz w:val="32"/>
          <w:szCs w:val="32"/>
          <w:highlight w:val="none"/>
          <w:lang w:val="en-US" w:eastAsia="zh-CN" w:bidi="ar"/>
        </w:rPr>
        <w:t>四、促进智能家居消费</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jc w:val="both"/>
        <w:textAlignment w:val="center"/>
        <w:rPr>
          <w:rFonts w:hint="default" w:ascii="Times New Roman" w:hAnsi="Times New Roman" w:eastAsia="楷体_GB2312" w:cs="Times New Roman"/>
          <w:kern w:val="2"/>
          <w:sz w:val="32"/>
          <w:szCs w:val="32"/>
          <w:highlight w:val="none"/>
        </w:rPr>
      </w:pPr>
      <w:r>
        <w:rPr>
          <w:rFonts w:hint="eastAsia" w:ascii="仿宋_GB2312" w:hAnsi="仿宋_GB2312" w:eastAsia="仿宋_GB2312" w:cs="仿宋_GB2312"/>
          <w:color w:val="000000"/>
          <w:kern w:val="2"/>
          <w:sz w:val="32"/>
          <w:szCs w:val="32"/>
          <w:highlight w:val="none"/>
          <w:lang w:val="en-US" w:eastAsia="zh-CN" w:bidi="ar"/>
        </w:rPr>
        <w:t>对个人消费者购买智能门锁（含智能防盗门）、智能晾衣架、智能家用监控、智能马桶（含智能马桶盖）、智能床（含智能床垫）、智能按摩椅、智能健身设备、智能服务机器人（含智能扫地机、拖地机）、智能洗碗机、智能蒸（烤）机、智能烘衣机等智能家居产品按照剔除所有折扣优惠后成交价格的15%予以立减优惠，每位消费者每类产品可补贴1件，每件补贴不超过2000元。各地可根据本地区居民消费习惯和市场实际情况，合理增加补贴品类。</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五、支持旧房装修和厨卫局部改造</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center"/>
        <w:rPr>
          <w:rFonts w:hint="default" w:ascii="Times New Roman" w:hAnsi="Times New Roman" w:eastAsia="楷体_GB2312" w:cs="Times New Roman"/>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bidi="ar"/>
        </w:rPr>
        <w:t>消费者购买用于旧房装修、厨卫局部改造所需的饰面砖、地板、墙板、集成吊顶、套装门、整体柜、淋浴房、洁具等物品和材料，按照购置价的20%给与补贴，每人每套房补贴金额最高不超过2万元。鼓励各地根据本地区居民消费习惯，合理增加补贴品类，补贴品类应向先进、绿色、低碳、环保产品倾斜，更好满足居民装修改造需求。各地可结合本地实际，合理确定其他补贴方式，补贴标准参照上述标准执行，补贴兑现流程等操作细则由各县（市、区）参照省级政策自行确定。</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六、支持家庭适老化改造</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jc w:val="left"/>
        <w:textAlignment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 xml:space="preserve">   </w:t>
      </w:r>
      <w:r>
        <w:rPr>
          <w:rFonts w:hint="eastAsia" w:ascii="仿宋_GB2312" w:hAnsi="仿宋_GB2312" w:eastAsia="仿宋_GB2312" w:cs="仿宋_GB2312"/>
          <w:color w:val="auto"/>
          <w:kern w:val="2"/>
          <w:sz w:val="32"/>
          <w:szCs w:val="32"/>
          <w:highlight w:val="none"/>
          <w:lang w:val="en-US" w:eastAsia="zh-CN" w:bidi="ar"/>
        </w:rPr>
        <w:t xml:space="preserve"> 围绕“如厕洗澡安全，室内行走便利，居家环境改善，智能监测跟进，辅助器具适配”五个方面，推进以旧换新居家适老化改造，对购置相关物品和材料给予购置价格50%的补贴，80周岁以上的老年人家庭上浮10%，补贴金额最高不超过2万元。</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center"/>
        <w:rPr>
          <w:rFonts w:hint="default" w:ascii="Times New Roman" w:hAnsi="Times New Roman" w:eastAsia="黑体" w:cs="Times New Roman"/>
          <w:kern w:val="2"/>
          <w:sz w:val="32"/>
          <w:szCs w:val="32"/>
          <w:highlight w:val="none"/>
        </w:rPr>
      </w:pPr>
      <w:r>
        <w:rPr>
          <w:rFonts w:hint="eastAsia" w:ascii="Times New Roman" w:hAnsi="Times New Roman" w:eastAsia="黑体" w:cs="Times New Roman"/>
          <w:kern w:val="2"/>
          <w:sz w:val="32"/>
          <w:szCs w:val="32"/>
          <w:highlight w:val="none"/>
          <w:lang w:val="en-US" w:eastAsia="zh-CN" w:bidi="ar"/>
        </w:rPr>
        <w:t>七</w:t>
      </w:r>
      <w:r>
        <w:rPr>
          <w:rFonts w:hint="default" w:ascii="Times New Roman" w:hAnsi="Times New Roman" w:eastAsia="黑体" w:cs="Times New Roman"/>
          <w:kern w:val="2"/>
          <w:sz w:val="32"/>
          <w:szCs w:val="32"/>
          <w:highlight w:val="none"/>
          <w:lang w:val="en-US" w:eastAsia="zh-CN" w:bidi="ar"/>
        </w:rPr>
        <w:t>、相关工作要求</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kern w:val="2"/>
          <w:sz w:val="32"/>
          <w:szCs w:val="32"/>
          <w:highlight w:val="none"/>
        </w:rPr>
      </w:pPr>
      <w:r>
        <w:rPr>
          <w:rFonts w:hint="default" w:ascii="Times New Roman" w:hAnsi="Times New Roman" w:eastAsia="楷体_GB2312" w:cs="Times New Roman"/>
          <w:kern w:val="2"/>
          <w:sz w:val="32"/>
          <w:szCs w:val="32"/>
          <w:highlight w:val="none"/>
          <w:lang w:val="en-US" w:eastAsia="zh-CN" w:bidi="ar"/>
        </w:rPr>
        <w:t>（一）加强组织领导。</w:t>
      </w:r>
      <w:r>
        <w:rPr>
          <w:rFonts w:hint="eastAsia" w:ascii="仿宋_GB2312" w:hAnsi="仿宋_GB2312" w:eastAsia="仿宋_GB2312" w:cs="仿宋_GB2312"/>
          <w:kern w:val="2"/>
          <w:sz w:val="32"/>
          <w:szCs w:val="32"/>
          <w:highlight w:val="none"/>
          <w:lang w:val="en-US" w:eastAsia="zh-CN" w:bidi="ar"/>
        </w:rPr>
        <w:t>各地及相关部门要切实提高政治站位，充分认识消费品以旧换新工作的重要性和必要性，结合地方实际，精准制定目标，细化操作流程，压实各方责任，确保政策平稳过渡。充分利用“</w:t>
      </w:r>
      <w:r>
        <w:rPr>
          <w:rFonts w:hint="eastAsia" w:ascii="仿宋_GB2312" w:hAnsi="仿宋_GB2312" w:eastAsia="仿宋_GB2312" w:cs="仿宋_GB2312"/>
          <w:kern w:val="2"/>
          <w:sz w:val="32"/>
          <w:szCs w:val="32"/>
          <w:highlight w:val="none"/>
          <w:lang w:eastAsia="zh-CN" w:bidi="ar"/>
        </w:rPr>
        <w:t>浙里来消费</w:t>
      </w:r>
      <w:r>
        <w:rPr>
          <w:rFonts w:hint="eastAsia" w:ascii="仿宋_GB2312" w:hAnsi="仿宋_GB2312" w:eastAsia="仿宋_GB2312" w:cs="仿宋_GB2312"/>
          <w:kern w:val="2"/>
          <w:sz w:val="32"/>
          <w:szCs w:val="32"/>
          <w:highlight w:val="none"/>
          <w:lang w:val="en-US" w:eastAsia="zh-CN" w:bidi="ar"/>
        </w:rPr>
        <w:t>”“来嘉消费”活动载体，组织开展消费品以旧换新进社区、进企业、进商圈等活动，进一步惠民利民。市级相关部门定期评估政策执行成效，适时动态调整相关政策。</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kern w:val="2"/>
          <w:sz w:val="32"/>
          <w:szCs w:val="32"/>
          <w:highlight w:val="none"/>
        </w:rPr>
      </w:pPr>
      <w:r>
        <w:rPr>
          <w:rFonts w:hint="default" w:ascii="Times New Roman" w:hAnsi="Times New Roman" w:eastAsia="楷体_GB2312" w:cs="Times New Roman"/>
          <w:kern w:val="2"/>
          <w:sz w:val="32"/>
          <w:szCs w:val="32"/>
          <w:highlight w:val="none"/>
          <w:lang w:val="en-US" w:eastAsia="zh-CN" w:bidi="ar"/>
        </w:rPr>
        <w:t>（二）加大资金统筹。</w:t>
      </w:r>
      <w:r>
        <w:rPr>
          <w:rFonts w:hint="eastAsia" w:ascii="仿宋_GB2312" w:hAnsi="仿宋_GB2312" w:eastAsia="仿宋_GB2312" w:cs="仿宋_GB2312"/>
          <w:kern w:val="2"/>
          <w:sz w:val="32"/>
          <w:szCs w:val="32"/>
          <w:highlight w:val="none"/>
          <w:lang w:val="en-US" w:eastAsia="zh-CN" w:bidi="ar"/>
        </w:rPr>
        <w:t>各地要用足用好中央及省级消费品以旧换新资金，落实国家汽车报废更新政策及家电消费补贴政策，确保资金投向符合政策要求。本轮消费品以旧换新活动截至2024年12月31日，活动补贴资金总额限定，如补贴资金提前使用完毕，发布政策结束公告；未用完的中央和省级资金将收回。具体资金渠道、补贴资金申请流程等在操作细则中予以明确。</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center"/>
        <w:rPr>
          <w:rFonts w:hint="default" w:ascii="Times New Roman" w:hAnsi="Times New Roman" w:eastAsia="仿宋_GB2312" w:cs="Times New Roman"/>
          <w:kern w:val="2"/>
          <w:sz w:val="32"/>
          <w:szCs w:val="32"/>
          <w:highlight w:val="none"/>
        </w:rPr>
      </w:pPr>
      <w:r>
        <w:rPr>
          <w:rFonts w:hint="default" w:ascii="Times New Roman" w:hAnsi="Times New Roman" w:eastAsia="楷体_GB2312" w:cs="Times New Roman"/>
          <w:kern w:val="2"/>
          <w:sz w:val="32"/>
          <w:szCs w:val="32"/>
          <w:highlight w:val="none"/>
          <w:lang w:val="en-US" w:eastAsia="zh-CN" w:bidi="ar"/>
        </w:rPr>
        <w:t>（三）</w:t>
      </w:r>
      <w:r>
        <w:rPr>
          <w:rFonts w:hint="default" w:ascii="Times New Roman" w:hAnsi="Times New Roman" w:eastAsia="楷体_GB2312" w:cs="Times New Roman"/>
          <w:kern w:val="2"/>
          <w:sz w:val="32"/>
          <w:szCs w:val="32"/>
          <w:highlight w:val="none"/>
          <w:lang w:eastAsia="zh-CN" w:bidi="ar"/>
        </w:rPr>
        <w:t>强化</w:t>
      </w:r>
      <w:r>
        <w:rPr>
          <w:rFonts w:hint="default" w:ascii="Times New Roman" w:hAnsi="Times New Roman" w:eastAsia="楷体_GB2312" w:cs="Times New Roman"/>
          <w:kern w:val="2"/>
          <w:sz w:val="32"/>
          <w:szCs w:val="32"/>
          <w:highlight w:val="none"/>
          <w:lang w:val="en-US" w:eastAsia="zh-CN" w:bidi="ar"/>
        </w:rPr>
        <w:t>政企银协同。</w:t>
      </w:r>
      <w:r>
        <w:rPr>
          <w:rFonts w:hint="default" w:ascii="Times New Roman" w:hAnsi="Times New Roman" w:eastAsia="仿宋_GB2312" w:cs="Times New Roman"/>
          <w:kern w:val="2"/>
          <w:sz w:val="32"/>
          <w:szCs w:val="32"/>
          <w:highlight w:val="none"/>
          <w:lang w:val="en-US" w:eastAsia="zh-CN" w:bidi="ar"/>
        </w:rPr>
        <w:t>各地要按照建设全国统一大市场的要求，支持不同所有制、不同注册地企业参与以旧换新工作。鼓励金融机构优化消费金融产品和服务，进一步加大惠民力度，通过满减、分期等形式助力消费品以旧换新。充分发挥电商平台优势，强化线上线下融合，支持开设线上以旧换新专区，引导生产、销售、回收等企业积极出台优惠促销政策，充分放大政策效应。</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kern w:val="2"/>
          <w:sz w:val="32"/>
          <w:szCs w:val="32"/>
          <w:highlight w:val="none"/>
        </w:rPr>
      </w:pPr>
      <w:r>
        <w:rPr>
          <w:rFonts w:hint="default" w:ascii="Times New Roman" w:hAnsi="Times New Roman" w:eastAsia="楷体_GB2312" w:cs="Times New Roman"/>
          <w:kern w:val="2"/>
          <w:sz w:val="32"/>
          <w:szCs w:val="32"/>
          <w:highlight w:val="none"/>
          <w:lang w:val="en-US" w:eastAsia="zh-CN" w:bidi="ar"/>
        </w:rPr>
        <w:t>（四）规范活动秩序。</w:t>
      </w:r>
      <w:r>
        <w:rPr>
          <w:rFonts w:hint="eastAsia" w:ascii="仿宋_GB2312" w:hAnsi="仿宋_GB2312" w:eastAsia="仿宋_GB2312" w:cs="仿宋_GB2312"/>
          <w:kern w:val="2"/>
          <w:sz w:val="32"/>
          <w:szCs w:val="32"/>
          <w:highlight w:val="none"/>
          <w:lang w:val="en-US" w:eastAsia="zh-CN" w:bidi="ar"/>
        </w:rPr>
        <w:t>政策实施中，当某一商品适用于多项消费品以旧换新优惠政策时，消费者可从高享受，优惠政策不可重复享受。各地要持续强化市场秩序监管，畅通投诉渠道，依法打击假冒伪劣、价格欺诈、非法翻新、以次充好等行为。加强以旧换新活动全流程监管，严厉打击套补、骗补行为，对违法违规行为加大处罚力度。</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center"/>
        <w:rPr>
          <w:rFonts w:hint="default" w:ascii="仿宋_GB2312" w:hAnsi="仿宋_GB2312" w:eastAsia="仿宋_GB2312" w:cs="仿宋_GB2312"/>
          <w:color w:val="auto"/>
          <w:kern w:val="0"/>
          <w:sz w:val="32"/>
          <w:szCs w:val="32"/>
          <w:shd w:val="clear" w:color="auto" w:fill="FFFFFF"/>
          <w:lang w:val="en-US" w:eastAsia="zh-CN" w:bidi="ar"/>
        </w:rPr>
      </w:pPr>
      <w:r>
        <w:rPr>
          <w:rFonts w:hint="default" w:ascii="Times New Roman" w:hAnsi="Times New Roman" w:eastAsia="仿宋_GB2312" w:cs="Times New Roman"/>
          <w:kern w:val="2"/>
          <w:sz w:val="32"/>
          <w:szCs w:val="32"/>
          <w:highlight w:val="none"/>
          <w:lang w:val="en-US" w:eastAsia="zh-CN" w:bidi="ar"/>
        </w:rPr>
        <w:t>本</w:t>
      </w:r>
      <w:r>
        <w:rPr>
          <w:rFonts w:hint="default" w:ascii="Times New Roman" w:hAnsi="Times New Roman" w:eastAsia="仿宋_GB2312" w:cs="Times New Roman"/>
          <w:color w:val="auto"/>
          <w:kern w:val="2"/>
          <w:sz w:val="32"/>
          <w:szCs w:val="32"/>
          <w:highlight w:val="none"/>
          <w:lang w:eastAsia="zh-CN" w:bidi="ar"/>
        </w:rPr>
        <w:t>方案</w:t>
      </w:r>
      <w:r>
        <w:rPr>
          <w:rFonts w:hint="default" w:ascii="Times New Roman" w:hAnsi="Times New Roman" w:eastAsia="仿宋_GB2312" w:cs="Times New Roman"/>
          <w:kern w:val="2"/>
          <w:sz w:val="32"/>
          <w:szCs w:val="32"/>
          <w:highlight w:val="none"/>
          <w:lang w:val="en-US" w:eastAsia="zh-CN" w:bidi="ar"/>
        </w:rPr>
        <w:t>自发文之日起施行</w:t>
      </w:r>
      <w:r>
        <w:rPr>
          <w:rFonts w:hint="eastAsia" w:cs="Times New Roman"/>
          <w:kern w:val="2"/>
          <w:sz w:val="32"/>
          <w:szCs w:val="32"/>
          <w:highlight w:val="none"/>
          <w:lang w:val="en-US" w:eastAsia="zh-CN" w:bidi="ar"/>
        </w:rPr>
        <w:t>。</w:t>
      </w:r>
    </w:p>
    <w:p/>
    <w:sectPr>
      <w:footerReference r:id="rId3" w:type="default"/>
      <w:pgSz w:w="11906" w:h="16838"/>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adoHJyAEAAJkDAAAOAAAAAAAA&#10;AAEAIAAAADQBAABkcnMvZTJvRG9jLnhtbFBLBQYAAAAABgAGAFkBAABu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NWRkMzgyM2U1ZDJmNWFiZjMyYmUwZWY4NjBmM2YifQ=="/>
  </w:docVars>
  <w:rsids>
    <w:rsidRoot w:val="9BEDAD4F"/>
    <w:rsid w:val="125E4985"/>
    <w:rsid w:val="278477C0"/>
    <w:rsid w:val="3FC70789"/>
    <w:rsid w:val="459C1D66"/>
    <w:rsid w:val="76FFA0D3"/>
    <w:rsid w:val="7FFD69B7"/>
    <w:rsid w:val="95DFC31A"/>
    <w:rsid w:val="9BEDAD4F"/>
    <w:rsid w:val="F56E8C9A"/>
    <w:rsid w:val="FFDB99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12"/>
      <w:jc w:val="center"/>
      <w:outlineLvl w:val="0"/>
    </w:pPr>
    <w:rPr>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Calibri" w:hAnsi="Calibri" w:cs="Times New Roman"/>
    </w:rPr>
  </w:style>
  <w:style w:type="paragraph" w:styleId="4">
    <w:name w:val="Body Text"/>
    <w:basedOn w:val="1"/>
    <w:qFormat/>
    <w:uiPriority w:val="1"/>
    <w:rPr>
      <w:sz w:val="32"/>
      <w:szCs w:val="32"/>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2992</Words>
  <Characters>3108</Characters>
  <Lines>0</Lines>
  <Paragraphs>0</Paragraphs>
  <TotalTime>1</TotalTime>
  <ScaleCrop>false</ScaleCrop>
  <LinksUpToDate>false</LinksUpToDate>
  <CharactersWithSpaces>3141</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2024-08-24T04:04:00Z</dcterms:created>
  <dc:creator>WPS_1569903070</dc:creator>
  <cp:lastModifiedBy>user</cp:lastModifiedBy>
  <dcterms:modified xsi:type="dcterms:W3CDTF">2024-08-26T18:35:40Z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EBDCDF295CBD7D56E3B8C666AF048CC8_41</vt:lpwstr>
  </property>
</Properties>
</file>