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</w:rPr>
      </w:pPr>
      <w:r>
        <w:rPr>
          <w:rFonts w:hint="eastAsia"/>
        </w:rPr>
        <w:t>关于《东阳市病死畜禽</w:t>
      </w:r>
      <w:r>
        <w:rPr>
          <w:rFonts w:hint="eastAsia"/>
          <w:lang w:val="en-US" w:eastAsia="zh-CN"/>
        </w:rPr>
        <w:t>集中</w:t>
      </w:r>
      <w:r>
        <w:rPr>
          <w:rFonts w:hint="eastAsia"/>
        </w:rPr>
        <w:t>无害化处理实施方案</w:t>
      </w:r>
      <w:r>
        <w:rPr>
          <w:rFonts w:hint="eastAsia"/>
        </w:rPr>
        <w:t>》的起草说明</w:t>
      </w:r>
    </w:p>
    <w:p>
      <w:pPr>
        <w:ind w:firstLine="640" w:firstLineChars="200"/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  <w:t>为打造与新形势下动物防疫安全、生态环境安全、食品安全和公共卫生安全要求相适应，覆盖畜禽生产经营全环节的高水平无害化处理体系，促进畜牧业高质量发展，结合我市实际，</w:t>
      </w:r>
      <w:r>
        <w:rPr>
          <w:rFonts w:hint="eastAsia" w:ascii="仿宋_GB2312" w:hAnsi="仿宋_GB2312" w:eastAsia="仿宋_GB2312" w:cs="Times New Roman"/>
          <w:color w:val="auto"/>
          <w:sz w:val="32"/>
        </w:rPr>
        <w:t>制定了《东阳市病死畜禽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集中</w:t>
      </w:r>
      <w:r>
        <w:rPr>
          <w:rFonts w:hint="eastAsia" w:ascii="仿宋_GB2312" w:hAnsi="仿宋_GB2312" w:eastAsia="仿宋_GB2312" w:cs="Times New Roman"/>
          <w:color w:val="auto"/>
          <w:sz w:val="32"/>
        </w:rPr>
        <w:t>无害化处理实施方案》</w:t>
      </w: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。</w:t>
      </w: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现将有关情况说明如下: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起草依据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  <w:t>《国务院办公厅关于建立病死畜禽无害化处理机制的意见》（国办发〔2014〕47 号）、《农业农村部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  <w:t>财政部关于进一步加强病死畜禽无害化处理工作的通知》（农牧发〔2020〕6号）、《浙江省农业农村厅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</w:rPr>
        <w:t>浙江省财政厅关于进一步加强病死畜禽无害化处理工作的通知》（浙农牧发〔2020〕23号）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制定的基本情况</w:t>
      </w:r>
    </w:p>
    <w:p>
      <w:pPr>
        <w:widowControl/>
        <w:wordWrap w:val="0"/>
        <w:spacing w:line="560" w:lineRule="atLeast"/>
        <w:ind w:firstLine="614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以科学发展观为指导，按照“政府主导、市场运作，统筹规划、因地制宜，财政补助、保险联动”的原则，建立病死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无害化处理长效机制，促进畜牧业健康发展，维护公共卫生安全，保障人民身体健康。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主要内容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（一）指导思想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以科学发展观为指导，按照“政府主导、市场运作，统筹规划、因地制宜，财政补助、保险联动”的原则，建立病死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无害化处理长效机制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 xml:space="preserve">（二）工作目标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12月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底前完成规模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养殖场及公共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病死畜禽和病害畜禽产品的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暂存点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建设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，同步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构建养殖业主、保险公司、病死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集中无害化处理厂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以下简称动物生态处理中心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三方联动，政府监管的病死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“统一收集、集中处理”病死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畜禽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无害化处理机制和体系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Calibri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（三）工作机制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一是制定操作流程，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形成“场户送交、统一收集、集中处理、全程监管、保险联动”的运行机制；二是明确补助对象及标准。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（四）落实病死畜禽无害化处理责任  明确了市农业农村局、市财政局、各镇乡街道、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  <w:t>动物生态</w:t>
      </w:r>
      <w:r>
        <w:rPr>
          <w:rFonts w:hint="default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  <w:t>处理中心</w:t>
      </w: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  <w:t>和养殖场（户）、屠宰企业的相关责任。</w:t>
      </w:r>
    </w:p>
    <w:p>
      <w:pPr>
        <w:pStyle w:val="2"/>
        <w:numPr>
          <w:numId w:val="0"/>
        </w:numPr>
        <w:ind w:leftChars="200" w:firstLine="320" w:firstLineChars="1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（五）保障机制 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一是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建立健全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机制；二是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建立健全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  <w:t>机制；</w:t>
      </w:r>
    </w:p>
    <w:p>
      <w:pPr>
        <w:numPr>
          <w:numId w:val="0"/>
        </w:numPr>
        <w:ind w:left="630" w:leftChars="0"/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四、提请决策事项</w:t>
      </w:r>
    </w:p>
    <w:p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提请同意关于</w:t>
      </w:r>
      <w:r>
        <w:rPr>
          <w:rFonts w:hint="eastAsia" w:ascii="仿宋_GB2312" w:hAnsi="仿宋_GB2312" w:eastAsia="仿宋_GB2312" w:cs="Times New Roman"/>
          <w:color w:val="auto"/>
          <w:sz w:val="32"/>
        </w:rPr>
        <w:t>《</w:t>
      </w:r>
      <w:r>
        <w:rPr>
          <w:rFonts w:hint="eastAsia" w:ascii="仿宋_GB2312" w:hAnsi="仿宋_GB2312" w:eastAsia="仿宋_GB2312" w:cs="Times New Roman"/>
          <w:color w:val="auto"/>
          <w:sz w:val="32"/>
        </w:rPr>
        <w:t>东阳市病死畜禽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集中</w:t>
      </w:r>
      <w:r>
        <w:rPr>
          <w:rFonts w:hint="eastAsia" w:ascii="仿宋_GB2312" w:hAnsi="仿宋_GB2312" w:eastAsia="仿宋_GB2312" w:cs="Times New Roman"/>
          <w:color w:val="auto"/>
          <w:sz w:val="32"/>
        </w:rPr>
        <w:t>无害化处理实施方案</w:t>
      </w:r>
      <w:r>
        <w:rPr>
          <w:rFonts w:hint="eastAsia" w:ascii="仿宋_GB2312" w:hAnsi="仿宋_GB2312" w:eastAsia="仿宋_GB2312" w:cs="Times New Roman"/>
          <w:color w:val="auto"/>
          <w:sz w:val="32"/>
        </w:rPr>
        <w:t>》</w:t>
      </w: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的通知。</w:t>
      </w:r>
    </w:p>
    <w:p>
      <w:pPr>
        <w:pStyle w:val="2"/>
        <w:numPr>
          <w:numId w:val="0"/>
        </w:numPr>
        <w:ind w:leftChars="200" w:firstLine="320" w:firstLineChars="100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436AA"/>
    <w:multiLevelType w:val="singleLevel"/>
    <w:tmpl w:val="DA6436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4A4A"/>
    <w:rsid w:val="055F66CC"/>
    <w:rsid w:val="67B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asistekst Batenburg"/>
    <w:basedOn w:val="3"/>
    <w:qFormat/>
    <w:uiPriority w:val="0"/>
  </w:style>
  <w:style w:type="paragraph" w:customStyle="1" w:styleId="3">
    <w:name w:val="Zsysbasis Batenburg"/>
    <w:next w:val="2"/>
    <w:qFormat/>
    <w:uiPriority w:val="0"/>
    <w:pPr>
      <w:spacing w:line="300" w:lineRule="atLeast"/>
    </w:pPr>
    <w:rPr>
      <w:rFonts w:ascii="Times New Roman" w:hAnsi="Times New Roman" w:eastAsia="宋体" w:cs="Times New Roman"/>
      <w:sz w:val="22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2023-04-21T07:53:00Z</dcterms:created>
  <dc:creator>徐文君</dc:creator>
  <cp:lastModifiedBy>徐文君</cp:lastModifiedBy>
  <dcterms:modified xsi:type="dcterms:W3CDTF">2023-04-27T06:13:24Z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