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3AA93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p>
    <w:p w14:paraId="2605B1E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eastAsia="zh-CN"/>
        </w:rPr>
        <w:t>开化县关于承接落实推动经济高质量发展</w:t>
      </w:r>
    </w:p>
    <w:p w14:paraId="46EFAC0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eastAsia="zh-CN"/>
        </w:rPr>
        <w:t>若干政策（</w:t>
      </w:r>
      <w:r>
        <w:rPr>
          <w:rFonts w:hint="eastAsia" w:ascii="方正小标宋简体" w:hAnsi="方正小标宋简体" w:eastAsia="方正小标宋简体" w:cs="方正小标宋简体"/>
          <w:color w:val="auto"/>
          <w:sz w:val="44"/>
          <w:szCs w:val="44"/>
          <w:lang w:val="en-US" w:eastAsia="zh-CN"/>
        </w:rPr>
        <w:t>2025年版）</w:t>
      </w:r>
      <w:r>
        <w:rPr>
          <w:rFonts w:hint="eastAsia" w:ascii="方正小标宋简体" w:hAnsi="方正小标宋简体" w:eastAsia="方正小标宋简体" w:cs="方正小标宋简体"/>
          <w:color w:val="auto"/>
          <w:sz w:val="44"/>
          <w:szCs w:val="44"/>
          <w:lang w:eastAsia="zh-CN"/>
        </w:rPr>
        <w:t>的实施方案</w:t>
      </w:r>
    </w:p>
    <w:p w14:paraId="5898EE1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方正小标宋简体" w:hAnsi="方正小标宋简体" w:eastAsia="方正小标宋简体" w:cs="方正小标宋简体"/>
          <w:color w:val="auto"/>
          <w:sz w:val="44"/>
          <w:szCs w:val="44"/>
          <w:lang w:val="en-US" w:eastAsia="zh-CN"/>
        </w:rPr>
      </w:pPr>
      <w:r>
        <w:rPr>
          <w:rFonts w:hint="eastAsia" w:ascii="楷体_GB2312" w:hAnsi="楷体_GB2312" w:eastAsia="楷体_GB2312" w:cs="楷体_GB2312"/>
          <w:color w:val="auto"/>
          <w:sz w:val="32"/>
          <w:szCs w:val="32"/>
          <w:lang w:val="en-US" w:eastAsia="zh-CN"/>
        </w:rPr>
        <w:t>（征求意见稿）</w:t>
      </w:r>
      <w:bookmarkStart w:id="0" w:name="_GoBack"/>
      <w:bookmarkEnd w:id="0"/>
    </w:p>
    <w:p w14:paraId="2E24236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lang w:eastAsia="zh-CN"/>
        </w:rPr>
      </w:pPr>
    </w:p>
    <w:p w14:paraId="37E944B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为深入贯彻落实中央、省委经济工作会议精神，进一步承接落实好省“</w:t>
      </w:r>
      <w:r>
        <w:rPr>
          <w:rFonts w:hint="eastAsia" w:ascii="仿宋_GB2312" w:hAnsi="仿宋_GB2312" w:eastAsia="仿宋_GB2312" w:cs="仿宋_GB2312"/>
          <w:color w:val="auto"/>
          <w:sz w:val="32"/>
          <w:szCs w:val="32"/>
          <w:lang w:val="en-US" w:eastAsia="zh-CN"/>
        </w:rPr>
        <w:t>8+4”经济政策体系，提振市场信心，推动经济持续向好，</w:t>
      </w:r>
      <w:r>
        <w:rPr>
          <w:rStyle w:val="8"/>
          <w:rFonts w:hint="eastAsia" w:ascii="仿宋_GB2312" w:hAnsi="仿宋_GB2312" w:eastAsia="仿宋_GB2312" w:cs="仿宋_GB2312"/>
          <w:color w:val="auto"/>
          <w:sz w:val="32"/>
          <w:szCs w:val="32"/>
          <w:u w:val="none"/>
          <w:lang w:val="en-US" w:eastAsia="zh-CN" w:bidi="ar"/>
        </w:rPr>
        <w:t>根据《浙江省人民政府印发关于推动经济高质量发展若干政策（2025 年版）的通知》（浙政发〔2025〕3号）</w:t>
      </w:r>
      <w:r>
        <w:rPr>
          <w:rStyle w:val="8"/>
          <w:rFonts w:ascii="Times New Roman" w:hAnsi="Times New Roman" w:eastAsia="仿宋_GB2312"/>
          <w:color w:val="auto"/>
          <w:sz w:val="32"/>
          <w:szCs w:val="32"/>
          <w:u w:val="none"/>
          <w:lang w:val="en-US" w:eastAsia="zh-CN" w:bidi="ar"/>
        </w:rPr>
        <w:t>等文件精神，</w:t>
      </w:r>
      <w:r>
        <w:rPr>
          <w:rFonts w:hint="eastAsia" w:ascii="仿宋_GB2312" w:hAnsi="仿宋_GB2312" w:eastAsia="仿宋_GB2312" w:cs="仿宋_GB2312"/>
          <w:color w:val="auto"/>
          <w:sz w:val="32"/>
          <w:szCs w:val="32"/>
          <w:lang w:val="en-US" w:eastAsia="zh-CN"/>
        </w:rPr>
        <w:t>结合我县实际情况，制定以下政策实施方案。</w:t>
      </w:r>
    </w:p>
    <w:p w14:paraId="0C5B156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一、推进教育科技人才一体发展（由科创中心牵头）</w:t>
      </w:r>
    </w:p>
    <w:p w14:paraId="78A48DF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聚焦教育科技人才一体改革发展，重点支持研发能力较强的企业争取省“双尖双领+X”重大科技项目，支持龙头企业建设省级制造业创新中心，鼓励链主企业联合高校院所、上下游优势企业组建省级创新联合体，以科技创新赋能产业高质量发展。2025年，县财政预算安排2440余万元，其中与高校共建研究院建设资金60余万元、人才政策兑现项目资金1860余万元、关键技术攻关资金320余万元、平台建设资金200万元。</w:t>
      </w:r>
    </w:p>
    <w:p w14:paraId="6F36B8D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sz w:val="32"/>
          <w:szCs w:val="32"/>
          <w:lang w:val="en-US" w:eastAsia="zh-CN"/>
        </w:rPr>
        <w:t>（一）推动高能级科创平台提质增效。</w:t>
      </w:r>
      <w:r>
        <w:rPr>
          <w:rFonts w:hint="eastAsia" w:ascii="仿宋_GB2312" w:hAnsi="仿宋_GB2312" w:eastAsia="仿宋_GB2312" w:cs="仿宋_GB2312"/>
          <w:color w:val="auto"/>
          <w:sz w:val="32"/>
          <w:szCs w:val="32"/>
          <w:lang w:val="en-US" w:eastAsia="zh-CN"/>
        </w:rPr>
        <w:t>推动建立“平台+高校+企业+产业链”结对合作机制。扎实推进全省功能性糖醇绿色生物制造重点实验室建设，全力支持符合条件的龙头企业争创省级制造业创新中心。（责任单位：县科创中心、县经信局）</w:t>
      </w:r>
    </w:p>
    <w:p w14:paraId="65602F2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sz w:val="32"/>
          <w:szCs w:val="32"/>
          <w:lang w:val="en-US" w:eastAsia="zh-CN"/>
        </w:rPr>
        <w:t>（二）支持全链条关键核心技术攻关。</w:t>
      </w:r>
      <w:r>
        <w:rPr>
          <w:rFonts w:hint="eastAsia" w:ascii="仿宋_GB2312" w:hAnsi="仿宋_GB2312" w:eastAsia="仿宋_GB2312" w:cs="仿宋_GB2312"/>
          <w:color w:val="auto"/>
          <w:sz w:val="32"/>
          <w:szCs w:val="32"/>
          <w:lang w:val="en-US" w:eastAsia="zh-CN"/>
        </w:rPr>
        <w:t>围绕“618”现代产业体系，深化“需求凝练、指南编制、项目攻关、成果转化”技术攻关全流程帮扶机制，支持企业与高校院所合作，承担实施重大科技计划项目，集中力量攻克一批产业关键核心技术。积极组织研发能力较强的企业申报，力争新立项省“双尖双领+X”重大科技项目1项以上。鼓励链主企业在牵头组建市级创新联合体的基础上，联合高校院所、上下游优势企业谋划组建省级创新联合体。（责任单位：县科创中心、县经信局）</w:t>
      </w:r>
    </w:p>
    <w:p w14:paraId="0D5001C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（三）推进科技领域重大项目建设。</w:t>
      </w:r>
      <w:r>
        <w:rPr>
          <w:rFonts w:hint="eastAsia" w:ascii="仿宋_GB2312" w:hAnsi="仿宋_GB2312" w:eastAsia="仿宋_GB2312" w:cs="仿宋_GB2312"/>
          <w:color w:val="auto"/>
          <w:sz w:val="32"/>
          <w:szCs w:val="32"/>
          <w:lang w:val="en-US" w:eastAsia="zh-CN"/>
        </w:rPr>
        <w:t>进一步谋划和挖掘新的科创强基项目，加快在库的“开化龙顶三茶融合创新园”科创强基项目建设进度，尽快竣工并投产。</w:t>
      </w:r>
      <w:r>
        <w:rPr>
          <w:rFonts w:hint="eastAsia" w:ascii="楷体_GB2312" w:hAnsi="楷体_GB2312" w:eastAsia="楷体_GB2312" w:cs="楷体_GB2312"/>
          <w:color w:val="auto"/>
          <w:sz w:val="32"/>
          <w:szCs w:val="32"/>
          <w:lang w:val="en-US" w:eastAsia="zh-CN"/>
        </w:rPr>
        <w:t>（责任单位：县科创中心、县两山集团）</w:t>
      </w:r>
    </w:p>
    <w:p w14:paraId="01FCADC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sz w:val="32"/>
          <w:szCs w:val="32"/>
          <w:lang w:val="en-US" w:eastAsia="zh-CN"/>
        </w:rPr>
        <w:t>（四）强化科技金融支撑保障。</w:t>
      </w:r>
      <w:r>
        <w:rPr>
          <w:rFonts w:hint="eastAsia" w:ascii="仿宋_GB2312" w:hAnsi="仿宋_GB2312" w:eastAsia="仿宋_GB2312" w:cs="仿宋_GB2312"/>
          <w:color w:val="auto"/>
          <w:sz w:val="32"/>
          <w:szCs w:val="32"/>
          <w:lang w:val="en-US" w:eastAsia="zh-CN"/>
        </w:rPr>
        <w:t>扎实推进人才科创基金组建。对县政策性融资担保机构进行担保业务补助、费率补助、风险补偿，引导政策性融资担保体系发挥对小微企业贷款增信作用，力争全年政策性融资担保机构在保余额达到5亿元，年平均担保费率持续保持0.8%以下。</w:t>
      </w:r>
      <w:r>
        <w:rPr>
          <w:rFonts w:hint="eastAsia" w:ascii="楷体_GB2312" w:hAnsi="楷体_GB2312" w:eastAsia="楷体_GB2312" w:cs="楷体_GB2312"/>
          <w:color w:val="auto"/>
          <w:sz w:val="32"/>
          <w:szCs w:val="32"/>
          <w:lang w:val="en-US" w:eastAsia="zh-CN"/>
        </w:rPr>
        <w:t>（责任单位：县国资中心、县金融监管局、县金融服务中心）</w:t>
      </w:r>
    </w:p>
    <w:p w14:paraId="0F19472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auto"/>
          <w:kern w:val="2"/>
          <w:sz w:val="32"/>
          <w:szCs w:val="32"/>
          <w:lang w:val="en-US" w:eastAsia="zh-CN" w:bidi="ar-SA"/>
        </w:rPr>
      </w:pPr>
      <w:r>
        <w:rPr>
          <w:rFonts w:hint="eastAsia" w:ascii="楷体_GB2312" w:hAnsi="楷体_GB2312" w:eastAsia="楷体_GB2312" w:cs="楷体_GB2312"/>
          <w:color w:val="auto"/>
          <w:sz w:val="32"/>
          <w:szCs w:val="32"/>
          <w:lang w:val="en-US" w:eastAsia="zh-CN"/>
        </w:rPr>
        <w:t>（五）打通人才有序流动通道。</w:t>
      </w:r>
      <w:r>
        <w:rPr>
          <w:rFonts w:hint="eastAsia" w:ascii="仿宋_GB2312" w:hAnsi="仿宋_GB2312" w:eastAsia="仿宋_GB2312" w:cs="仿宋_GB2312"/>
          <w:color w:val="auto"/>
          <w:sz w:val="32"/>
          <w:szCs w:val="32"/>
          <w:lang w:val="en-US" w:eastAsia="zh-CN"/>
        </w:rPr>
        <w:t>深化“双招双引”，加强人才发展集团市场化配置，持续加大对“南孔精英”创业人才项目招引力度，取消各类人才计划对社保、户籍等限制，更大力度支持企业柔性引才。加快推进科技企业孵化器、众创空间等科创孵化平台建设，为人才项目落地中试、投产提供保障。丰富“贷、投、保、担”金融工具体系，为人才项目落地成长提供支撑。全面落实《促进人才交流共享推进教育科技人才一体化发展的若干意见》，探索建立“科技副总”“产业教授”“特派工程师”“青年访问学者”等机制。依托“县领导挂联高校”机制，吸引专家教授带资金、带团队到开化开展兼职创业、离岗创业等活动。支持企业密切对接衢州学院、浙大衢州“两院”等平台，有效承接平台成果转化。</w:t>
      </w:r>
      <w:r>
        <w:rPr>
          <w:rFonts w:hint="eastAsia" w:ascii="楷体_GB2312" w:hAnsi="楷体_GB2312" w:eastAsia="楷体_GB2312" w:cs="楷体_GB2312"/>
          <w:color w:val="auto"/>
          <w:sz w:val="32"/>
          <w:szCs w:val="32"/>
          <w:lang w:val="en-US" w:eastAsia="zh-CN"/>
        </w:rPr>
        <w:t>（责任单位：县委组织部、县科创中心、县金融监管支局）</w:t>
      </w:r>
    </w:p>
    <w:p w14:paraId="3DC40E1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kern w:val="2"/>
          <w:sz w:val="32"/>
          <w:szCs w:val="32"/>
          <w:lang w:val="en-US" w:eastAsia="zh-CN" w:bidi="ar-SA"/>
        </w:rPr>
        <w:t>二、</w:t>
      </w:r>
      <w:r>
        <w:rPr>
          <w:rFonts w:hint="eastAsia" w:ascii="黑体" w:hAnsi="黑体" w:eastAsia="黑体" w:cs="黑体"/>
          <w:color w:val="auto"/>
          <w:sz w:val="32"/>
          <w:szCs w:val="32"/>
          <w:lang w:val="en-US" w:eastAsia="zh-CN"/>
        </w:rPr>
        <w:t>加快先进制造业发展（由经信局牵头）</w:t>
      </w:r>
    </w:p>
    <w:p w14:paraId="61E63441">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深入实施“415X”先进制造业集群培育工程，加快构建开化特色现代化产业体系。2025年，县财政预算安排1.64亿元支持制造业高质量发展，支持企业做强做大、加大项目投资补助、支持企业开展技术改造、推广应用“专精特新”企业培育、对规上企业上台阶给予一定财政补助等。全县规上工业</w:t>
      </w:r>
      <w:r>
        <w:rPr>
          <w:rFonts w:hint="eastAsia" w:ascii="仿宋_GB2312" w:hAnsi="仿宋_GB2312" w:eastAsia="仿宋_GB2312" w:cs="仿宋_GB2312"/>
          <w:i w:val="0"/>
          <w:iCs w:val="0"/>
          <w:caps w:val="0"/>
          <w:color w:val="auto"/>
          <w:spacing w:val="0"/>
          <w:sz w:val="32"/>
          <w:szCs w:val="32"/>
          <w:shd w:val="clear" w:fill="FFFFFF"/>
          <w:lang w:eastAsia="zh-CN"/>
        </w:rPr>
        <w:t>总</w:t>
      </w:r>
      <w:r>
        <w:rPr>
          <w:rFonts w:hint="eastAsia" w:ascii="仿宋_GB2312" w:hAnsi="仿宋_GB2312" w:eastAsia="仿宋_GB2312" w:cs="仿宋_GB2312"/>
          <w:i w:val="0"/>
          <w:iCs w:val="0"/>
          <w:caps w:val="0"/>
          <w:color w:val="auto"/>
          <w:spacing w:val="0"/>
          <w:sz w:val="32"/>
          <w:szCs w:val="32"/>
          <w:shd w:val="clear" w:fill="FFFFFF"/>
        </w:rPr>
        <w:t>产值、规上工业增加值增长10%，制造业投资增长18%。争创省级制造业中试平台1个，新增高新技术企业10家。</w:t>
      </w:r>
    </w:p>
    <w:p w14:paraId="3EE1653F">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eastAsia" w:ascii="楷体_GB2312" w:hAnsi="楷体_GB2312" w:eastAsia="楷体_GB2312" w:cs="楷体_GB2312"/>
          <w:color w:val="auto"/>
          <w:sz w:val="32"/>
          <w:szCs w:val="32"/>
          <w:lang w:val="en-US" w:eastAsia="zh-CN"/>
        </w:rPr>
        <w:t>（六）因地制宜布局新质生产力产业赛道。</w:t>
      </w:r>
      <w:r>
        <w:rPr>
          <w:rFonts w:hint="default" w:ascii="Times New Roman" w:hAnsi="Times New Roman" w:eastAsia="仿宋_GB2312" w:cs="Times New Roman"/>
          <w:color w:val="auto"/>
          <w:sz w:val="32"/>
          <w:szCs w:val="32"/>
          <w:lang w:val="en-US" w:eastAsia="zh-CN"/>
        </w:rPr>
        <w:t>聚焦</w:t>
      </w:r>
      <w:r>
        <w:rPr>
          <w:rFonts w:hint="eastAsia" w:ascii="Times New Roman" w:hAnsi="Times New Roman" w:eastAsia="仿宋_GB2312" w:cs="Times New Roman"/>
          <w:color w:val="auto"/>
          <w:sz w:val="32"/>
          <w:szCs w:val="32"/>
          <w:lang w:val="en-US" w:eastAsia="zh-CN"/>
        </w:rPr>
        <w:t>精细化工</w:t>
      </w:r>
      <w:r>
        <w:rPr>
          <w:rFonts w:hint="default" w:ascii="Times New Roman" w:hAnsi="Times New Roman"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lang w:val="en-US" w:eastAsia="zh-CN"/>
        </w:rPr>
        <w:t>林产化工、密胺塑料</w:t>
      </w:r>
      <w:r>
        <w:rPr>
          <w:rFonts w:hint="default" w:ascii="Times New Roman" w:hAnsi="Times New Roman" w:eastAsia="仿宋_GB2312" w:cs="Times New Roman"/>
          <w:color w:val="auto"/>
          <w:sz w:val="32"/>
          <w:szCs w:val="32"/>
          <w:lang w:val="en-US" w:eastAsia="zh-CN"/>
        </w:rPr>
        <w:t>等赛道，加快传统产业改造提升。聚焦</w:t>
      </w:r>
      <w:r>
        <w:rPr>
          <w:rFonts w:hint="eastAsia" w:ascii="Times New Roman" w:hAnsi="Times New Roman" w:eastAsia="仿宋_GB2312" w:cs="Times New Roman"/>
          <w:color w:val="auto"/>
          <w:sz w:val="32"/>
          <w:szCs w:val="32"/>
          <w:lang w:val="en-US" w:eastAsia="zh-CN"/>
        </w:rPr>
        <w:t>半导体</w:t>
      </w:r>
      <w:r>
        <w:rPr>
          <w:rFonts w:hint="default" w:ascii="Times New Roman" w:hAnsi="Times New Roman"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lang w:val="en-US" w:eastAsia="zh-CN"/>
        </w:rPr>
        <w:t>磁性材料</w:t>
      </w:r>
      <w:r>
        <w:rPr>
          <w:rFonts w:hint="default" w:ascii="Times New Roman" w:hAnsi="Times New Roman" w:eastAsia="仿宋_GB2312" w:cs="Times New Roman"/>
          <w:color w:val="auto"/>
          <w:sz w:val="32"/>
          <w:szCs w:val="32"/>
          <w:lang w:val="en-US" w:eastAsia="zh-CN"/>
        </w:rPr>
        <w:t>等赛道，推动新兴产业培育壮大。聚焦</w:t>
      </w:r>
      <w:r>
        <w:rPr>
          <w:rFonts w:hint="eastAsia" w:ascii="Times New Roman" w:hAnsi="Times New Roman" w:eastAsia="仿宋_GB2312" w:cs="Times New Roman"/>
          <w:color w:val="auto"/>
          <w:sz w:val="32"/>
          <w:szCs w:val="32"/>
          <w:lang w:val="en-US" w:eastAsia="zh-CN"/>
        </w:rPr>
        <w:t>合成生物</w:t>
      </w:r>
      <w:r>
        <w:rPr>
          <w:rFonts w:hint="default" w:ascii="Times New Roman" w:hAnsi="Times New Roman" w:eastAsia="仿宋_GB2312" w:cs="Times New Roman"/>
          <w:color w:val="auto"/>
          <w:sz w:val="32"/>
          <w:szCs w:val="32"/>
          <w:lang w:val="en-US" w:eastAsia="zh-CN"/>
        </w:rPr>
        <w:t>、低空经济等赛道，加快未来产业前瞻性布局。</w:t>
      </w:r>
      <w:r>
        <w:rPr>
          <w:rFonts w:hint="eastAsia" w:ascii="Times New Roman" w:hAnsi="Times New Roman" w:eastAsia="仿宋_GB2312" w:cs="Times New Roman"/>
          <w:color w:val="auto"/>
          <w:sz w:val="32"/>
          <w:szCs w:val="32"/>
          <w:lang w:val="en-US" w:eastAsia="zh-CN"/>
        </w:rPr>
        <w:t>全力争取</w:t>
      </w:r>
      <w:r>
        <w:rPr>
          <w:rFonts w:hint="default" w:ascii="Times New Roman" w:hAnsi="Times New Roman" w:eastAsia="仿宋_GB2312" w:cs="Times New Roman"/>
          <w:color w:val="auto"/>
          <w:sz w:val="32"/>
          <w:szCs w:val="32"/>
          <w:lang w:val="en-US" w:eastAsia="zh-CN"/>
        </w:rPr>
        <w:t>省财政</w:t>
      </w:r>
      <w:r>
        <w:rPr>
          <w:rFonts w:hint="eastAsia" w:ascii="Times New Roman" w:hAnsi="Times New Roman" w:eastAsia="仿宋_GB2312" w:cs="Times New Roman"/>
          <w:color w:val="auto"/>
          <w:sz w:val="32"/>
          <w:szCs w:val="32"/>
          <w:lang w:val="en-US" w:eastAsia="zh-CN"/>
        </w:rPr>
        <w:t>专项资金支持，申报</w:t>
      </w:r>
      <w:r>
        <w:rPr>
          <w:rFonts w:hint="default" w:ascii="Times New Roman" w:hAnsi="Times New Roman" w:eastAsia="仿宋_GB2312" w:cs="Times New Roman"/>
          <w:color w:val="auto"/>
          <w:sz w:val="32"/>
          <w:szCs w:val="32"/>
          <w:lang w:val="en-US" w:eastAsia="zh-CN"/>
        </w:rPr>
        <w:t>新兴产业集群强链补链新质生产力项目</w:t>
      </w:r>
      <w:r>
        <w:rPr>
          <w:rFonts w:hint="eastAsia" w:ascii="Times New Roman" w:hAnsi="Times New Roman" w:eastAsia="仿宋_GB2312" w:cs="Times New Roman"/>
          <w:color w:val="auto"/>
          <w:sz w:val="32"/>
          <w:szCs w:val="32"/>
          <w:lang w:val="en-US" w:eastAsia="zh-CN"/>
        </w:rPr>
        <w:t>2个</w:t>
      </w:r>
      <w:r>
        <w:rPr>
          <w:rFonts w:hint="default" w:ascii="Times New Roman" w:hAnsi="Times New Roman" w:eastAsia="仿宋_GB2312" w:cs="Times New Roman"/>
          <w:color w:val="auto"/>
          <w:sz w:val="32"/>
          <w:szCs w:val="32"/>
          <w:lang w:val="en-US" w:eastAsia="zh-CN"/>
        </w:rPr>
        <w:t>。做强做大</w:t>
      </w:r>
      <w:r>
        <w:rPr>
          <w:rFonts w:hint="eastAsia" w:ascii="Times New Roman" w:hAnsi="Times New Roman" w:eastAsia="仿宋_GB2312" w:cs="Times New Roman"/>
          <w:color w:val="auto"/>
          <w:sz w:val="32"/>
          <w:szCs w:val="32"/>
          <w:lang w:val="en-US" w:eastAsia="zh-CN"/>
        </w:rPr>
        <w:t>历史经典</w:t>
      </w:r>
      <w:r>
        <w:rPr>
          <w:rFonts w:hint="default" w:ascii="Times New Roman" w:hAnsi="Times New Roman" w:eastAsia="仿宋_GB2312" w:cs="Times New Roman"/>
          <w:color w:val="auto"/>
          <w:sz w:val="32"/>
          <w:szCs w:val="32"/>
          <w:lang w:val="en-US" w:eastAsia="zh-CN"/>
        </w:rPr>
        <w:t>产业</w:t>
      </w:r>
      <w:r>
        <w:rPr>
          <w:rFonts w:hint="eastAsia" w:ascii="Times New Roman" w:hAnsi="Times New Roman" w:eastAsia="仿宋_GB2312" w:cs="Times New Roman"/>
          <w:color w:val="auto"/>
          <w:sz w:val="32"/>
          <w:szCs w:val="32"/>
          <w:lang w:val="en-US" w:eastAsia="zh-CN"/>
        </w:rPr>
        <w:t>，力争创建</w:t>
      </w:r>
      <w:r>
        <w:rPr>
          <w:rFonts w:hint="default" w:ascii="Times New Roman" w:hAnsi="Times New Roman" w:eastAsia="仿宋_GB2312" w:cs="Times New Roman"/>
          <w:color w:val="auto"/>
          <w:sz w:val="32"/>
          <w:szCs w:val="32"/>
          <w:lang w:val="en-US" w:eastAsia="zh-CN"/>
        </w:rPr>
        <w:t>省级传承创新工作室</w:t>
      </w:r>
      <w:r>
        <w:rPr>
          <w:rFonts w:hint="eastAsia"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lang w:val="en-US" w:eastAsia="zh-CN"/>
        </w:rPr>
        <w:t>家</w:t>
      </w:r>
      <w:r>
        <w:rPr>
          <w:rFonts w:hint="eastAsia" w:ascii="Times New Roman" w:hAnsi="Times New Roman" w:eastAsia="仿宋_GB2312" w:cs="Times New Roman"/>
          <w:color w:val="auto"/>
          <w:sz w:val="32"/>
          <w:szCs w:val="32"/>
          <w:lang w:val="en-US" w:eastAsia="zh-CN"/>
        </w:rPr>
        <w:t>，争创历史经典产业核心区协同区</w:t>
      </w:r>
      <w:r>
        <w:rPr>
          <w:rFonts w:hint="default" w:ascii="Times New Roman" w:hAnsi="Times New Roman" w:eastAsia="仿宋_GB2312" w:cs="Times New Roman"/>
          <w:color w:val="auto"/>
          <w:sz w:val="32"/>
          <w:szCs w:val="32"/>
          <w:lang w:val="en-US" w:eastAsia="zh-CN"/>
        </w:rPr>
        <w:t>。</w:t>
      </w:r>
      <w:r>
        <w:rPr>
          <w:rFonts w:hint="eastAsia" w:ascii="楷体_GB2312" w:hAnsi="楷体_GB2312" w:eastAsia="楷体_GB2312" w:cs="楷体_GB2312"/>
          <w:color w:val="auto"/>
          <w:sz w:val="32"/>
          <w:szCs w:val="32"/>
          <w:lang w:val="en-US" w:eastAsia="zh-CN"/>
        </w:rPr>
        <w:t>（责任单位：县经信局）</w:t>
      </w:r>
    </w:p>
    <w:p w14:paraId="040266E6">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楷体_GB2312" w:hAnsi="楷体_GB2312" w:eastAsia="楷体_GB2312" w:cs="楷体_GB2312"/>
          <w:color w:val="auto"/>
          <w:sz w:val="32"/>
          <w:szCs w:val="32"/>
          <w:lang w:val="en-US" w:eastAsia="zh-CN"/>
        </w:rPr>
      </w:pPr>
      <w:r>
        <w:rPr>
          <w:rFonts w:hint="default" w:ascii="楷体_GB2312" w:hAnsi="楷体_GB2312" w:eastAsia="楷体_GB2312" w:cs="楷体_GB2312"/>
          <w:color w:val="auto"/>
          <w:sz w:val="32"/>
          <w:szCs w:val="32"/>
          <w:lang w:val="en-US" w:eastAsia="zh-CN"/>
        </w:rPr>
        <w:t>（</w:t>
      </w:r>
      <w:r>
        <w:rPr>
          <w:rFonts w:hint="eastAsia" w:ascii="楷体_GB2312" w:hAnsi="楷体_GB2312" w:eastAsia="楷体_GB2312" w:cs="楷体_GB2312"/>
          <w:color w:val="auto"/>
          <w:sz w:val="32"/>
          <w:szCs w:val="32"/>
          <w:lang w:val="en-US" w:eastAsia="zh-CN"/>
        </w:rPr>
        <w:t>七</w:t>
      </w:r>
      <w:r>
        <w:rPr>
          <w:rFonts w:hint="default" w:ascii="楷体_GB2312" w:hAnsi="楷体_GB2312" w:eastAsia="楷体_GB2312" w:cs="楷体_GB2312"/>
          <w:color w:val="auto"/>
          <w:sz w:val="32"/>
          <w:szCs w:val="32"/>
          <w:lang w:val="en-US" w:eastAsia="zh-CN"/>
        </w:rPr>
        <w:t>）支持推动工业领域设备更新和技术改造。</w:t>
      </w:r>
      <w:r>
        <w:rPr>
          <w:rFonts w:hint="eastAsia" w:ascii="Times New Roman" w:hAnsi="Times New Roman" w:eastAsia="仿宋_GB2312" w:cs="Times New Roman"/>
          <w:color w:val="auto"/>
          <w:sz w:val="32"/>
          <w:szCs w:val="32"/>
          <w:lang w:val="en-US" w:eastAsia="zh-CN"/>
        </w:rPr>
        <w:t>积极争取</w:t>
      </w:r>
      <w:r>
        <w:rPr>
          <w:rFonts w:hint="default" w:ascii="Times New Roman" w:hAnsi="Times New Roman" w:eastAsia="仿宋_GB2312" w:cs="Times New Roman"/>
          <w:color w:val="auto"/>
          <w:sz w:val="32"/>
          <w:szCs w:val="32"/>
          <w:lang w:val="en-US" w:eastAsia="zh-CN"/>
        </w:rPr>
        <w:t xml:space="preserve">省 </w:t>
      </w:r>
      <w:r>
        <w:rPr>
          <w:rFonts w:hint="eastAsia" w:ascii="Times New Roman" w:hAnsi="Times New Roman" w:eastAsia="仿宋_GB2312" w:cs="Times New Roman"/>
          <w:color w:val="auto"/>
          <w:sz w:val="32"/>
          <w:szCs w:val="32"/>
          <w:lang w:val="en-US" w:eastAsia="zh-CN"/>
        </w:rPr>
        <w:t>工业专项资金支持</w:t>
      </w:r>
      <w:r>
        <w:rPr>
          <w:rFonts w:hint="default" w:ascii="Times New Roman" w:hAnsi="Times New Roman"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lang w:val="en-US" w:eastAsia="zh-CN"/>
        </w:rPr>
        <w:t>列入省</w:t>
      </w:r>
      <w:r>
        <w:rPr>
          <w:rFonts w:hint="default" w:ascii="Times New Roman" w:hAnsi="Times New Roman" w:eastAsia="仿宋_GB2312" w:cs="Times New Roman"/>
          <w:color w:val="auto"/>
          <w:sz w:val="32"/>
          <w:szCs w:val="32"/>
          <w:lang w:val="en-US" w:eastAsia="zh-CN"/>
        </w:rPr>
        <w:t>工业重点行业设备更新示范</w:t>
      </w:r>
      <w:r>
        <w:rPr>
          <w:rFonts w:hint="eastAsia" w:ascii="Times New Roman" w:hAnsi="Times New Roman" w:eastAsia="仿宋_GB2312" w:cs="Times New Roman"/>
          <w:color w:val="auto"/>
          <w:sz w:val="32"/>
          <w:szCs w:val="32"/>
          <w:lang w:val="en-US" w:eastAsia="zh-CN"/>
        </w:rPr>
        <w:t>计划</w:t>
      </w:r>
      <w:r>
        <w:rPr>
          <w:rFonts w:hint="default" w:ascii="Times New Roman" w:hAnsi="Times New Roman" w:eastAsia="仿宋_GB2312" w:cs="Times New Roman"/>
          <w:color w:val="auto"/>
          <w:sz w:val="32"/>
          <w:szCs w:val="32"/>
          <w:lang w:val="en-US" w:eastAsia="zh-CN"/>
        </w:rPr>
        <w:t>项目</w:t>
      </w:r>
      <w:r>
        <w:rPr>
          <w:rFonts w:hint="eastAsia" w:ascii="Times New Roman" w:hAnsi="Times New Roman" w:eastAsia="仿宋_GB2312" w:cs="Times New Roman"/>
          <w:color w:val="auto"/>
          <w:sz w:val="32"/>
          <w:szCs w:val="32"/>
          <w:lang w:val="en-US" w:eastAsia="zh-CN"/>
        </w:rPr>
        <w:t>3个，争取省级专项资金900万元以上</w:t>
      </w:r>
      <w:r>
        <w:rPr>
          <w:rFonts w:hint="default" w:ascii="Times New Roman" w:hAnsi="Times New Roman" w:eastAsia="仿宋_GB2312" w:cs="Times New Roman"/>
          <w:color w:val="auto"/>
          <w:sz w:val="32"/>
          <w:szCs w:val="32"/>
          <w:lang w:val="en-US" w:eastAsia="zh-CN"/>
        </w:rPr>
        <w:t>。发挥技术改造和设备更新再贷款金融工具引导，融资租赁支持设备更新投放超</w:t>
      </w:r>
      <w:r>
        <w:rPr>
          <w:rFonts w:hint="eastAsia" w:ascii="Times New Roman" w:hAnsi="Times New Roman" w:eastAsia="仿宋_GB2312" w:cs="Times New Roman"/>
          <w:color w:val="auto"/>
          <w:sz w:val="32"/>
          <w:szCs w:val="32"/>
          <w:lang w:val="en-US" w:eastAsia="zh-CN"/>
        </w:rPr>
        <w:t>5600万元</w:t>
      </w:r>
      <w:r>
        <w:rPr>
          <w:rFonts w:hint="default" w:ascii="Times New Roman" w:hAnsi="Times New Roman" w:eastAsia="仿宋_GB2312" w:cs="Times New Roman"/>
          <w:color w:val="auto"/>
          <w:sz w:val="32"/>
          <w:szCs w:val="32"/>
          <w:lang w:val="en-US" w:eastAsia="zh-CN"/>
        </w:rPr>
        <w:t>。</w:t>
      </w:r>
      <w:r>
        <w:rPr>
          <w:rFonts w:hint="eastAsia" w:ascii="楷体_GB2312" w:hAnsi="楷体_GB2312" w:eastAsia="楷体_GB2312" w:cs="楷体_GB2312"/>
          <w:color w:val="auto"/>
          <w:sz w:val="32"/>
          <w:szCs w:val="32"/>
          <w:lang w:val="en-US" w:eastAsia="zh-CN"/>
        </w:rPr>
        <w:t>（责任单位：县经信局、县金融服务中心）</w:t>
      </w:r>
    </w:p>
    <w:p w14:paraId="124AB6C1">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i w:val="0"/>
          <w:iCs w:val="0"/>
          <w:caps w:val="0"/>
          <w:color w:val="auto"/>
          <w:spacing w:val="0"/>
          <w:sz w:val="32"/>
          <w:szCs w:val="32"/>
          <w:shd w:val="clear" w:fill="FFFFFF"/>
        </w:rPr>
        <w:t>（</w:t>
      </w:r>
      <w:r>
        <w:rPr>
          <w:rFonts w:hint="eastAsia" w:ascii="楷体_GB2312" w:hAnsi="楷体_GB2312" w:eastAsia="楷体_GB2312" w:cs="楷体_GB2312"/>
          <w:i w:val="0"/>
          <w:iCs w:val="0"/>
          <w:caps w:val="0"/>
          <w:color w:val="auto"/>
          <w:spacing w:val="0"/>
          <w:sz w:val="32"/>
          <w:szCs w:val="32"/>
          <w:shd w:val="clear" w:fill="FFFFFF"/>
          <w:lang w:eastAsia="zh-CN"/>
        </w:rPr>
        <w:t>八</w:t>
      </w:r>
      <w:r>
        <w:rPr>
          <w:rFonts w:hint="eastAsia" w:ascii="楷体_GB2312" w:hAnsi="楷体_GB2312" w:eastAsia="楷体_GB2312" w:cs="楷体_GB2312"/>
          <w:i w:val="0"/>
          <w:iCs w:val="0"/>
          <w:caps w:val="0"/>
          <w:color w:val="auto"/>
          <w:spacing w:val="0"/>
          <w:sz w:val="32"/>
          <w:szCs w:val="32"/>
          <w:shd w:val="clear" w:fill="FFFFFF"/>
        </w:rPr>
        <w:t>）支持企业加大研发投入。</w:t>
      </w:r>
      <w:r>
        <w:rPr>
          <w:rFonts w:hint="eastAsia" w:ascii="仿宋_GB2312" w:hAnsi="仿宋_GB2312" w:eastAsia="仿宋_GB2312" w:cs="仿宋_GB2312"/>
          <w:i w:val="0"/>
          <w:iCs w:val="0"/>
          <w:caps w:val="0"/>
          <w:color w:val="auto"/>
          <w:spacing w:val="0"/>
          <w:sz w:val="32"/>
          <w:szCs w:val="32"/>
          <w:shd w:val="clear" w:fill="FFFFFF"/>
        </w:rPr>
        <w:t>落实新出台的工业政策，做好研发费政策宣传及兑现工作，同时深化企业梯度培育，逐步将优质企业往高新技术企业方面发展，2025年度力争新增国家高新技术企业10家。落实研发费“清零”“提升”行动，引导企业按要求逐步加大研发，2025年度规上工业企业研发费占营收比重达3%以上。</w:t>
      </w:r>
      <w:r>
        <w:rPr>
          <w:rFonts w:hint="eastAsia" w:ascii="楷体_GB2312" w:hAnsi="楷体_GB2312" w:eastAsia="楷体_GB2312" w:cs="楷体_GB2312"/>
          <w:i w:val="0"/>
          <w:iCs w:val="0"/>
          <w:caps w:val="0"/>
          <w:color w:val="auto"/>
          <w:spacing w:val="0"/>
          <w:sz w:val="32"/>
          <w:szCs w:val="32"/>
          <w:shd w:val="clear" w:fill="FFFFFF"/>
        </w:rPr>
        <w:t>（责任单位：县科创中心）</w:t>
      </w:r>
    </w:p>
    <w:p w14:paraId="5AF33DB9">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楷体_GB2312" w:hAnsi="楷体_GB2312" w:eastAsia="楷体_GB2312" w:cs="楷体_GB2312"/>
          <w:color w:val="auto"/>
          <w:sz w:val="32"/>
          <w:szCs w:val="32"/>
          <w:lang w:val="en-US" w:eastAsia="zh-CN"/>
        </w:rPr>
        <w:t>（</w:t>
      </w:r>
      <w:r>
        <w:rPr>
          <w:rFonts w:hint="eastAsia" w:ascii="楷体_GB2312" w:hAnsi="楷体_GB2312" w:eastAsia="楷体_GB2312" w:cs="楷体_GB2312"/>
          <w:color w:val="auto"/>
          <w:sz w:val="32"/>
          <w:szCs w:val="32"/>
          <w:lang w:val="en-US" w:eastAsia="zh-CN"/>
        </w:rPr>
        <w:t>九</w:t>
      </w:r>
      <w:r>
        <w:rPr>
          <w:rFonts w:hint="default" w:ascii="楷体_GB2312" w:hAnsi="楷体_GB2312" w:eastAsia="楷体_GB2312" w:cs="楷体_GB2312"/>
          <w:color w:val="auto"/>
          <w:sz w:val="32"/>
          <w:szCs w:val="32"/>
          <w:lang w:val="en-US" w:eastAsia="zh-CN"/>
        </w:rPr>
        <w:t>）加快数实融合发展。</w:t>
      </w:r>
      <w:r>
        <w:rPr>
          <w:rFonts w:hint="default" w:ascii="Times New Roman" w:hAnsi="Times New Roman" w:eastAsia="仿宋_GB2312" w:cs="Times New Roman"/>
          <w:b w:val="0"/>
          <w:bCs w:val="0"/>
          <w:color w:val="auto"/>
          <w:sz w:val="32"/>
          <w:szCs w:val="32"/>
          <w:lang w:val="en-US" w:eastAsia="zh-CN"/>
        </w:rPr>
        <w:t>全面推进企业数字化转型，重点围绕618产业，梳理提炼细分行业共性问题和应用场景，通过“轻量化智改+样本化推广”，加快形成数字化解决方案，不断鼓励企业“上云用数赋智”</w:t>
      </w:r>
      <w:r>
        <w:rPr>
          <w:rFonts w:hint="eastAsia"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联合专家指导企业建设智能工厂（数字化车间）</w:t>
      </w:r>
      <w:r>
        <w:rPr>
          <w:rFonts w:hint="default" w:ascii="Times New Roman" w:hAnsi="Times New Roman" w:eastAsia="仿宋_GB2312" w:cs="Times New Roman"/>
          <w:color w:val="auto"/>
          <w:sz w:val="32"/>
          <w:szCs w:val="32"/>
          <w:lang w:val="en-US" w:eastAsia="zh-CN"/>
        </w:rPr>
        <w:t>。2025年，</w:t>
      </w:r>
      <w:r>
        <w:rPr>
          <w:rFonts w:hint="eastAsia" w:ascii="Times New Roman" w:hAnsi="Times New Roman" w:eastAsia="仿宋_GB2312" w:cs="Times New Roman"/>
          <w:color w:val="auto"/>
          <w:sz w:val="32"/>
          <w:szCs w:val="32"/>
          <w:lang w:val="en-US" w:eastAsia="zh-CN"/>
        </w:rPr>
        <w:t>力争</w:t>
      </w:r>
      <w:r>
        <w:rPr>
          <w:rFonts w:hint="default" w:ascii="Times New Roman" w:hAnsi="Times New Roman" w:eastAsia="仿宋_GB2312" w:cs="Times New Roman"/>
          <w:color w:val="auto"/>
          <w:sz w:val="32"/>
          <w:szCs w:val="32"/>
          <w:lang w:val="en-US" w:eastAsia="zh-CN"/>
        </w:rPr>
        <w:t>新增</w:t>
      </w:r>
      <w:r>
        <w:rPr>
          <w:rFonts w:hint="eastAsia" w:ascii="Times New Roman" w:hAnsi="Times New Roman" w:eastAsia="仿宋_GB2312" w:cs="Times New Roman"/>
          <w:color w:val="auto"/>
          <w:sz w:val="32"/>
          <w:szCs w:val="32"/>
          <w:lang w:val="en-US" w:eastAsia="zh-CN"/>
        </w:rPr>
        <w:t>省级“未来工厂”试点1家，</w:t>
      </w:r>
      <w:r>
        <w:rPr>
          <w:rFonts w:hint="default" w:ascii="Times New Roman" w:hAnsi="Times New Roman" w:eastAsia="仿宋_GB2312" w:cs="Times New Roman"/>
          <w:color w:val="auto"/>
          <w:sz w:val="32"/>
          <w:szCs w:val="32"/>
          <w:lang w:val="en-US" w:eastAsia="zh-CN"/>
        </w:rPr>
        <w:t>省级智能工厂（数字化车间）</w:t>
      </w:r>
      <w:r>
        <w:rPr>
          <w:rFonts w:hint="eastAsia"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lang w:val="en-US" w:eastAsia="zh-CN"/>
        </w:rPr>
        <w:t>家</w:t>
      </w:r>
      <w:r>
        <w:rPr>
          <w:rFonts w:hint="eastAsia" w:ascii="Times New Roman" w:hAnsi="Times New Roman" w:eastAsia="仿宋_GB2312" w:cs="Times New Roman"/>
          <w:color w:val="auto"/>
          <w:sz w:val="32"/>
          <w:szCs w:val="32"/>
          <w:lang w:val="en-US" w:eastAsia="zh-CN"/>
        </w:rPr>
        <w:t>。</w:t>
      </w:r>
      <w:r>
        <w:rPr>
          <w:rFonts w:hint="eastAsia" w:ascii="楷体_GB2312" w:hAnsi="楷体_GB2312" w:eastAsia="楷体_GB2312" w:cs="楷体_GB2312"/>
          <w:color w:val="auto"/>
          <w:sz w:val="32"/>
          <w:szCs w:val="32"/>
          <w:lang w:val="en-US" w:eastAsia="zh-CN"/>
        </w:rPr>
        <w:t>（责任单位：县经信局）</w:t>
      </w:r>
    </w:p>
    <w:p w14:paraId="294F21F6">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楷体_GB2312" w:hAnsi="楷体_GB2312" w:eastAsia="楷体_GB2312" w:cs="楷体_GB2312"/>
          <w:color w:val="auto"/>
          <w:sz w:val="32"/>
          <w:szCs w:val="32"/>
          <w:lang w:val="en-US" w:eastAsia="zh-CN"/>
        </w:rPr>
      </w:pPr>
      <w:r>
        <w:rPr>
          <w:rFonts w:hint="default" w:ascii="楷体_GB2312" w:hAnsi="楷体_GB2312" w:eastAsia="楷体_GB2312" w:cs="楷体_GB2312"/>
          <w:color w:val="auto"/>
          <w:sz w:val="32"/>
          <w:szCs w:val="32"/>
          <w:lang w:val="en-US" w:eastAsia="zh-CN"/>
        </w:rPr>
        <w:t>（</w:t>
      </w:r>
      <w:r>
        <w:rPr>
          <w:rFonts w:hint="eastAsia" w:ascii="楷体_GB2312" w:hAnsi="楷体_GB2312" w:eastAsia="楷体_GB2312" w:cs="楷体_GB2312"/>
          <w:color w:val="auto"/>
          <w:sz w:val="32"/>
          <w:szCs w:val="32"/>
          <w:lang w:val="en-US" w:eastAsia="zh-CN"/>
        </w:rPr>
        <w:t>十</w:t>
      </w:r>
      <w:r>
        <w:rPr>
          <w:rFonts w:hint="default" w:ascii="楷体_GB2312" w:hAnsi="楷体_GB2312" w:eastAsia="楷体_GB2312" w:cs="楷体_GB2312"/>
          <w:color w:val="auto"/>
          <w:sz w:val="32"/>
          <w:szCs w:val="32"/>
          <w:lang w:val="en-US" w:eastAsia="zh-CN"/>
        </w:rPr>
        <w:t>）支持企业高质量发展。</w:t>
      </w:r>
      <w:r>
        <w:rPr>
          <w:rFonts w:ascii="Times New Roman" w:hAnsi="Times New Roman" w:eastAsia="仿宋_GB2312"/>
          <w:color w:val="auto"/>
          <w:sz w:val="32"/>
          <w:szCs w:val="32"/>
          <w:lang w:bidi="ar"/>
        </w:rPr>
        <w:t>加强政策引领，指导辖内银行业金融机构持续开发续贷产品，优化续贷产品功能，主动对接债务人，全面满足正常经营企业的无还本续贷需求，提升政策落地质效，确保“应续尽续”</w:t>
      </w:r>
      <w:r>
        <w:rPr>
          <w:rFonts w:hint="eastAsia" w:ascii="Times New Roman" w:hAnsi="Times New Roman" w:eastAsia="仿宋_GB2312"/>
          <w:color w:val="auto"/>
          <w:sz w:val="32"/>
          <w:szCs w:val="32"/>
          <w:lang w:eastAsia="zh-CN" w:bidi="ar"/>
        </w:rPr>
        <w:t>，</w:t>
      </w:r>
      <w:r>
        <w:rPr>
          <w:rFonts w:hint="default" w:ascii="Times New Roman" w:hAnsi="Times New Roman" w:eastAsia="仿宋_GB2312" w:cs="Times New Roman"/>
          <w:color w:val="auto"/>
          <w:sz w:val="32"/>
          <w:szCs w:val="32"/>
          <w:lang w:val="en-US" w:eastAsia="zh-CN"/>
        </w:rPr>
        <w:t>力争新增无还本续贷</w:t>
      </w:r>
      <w:r>
        <w:rPr>
          <w:rFonts w:hint="eastAsia" w:ascii="Times New Roman" w:hAnsi="Times New Roman" w:eastAsia="仿宋_GB2312" w:cs="Times New Roman"/>
          <w:color w:val="auto"/>
          <w:sz w:val="32"/>
          <w:szCs w:val="32"/>
          <w:lang w:val="en-US" w:eastAsia="zh-CN"/>
        </w:rPr>
        <w:t>15</w:t>
      </w:r>
      <w:r>
        <w:rPr>
          <w:rFonts w:hint="default" w:ascii="Times New Roman" w:hAnsi="Times New Roman" w:eastAsia="仿宋_GB2312" w:cs="Times New Roman"/>
          <w:color w:val="auto"/>
          <w:sz w:val="32"/>
          <w:szCs w:val="32"/>
          <w:lang w:val="en-US" w:eastAsia="zh-CN"/>
        </w:rPr>
        <w:t>亿元</w:t>
      </w:r>
      <w:r>
        <w:rPr>
          <w:rFonts w:hint="default" w:ascii="Times New Roman" w:hAnsi="Times New Roman" w:eastAsia="仿宋_GB2312"/>
          <w:color w:val="auto"/>
          <w:sz w:val="32"/>
          <w:szCs w:val="32"/>
          <w:lang w:val="en-US" w:eastAsia="zh-CN" w:bidi="ar"/>
        </w:rPr>
        <w:t>。建立促进专精特新中小企业发展壮大机制，</w:t>
      </w:r>
      <w:r>
        <w:rPr>
          <w:rFonts w:hint="eastAsia" w:ascii="Times New Roman" w:hAnsi="Times New Roman" w:eastAsia="仿宋_GB2312"/>
          <w:color w:val="auto"/>
          <w:sz w:val="32"/>
          <w:szCs w:val="32"/>
          <w:lang w:val="en-US" w:eastAsia="zh-CN" w:bidi="ar"/>
        </w:rPr>
        <w:t>2025年，力争</w:t>
      </w:r>
      <w:r>
        <w:rPr>
          <w:rFonts w:hint="default" w:ascii="Times New Roman" w:hAnsi="Times New Roman" w:eastAsia="仿宋_GB2312"/>
          <w:color w:val="auto"/>
          <w:sz w:val="32"/>
          <w:szCs w:val="32"/>
          <w:lang w:val="en-US" w:eastAsia="zh-CN" w:bidi="ar"/>
        </w:rPr>
        <w:t>新培育</w:t>
      </w:r>
      <w:r>
        <w:rPr>
          <w:rFonts w:hint="default" w:ascii="Times New Roman" w:hAnsi="Times New Roman" w:eastAsia="仿宋_GB2312" w:cs="Times New Roman"/>
          <w:color w:val="auto"/>
          <w:sz w:val="32"/>
          <w:szCs w:val="32"/>
          <w:lang w:val="en-US" w:eastAsia="zh-CN"/>
        </w:rPr>
        <w:t>国家级专精特新“小巨人”1家</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olor w:val="auto"/>
          <w:sz w:val="32"/>
          <w:szCs w:val="32"/>
          <w:lang w:val="en-US" w:eastAsia="zh-CN" w:bidi="ar"/>
        </w:rPr>
        <w:t>专精特新中小企业</w:t>
      </w:r>
      <w:r>
        <w:rPr>
          <w:rFonts w:hint="eastAsia" w:ascii="Times New Roman" w:hAnsi="Times New Roman" w:eastAsia="仿宋_GB2312"/>
          <w:color w:val="auto"/>
          <w:sz w:val="32"/>
          <w:szCs w:val="32"/>
          <w:lang w:val="en-US" w:eastAsia="zh-CN" w:bidi="ar"/>
        </w:rPr>
        <w:t>5</w:t>
      </w:r>
      <w:r>
        <w:rPr>
          <w:rFonts w:hint="default" w:ascii="Times New Roman" w:hAnsi="Times New Roman" w:eastAsia="仿宋_GB2312"/>
          <w:color w:val="auto"/>
          <w:sz w:val="32"/>
          <w:szCs w:val="32"/>
          <w:lang w:val="en-US" w:eastAsia="zh-CN" w:bidi="ar"/>
        </w:rPr>
        <w:t>家。</w:t>
      </w:r>
      <w:r>
        <w:rPr>
          <w:rFonts w:hint="eastAsia" w:ascii="楷体_GB2312" w:hAnsi="楷体_GB2312" w:eastAsia="楷体_GB2312" w:cs="楷体_GB2312"/>
          <w:color w:val="auto"/>
          <w:sz w:val="32"/>
          <w:szCs w:val="32"/>
          <w:lang w:val="en-US" w:eastAsia="zh-CN"/>
        </w:rPr>
        <w:t>（责任单位：县金融服务中心、县经信局）</w:t>
      </w:r>
    </w:p>
    <w:p w14:paraId="04E1BA2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kern w:val="2"/>
          <w:sz w:val="32"/>
          <w:szCs w:val="32"/>
          <w:lang w:val="en-US" w:eastAsia="zh-CN" w:bidi="ar-SA"/>
        </w:rPr>
        <w:t>三、</w:t>
      </w:r>
      <w:r>
        <w:rPr>
          <w:rFonts w:hint="eastAsia" w:ascii="黑体" w:hAnsi="黑体" w:eastAsia="黑体" w:cs="黑体"/>
          <w:color w:val="auto"/>
          <w:sz w:val="32"/>
          <w:szCs w:val="32"/>
          <w:lang w:val="en-US" w:eastAsia="zh-CN"/>
        </w:rPr>
        <w:t>推进服务业高质量发展（由县发改局牵头）</w:t>
      </w:r>
    </w:p>
    <w:p w14:paraId="66E2331E">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聚焦生产性服务业高端化、生活性服务业品质化，加快构建开化特色现代服务业体系，全面落实消费品以旧换新政策，全力稳增长、扩内需、增后劲，继续撑起县域经济“半壁江山”。2025年，县财政预算安排0.58亿元，主要支持现代服务业创新发展、文化旅游融合等重点领域。</w:t>
      </w:r>
    </w:p>
    <w:p w14:paraId="48A63C54">
      <w:pPr>
        <w:keepNext w:val="0"/>
        <w:keepLines w:val="0"/>
        <w:pageBreakBefore w:val="0"/>
        <w:shd w:val="clear"/>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color w:val="auto"/>
          <w:sz w:val="32"/>
          <w:szCs w:val="32"/>
          <w:lang w:val="en-US" w:eastAsia="zh-CN"/>
        </w:rPr>
      </w:pPr>
      <w:r>
        <w:rPr>
          <w:rStyle w:val="7"/>
          <w:rFonts w:hint="default"/>
          <w:color w:val="auto"/>
          <w:sz w:val="32"/>
          <w:szCs w:val="32"/>
          <w:lang w:bidi="ar-SA"/>
        </w:rPr>
        <w:t>（</w:t>
      </w:r>
      <w:r>
        <w:rPr>
          <w:rStyle w:val="7"/>
          <w:rFonts w:hint="eastAsia" w:eastAsia="楷体_GB2312"/>
          <w:color w:val="auto"/>
          <w:sz w:val="32"/>
          <w:szCs w:val="32"/>
          <w:lang w:eastAsia="zh-CN" w:bidi="ar-SA"/>
        </w:rPr>
        <w:t>十一</w:t>
      </w:r>
      <w:r>
        <w:rPr>
          <w:rStyle w:val="7"/>
          <w:rFonts w:hint="default"/>
          <w:color w:val="auto"/>
          <w:sz w:val="32"/>
          <w:szCs w:val="32"/>
          <w:lang w:bidi="ar-SA"/>
        </w:rPr>
        <w:t>）加力扩围消费品以旧换新。</w:t>
      </w:r>
      <w:r>
        <w:rPr>
          <w:rFonts w:hint="eastAsia" w:ascii="仿宋_GB2312" w:hAnsi="仿宋_GB2312" w:eastAsia="仿宋_GB2312" w:cs="仿宋_GB2312"/>
          <w:color w:val="auto"/>
          <w:sz w:val="32"/>
          <w:szCs w:val="32"/>
          <w:lang w:val="en-US" w:eastAsia="zh-CN"/>
        </w:rPr>
        <w:t>全面落实消费品以旧换新政策，加大线上线下宣传力度、广度，引导优质商家、消费者参与</w:t>
      </w:r>
      <w:r>
        <w:rPr>
          <w:rFonts w:hint="eastAsia" w:ascii="仿宋_GB2312" w:hAnsi="仿宋_GB2312" w:eastAsia="仿宋_GB2312" w:cs="仿宋_GB2312"/>
          <w:color w:val="auto"/>
          <w:sz w:val="32"/>
          <w:szCs w:val="32"/>
          <w:lang w:val="en-US" w:eastAsia="zh-CN" w:bidi="ar-SA"/>
        </w:rPr>
        <w:t>家电、3C数码、电动车、家居以旧换新补贴活动</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val="en-US" w:eastAsia="zh-CN" w:bidi="ar-SA"/>
        </w:rPr>
        <w:t>持续推进</w:t>
      </w:r>
      <w:r>
        <w:rPr>
          <w:rFonts w:hint="eastAsia" w:ascii="仿宋_GB2312" w:hAnsi="仿宋_GB2312" w:eastAsia="仿宋_GB2312" w:cs="仿宋_GB2312"/>
          <w:i w:val="0"/>
          <w:iCs w:val="0"/>
          <w:caps w:val="0"/>
          <w:color w:val="auto"/>
          <w:spacing w:val="0"/>
          <w:sz w:val="32"/>
          <w:szCs w:val="32"/>
          <w:shd w:val="clear"/>
          <w:lang w:bidi="ar-SA"/>
        </w:rPr>
        <w:t>旧房装修</w:t>
      </w:r>
      <w:r>
        <w:rPr>
          <w:rFonts w:hint="eastAsia" w:ascii="仿宋_GB2312" w:hAnsi="仿宋_GB2312" w:eastAsia="仿宋_GB2312" w:cs="仿宋_GB2312"/>
          <w:i w:val="0"/>
          <w:iCs w:val="0"/>
          <w:caps w:val="0"/>
          <w:color w:val="auto"/>
          <w:spacing w:val="0"/>
          <w:sz w:val="32"/>
          <w:szCs w:val="32"/>
          <w:shd w:val="clear"/>
          <w:lang w:eastAsia="zh-CN" w:bidi="ar-SA"/>
        </w:rPr>
        <w:t>和</w:t>
      </w:r>
      <w:r>
        <w:rPr>
          <w:rFonts w:hint="eastAsia" w:ascii="仿宋_GB2312" w:hAnsi="仿宋_GB2312" w:eastAsia="仿宋_GB2312" w:cs="仿宋_GB2312"/>
          <w:i w:val="0"/>
          <w:iCs w:val="0"/>
          <w:caps w:val="0"/>
          <w:color w:val="auto"/>
          <w:spacing w:val="0"/>
          <w:sz w:val="32"/>
          <w:szCs w:val="32"/>
          <w:shd w:val="clear"/>
          <w:lang w:bidi="ar-SA"/>
        </w:rPr>
        <w:t>厨卫等局部改造</w:t>
      </w:r>
      <w:r>
        <w:rPr>
          <w:rFonts w:hint="eastAsia" w:ascii="仿宋_GB2312" w:hAnsi="仿宋_GB2312" w:eastAsia="仿宋_GB2312" w:cs="仿宋_GB2312"/>
          <w:i w:val="0"/>
          <w:iCs w:val="0"/>
          <w:caps w:val="0"/>
          <w:color w:val="auto"/>
          <w:spacing w:val="0"/>
          <w:sz w:val="32"/>
          <w:szCs w:val="32"/>
          <w:shd w:val="clear"/>
          <w:lang w:eastAsia="zh-CN" w:bidi="ar-SA"/>
        </w:rPr>
        <w:t>、</w:t>
      </w:r>
      <w:r>
        <w:rPr>
          <w:rFonts w:hint="eastAsia" w:ascii="仿宋_GB2312" w:hAnsi="仿宋_GB2312" w:eastAsia="仿宋_GB2312" w:cs="仿宋_GB2312"/>
          <w:color w:val="auto"/>
          <w:sz w:val="32"/>
          <w:szCs w:val="32"/>
          <w:lang w:val="en-US" w:eastAsia="zh-CN" w:bidi="ar-SA"/>
        </w:rPr>
        <w:t>居家适老化改造，优化简化补贴申领程序，提升消费者申领便利度。</w:t>
      </w:r>
      <w:r>
        <w:rPr>
          <w:rFonts w:hint="eastAsia" w:ascii="楷体_GB2312" w:hAnsi="楷体_GB2312" w:eastAsia="楷体_GB2312" w:cs="楷体_GB2312"/>
          <w:color w:val="auto"/>
          <w:sz w:val="32"/>
          <w:szCs w:val="32"/>
          <w:lang w:val="en-US" w:eastAsia="zh-CN" w:bidi="ar-SA"/>
        </w:rPr>
        <w:t>（责任单位：县经信局、县住建局、县民政局）</w:t>
      </w:r>
    </w:p>
    <w:p w14:paraId="22D4A559">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color w:val="auto"/>
          <w:sz w:val="32"/>
          <w:szCs w:val="32"/>
          <w:lang w:val="en-US" w:eastAsia="zh-CN"/>
        </w:rPr>
      </w:pPr>
      <w:r>
        <w:rPr>
          <w:rStyle w:val="7"/>
          <w:rFonts w:hint="eastAsia" w:ascii="Times New Roman" w:hAnsi="Times New Roman" w:cs="宋体"/>
          <w:b w:val="0"/>
          <w:color w:val="auto"/>
          <w:sz w:val="32"/>
          <w:szCs w:val="32"/>
          <w:lang w:val="en-US" w:eastAsia="zh-CN"/>
        </w:rPr>
        <w:t>（十二）推动文旅商体融合发展。</w:t>
      </w:r>
      <w:r>
        <w:rPr>
          <w:rFonts w:hint="eastAsia" w:ascii="仿宋_GB2312" w:hAnsi="仿宋_GB2312" w:eastAsia="仿宋_GB2312" w:cs="仿宋_GB2312"/>
          <w:color w:val="auto"/>
          <w:sz w:val="32"/>
          <w:szCs w:val="32"/>
          <w:lang w:val="en-US" w:eastAsia="zh-CN" w:bidi="ar-SA"/>
        </w:rPr>
        <w:t>丰富文旅经济、夜经济、演艺经济、美食经济等优质消费场景供给，推动根宫佛国旅游景区打造省级千万级核心大景区，实施乡村旅游“星”计划，全面提升“Jue王”挑战赛、“百万年薪聘”“芹江大明星”等系列活动影响力，打响“钱江源·开化味道”品牌。</w:t>
      </w:r>
      <w:r>
        <w:rPr>
          <w:rFonts w:hint="eastAsia" w:ascii="仿宋_GB2312" w:hAnsi="仿宋_GB2312" w:eastAsia="仿宋_GB2312" w:cs="仿宋_GB2312"/>
          <w:color w:val="auto"/>
          <w:sz w:val="32"/>
          <w:szCs w:val="32"/>
          <w:lang w:val="en-US" w:eastAsia="zh-CN"/>
        </w:rPr>
        <w:t>围绕消费促进月、暑期消费季、金秋购物节、迎春购物节等四季</w:t>
      </w:r>
      <w:r>
        <w:rPr>
          <w:rFonts w:hint="eastAsia" w:ascii="仿宋_GB2312" w:hAnsi="仿宋_GB2312" w:eastAsia="仿宋_GB2312" w:cs="仿宋_GB2312"/>
          <w:color w:val="auto"/>
          <w:sz w:val="32"/>
          <w:szCs w:val="32"/>
        </w:rPr>
        <w:t>主题活动，全年举办各类</w:t>
      </w:r>
      <w:r>
        <w:rPr>
          <w:rFonts w:hint="eastAsia" w:ascii="仿宋_GB2312" w:hAnsi="仿宋_GB2312" w:eastAsia="仿宋_GB2312" w:cs="仿宋_GB2312"/>
          <w:color w:val="auto"/>
          <w:sz w:val="32"/>
          <w:szCs w:val="32"/>
          <w:lang w:eastAsia="zh-CN"/>
        </w:rPr>
        <w:t>促销</w:t>
      </w:r>
      <w:r>
        <w:rPr>
          <w:rFonts w:hint="eastAsia" w:ascii="仿宋_GB2312" w:hAnsi="仿宋_GB2312" w:eastAsia="仿宋_GB2312" w:cs="仿宋_GB2312"/>
          <w:color w:val="auto"/>
          <w:sz w:val="32"/>
          <w:szCs w:val="32"/>
        </w:rPr>
        <w:t>活动</w:t>
      </w:r>
      <w:r>
        <w:rPr>
          <w:rFonts w:hint="eastAsia" w:ascii="仿宋_GB2312" w:hAnsi="仿宋_GB2312" w:eastAsia="仿宋_GB2312" w:cs="仿宋_GB2312"/>
          <w:color w:val="auto"/>
          <w:sz w:val="32"/>
          <w:szCs w:val="32"/>
          <w:lang w:val="en-US" w:eastAsia="zh-CN"/>
        </w:rPr>
        <w:t>5场。大力发展赛事经济，丰富赛事体系，打造多元化赛事场景，全年举办钱江源国家公园公路自行车赛等各级各类体育赛事65场，力争举办国家级体育赛事1场。</w:t>
      </w:r>
      <w:r>
        <w:rPr>
          <w:rFonts w:hint="eastAsia" w:ascii="楷体_GB2312" w:hAnsi="楷体_GB2312" w:eastAsia="楷体_GB2312" w:cs="楷体_GB2312"/>
          <w:color w:val="auto"/>
          <w:sz w:val="32"/>
          <w:szCs w:val="32"/>
          <w:lang w:val="en-US" w:eastAsia="zh-CN"/>
        </w:rPr>
        <w:t>（责任单位：县文广旅体局、县经信局）</w:t>
      </w:r>
    </w:p>
    <w:p w14:paraId="5A5DCB21">
      <w:pPr>
        <w:keepNext w:val="0"/>
        <w:keepLines w:val="0"/>
        <w:pageBreakBefore w:val="0"/>
        <w:widowControl/>
        <w:suppressLineNumbers w:val="0"/>
        <w:kinsoku/>
        <w:wordWrap/>
        <w:overflowPunct/>
        <w:topLinePunct w:val="0"/>
        <w:autoSpaceDE/>
        <w:autoSpaceDN/>
        <w:bidi w:val="0"/>
        <w:adjustRightInd/>
        <w:snapToGrid/>
        <w:spacing w:line="560" w:lineRule="exact"/>
        <w:ind w:firstLine="880"/>
        <w:jc w:val="both"/>
        <w:textAlignment w:val="auto"/>
        <w:rPr>
          <w:rFonts w:hint="eastAsia" w:ascii="楷体_GB2312" w:hAnsi="楷体_GB2312" w:eastAsia="楷体_GB2312" w:cs="楷体_GB2312"/>
          <w:color w:val="auto"/>
          <w:sz w:val="32"/>
          <w:szCs w:val="32"/>
          <w:lang w:val="en-US" w:eastAsia="zh-CN"/>
        </w:rPr>
      </w:pPr>
      <w:r>
        <w:rPr>
          <w:rStyle w:val="7"/>
          <w:rFonts w:hint="eastAsia" w:ascii="楷体_GB2312" w:hAnsi="楷体_GB2312" w:eastAsia="楷体_GB2312" w:cs="楷体_GB2312"/>
          <w:color w:val="auto"/>
          <w:sz w:val="32"/>
          <w:szCs w:val="32"/>
          <w:lang w:val="en-US" w:eastAsia="zh-CN"/>
        </w:rPr>
        <w:t>（十三）推进县</w:t>
      </w:r>
      <w:r>
        <w:rPr>
          <w:rFonts w:hint="eastAsia" w:ascii="楷体_GB2312" w:hAnsi="楷体_GB2312" w:eastAsia="楷体_GB2312" w:cs="楷体_GB2312"/>
          <w:i w:val="0"/>
          <w:iCs w:val="0"/>
          <w:caps w:val="0"/>
          <w:color w:val="auto"/>
          <w:spacing w:val="0"/>
          <w:sz w:val="32"/>
          <w:szCs w:val="32"/>
          <w:shd w:val="clear"/>
          <w:lang w:val="en-US" w:eastAsia="zh-CN"/>
        </w:rPr>
        <w:t>域物流降本增效。</w:t>
      </w:r>
      <w:r>
        <w:rPr>
          <w:rFonts w:hint="eastAsia" w:ascii="仿宋_GB2312" w:hAnsi="仿宋_GB2312" w:eastAsia="仿宋_GB2312" w:cs="仿宋_GB2312"/>
          <w:i w:val="0"/>
          <w:iCs w:val="0"/>
          <w:caps w:val="0"/>
          <w:color w:val="auto"/>
          <w:spacing w:val="0"/>
          <w:sz w:val="32"/>
          <w:szCs w:val="32"/>
          <w:shd w:val="clear"/>
          <w:lang w:val="en-US" w:eastAsia="zh-CN"/>
        </w:rPr>
        <w:t>制定《开化县交通物流高质量发展行动方案》，</w:t>
      </w:r>
      <w:r>
        <w:rPr>
          <w:rFonts w:hint="eastAsia" w:ascii="仿宋_GB2312" w:hAnsi="仿宋_GB2312" w:eastAsia="仿宋_GB2312" w:cs="仿宋_GB2312"/>
          <w:i w:val="0"/>
          <w:iCs w:val="0"/>
          <w:caps w:val="0"/>
          <w:color w:val="auto"/>
          <w:spacing w:val="0"/>
          <w:sz w:val="32"/>
          <w:szCs w:val="32"/>
          <w:shd w:val="clear"/>
        </w:rPr>
        <w:t>推进客货邮融合</w:t>
      </w:r>
      <w:r>
        <w:rPr>
          <w:rFonts w:hint="eastAsia" w:ascii="仿宋_GB2312" w:hAnsi="仿宋_GB2312" w:eastAsia="仿宋_GB2312" w:cs="仿宋_GB2312"/>
          <w:i w:val="0"/>
          <w:iCs w:val="0"/>
          <w:caps w:val="0"/>
          <w:color w:val="auto"/>
          <w:spacing w:val="0"/>
          <w:sz w:val="32"/>
          <w:szCs w:val="32"/>
          <w:shd w:val="clear"/>
          <w:lang w:eastAsia="zh-CN"/>
        </w:rPr>
        <w:t>发展</w:t>
      </w:r>
      <w:r>
        <w:rPr>
          <w:rFonts w:hint="eastAsia" w:ascii="仿宋_GB2312" w:hAnsi="仿宋_GB2312" w:eastAsia="仿宋_GB2312" w:cs="仿宋_GB2312"/>
          <w:i w:val="0"/>
          <w:iCs w:val="0"/>
          <w:caps w:val="0"/>
          <w:color w:val="auto"/>
          <w:spacing w:val="0"/>
          <w:sz w:val="32"/>
          <w:szCs w:val="32"/>
          <w:shd w:val="clear"/>
        </w:rPr>
        <w:t>，新增客货邮专线1条</w:t>
      </w:r>
      <w:r>
        <w:rPr>
          <w:rFonts w:hint="eastAsia" w:ascii="仿宋_GB2312" w:hAnsi="仿宋_GB2312" w:eastAsia="仿宋_GB2312" w:cs="仿宋_GB2312"/>
          <w:i w:val="0"/>
          <w:iCs w:val="0"/>
          <w:caps w:val="0"/>
          <w:color w:val="auto"/>
          <w:spacing w:val="0"/>
          <w:sz w:val="32"/>
          <w:szCs w:val="32"/>
          <w:shd w:val="clear"/>
          <w:lang w:eastAsia="zh-CN"/>
        </w:rPr>
        <w:t>、</w:t>
      </w:r>
      <w:r>
        <w:rPr>
          <w:rFonts w:hint="eastAsia" w:ascii="仿宋_GB2312" w:hAnsi="仿宋_GB2312" w:eastAsia="仿宋_GB2312" w:cs="仿宋_GB2312"/>
          <w:i w:val="0"/>
          <w:iCs w:val="0"/>
          <w:caps w:val="0"/>
          <w:color w:val="auto"/>
          <w:spacing w:val="0"/>
          <w:sz w:val="32"/>
          <w:szCs w:val="32"/>
          <w:shd w:val="clear"/>
        </w:rPr>
        <w:t>村级农村物流服务点位5个。</w:t>
      </w:r>
      <w:r>
        <w:rPr>
          <w:rFonts w:hint="eastAsia" w:ascii="仿宋_GB2312" w:hAnsi="仿宋_GB2312" w:eastAsia="仿宋_GB2312" w:cs="仿宋_GB2312"/>
          <w:i w:val="0"/>
          <w:iCs w:val="0"/>
          <w:caps w:val="0"/>
          <w:color w:val="auto"/>
          <w:spacing w:val="0"/>
          <w:sz w:val="32"/>
          <w:szCs w:val="32"/>
          <w:shd w:val="clear"/>
          <w:lang w:eastAsia="zh-CN"/>
        </w:rPr>
        <w:t>加快构建立体交通网络</w:t>
      </w:r>
      <w:r>
        <w:rPr>
          <w:rFonts w:hint="eastAsia" w:ascii="仿宋_GB2312" w:hAnsi="仿宋_GB2312" w:eastAsia="仿宋_GB2312" w:cs="仿宋_GB2312"/>
          <w:color w:val="auto"/>
          <w:sz w:val="32"/>
          <w:szCs w:val="32"/>
          <w:lang w:val="en-US" w:eastAsia="zh-CN"/>
        </w:rPr>
        <w:t>，建成通用机场。探索发展低空物流，力争开通无人机物流航线1条。</w:t>
      </w:r>
      <w:r>
        <w:rPr>
          <w:rFonts w:hint="eastAsia" w:ascii="仿宋_GB2312" w:hAnsi="仿宋_GB2312" w:eastAsia="仿宋_GB2312" w:cs="仿宋_GB2312"/>
          <w:i w:val="0"/>
          <w:iCs w:val="0"/>
          <w:caps w:val="0"/>
          <w:color w:val="auto"/>
          <w:spacing w:val="0"/>
          <w:sz w:val="32"/>
          <w:szCs w:val="32"/>
          <w:shd w:val="clear"/>
        </w:rPr>
        <w:t>争创国家级农村电商与快递协同发展示范区，</w:t>
      </w:r>
      <w:r>
        <w:rPr>
          <w:rFonts w:hint="eastAsia" w:ascii="仿宋_GB2312" w:hAnsi="仿宋_GB2312" w:eastAsia="仿宋_GB2312" w:cs="仿宋_GB2312"/>
          <w:i w:val="0"/>
          <w:iCs w:val="0"/>
          <w:caps w:val="0"/>
          <w:color w:val="auto"/>
          <w:spacing w:val="0"/>
          <w:sz w:val="32"/>
          <w:szCs w:val="32"/>
          <w:shd w:val="clear"/>
          <w:lang w:eastAsia="zh-CN"/>
        </w:rPr>
        <w:t>加快</w:t>
      </w:r>
      <w:r>
        <w:rPr>
          <w:rFonts w:hint="eastAsia" w:ascii="仿宋_GB2312" w:hAnsi="仿宋_GB2312" w:eastAsia="仿宋_GB2312" w:cs="仿宋_GB2312"/>
          <w:color w:val="auto"/>
          <w:sz w:val="32"/>
          <w:szCs w:val="32"/>
          <w:lang w:val="en-US" w:eastAsia="zh-CN"/>
        </w:rPr>
        <w:t>引育规上货运企业，保障物流项目用地需求。</w:t>
      </w:r>
      <w:r>
        <w:rPr>
          <w:rFonts w:hint="eastAsia" w:ascii="楷体_GB2312" w:hAnsi="楷体_GB2312" w:eastAsia="楷体_GB2312" w:cs="楷体_GB2312"/>
          <w:color w:val="auto"/>
          <w:sz w:val="32"/>
          <w:szCs w:val="32"/>
          <w:lang w:val="en-US" w:eastAsia="zh-CN"/>
        </w:rPr>
        <w:t>（责任单位：县交通运输局、县资源规划局）</w:t>
      </w:r>
    </w:p>
    <w:p w14:paraId="51C1BCE5">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Style w:val="7"/>
          <w:rFonts w:hint="eastAsia" w:ascii="楷体_GB2312" w:hAnsi="楷体_GB2312" w:eastAsia="楷体_GB2312" w:cs="楷体_GB2312"/>
          <w:color w:val="auto"/>
          <w:sz w:val="32"/>
          <w:szCs w:val="32"/>
          <w:lang w:val="en-US" w:eastAsia="zh-CN"/>
        </w:rPr>
        <w:t>（十四）夯实生产性服务业发展基础</w:t>
      </w:r>
      <w:r>
        <w:rPr>
          <w:rFonts w:hint="eastAsia" w:ascii="楷体_GB2312" w:hAnsi="楷体_GB2312" w:eastAsia="楷体_GB2312" w:cs="楷体_GB2312"/>
          <w:color w:val="auto"/>
          <w:sz w:val="32"/>
          <w:szCs w:val="32"/>
          <w:lang w:val="en-US" w:eastAsia="zh-CN"/>
        </w:rPr>
        <w:t>。</w:t>
      </w:r>
      <w:r>
        <w:rPr>
          <w:rFonts w:hint="eastAsia" w:ascii="仿宋_GB2312" w:hAnsi="仿宋_GB2312" w:eastAsia="仿宋_GB2312" w:cs="仿宋_GB2312"/>
          <w:color w:val="auto"/>
          <w:sz w:val="32"/>
          <w:szCs w:val="32"/>
          <w:lang w:val="en-US" w:eastAsia="zh-CN"/>
        </w:rPr>
        <w:t>落实软件产业税收</w:t>
      </w:r>
      <w:r>
        <w:rPr>
          <w:rFonts w:hint="eastAsia" w:ascii="仿宋_GB2312" w:hAnsi="仿宋_GB2312" w:eastAsia="仿宋_GB2312" w:cs="仿宋_GB2312"/>
          <w:color w:val="auto"/>
          <w:kern w:val="2"/>
          <w:sz w:val="32"/>
          <w:szCs w:val="32"/>
          <w:lang w:val="en-US" w:eastAsia="zh-CN" w:bidi="ar"/>
        </w:rPr>
        <w:t>优惠政策，支持规上信息传输、软件和信息技术服务业企业承接数字化改造项目。支持科技创新赋能产业转型升级，力争</w:t>
      </w:r>
      <w:r>
        <w:rPr>
          <w:rFonts w:hint="eastAsia" w:ascii="仿宋_GB2312" w:hAnsi="仿宋_GB2312" w:eastAsia="仿宋_GB2312" w:cs="仿宋_GB2312"/>
          <w:color w:val="auto"/>
          <w:sz w:val="32"/>
          <w:szCs w:val="32"/>
          <w:lang w:val="en-US" w:eastAsia="zh-CN"/>
        </w:rPr>
        <w:t>新增</w:t>
      </w:r>
      <w:r>
        <w:rPr>
          <w:rFonts w:hint="eastAsia" w:ascii="仿宋_GB2312" w:hAnsi="仿宋_GB2312" w:eastAsia="仿宋_GB2312" w:cs="仿宋_GB2312"/>
          <w:color w:val="auto"/>
          <w:sz w:val="32"/>
          <w:szCs w:val="32"/>
          <w:lang w:eastAsia="zh-CN"/>
        </w:rPr>
        <w:t>省级企业研发机构1家。</w:t>
      </w:r>
      <w:r>
        <w:rPr>
          <w:rFonts w:hint="eastAsia" w:ascii="仿宋_GB2312" w:hAnsi="仿宋_GB2312" w:eastAsia="仿宋_GB2312" w:cs="仿宋_GB2312"/>
          <w:color w:val="auto"/>
          <w:kern w:val="2"/>
          <w:sz w:val="32"/>
          <w:szCs w:val="32"/>
          <w:lang w:val="en-US" w:eastAsia="zh-CN" w:bidi="ar"/>
        </w:rPr>
        <w:t>引导制造业龙头企业分离发展贸易、研发、物流等生产性服务业，新增规上人力资源服务企业3家。聚焦会计、物流、金融等重点领域，加快培育省市服务业人才。</w:t>
      </w:r>
      <w:r>
        <w:rPr>
          <w:rFonts w:hint="eastAsia" w:ascii="楷体_GB2312" w:hAnsi="楷体_GB2312" w:eastAsia="楷体_GB2312" w:cs="楷体_GB2312"/>
          <w:color w:val="auto"/>
          <w:kern w:val="2"/>
          <w:sz w:val="32"/>
          <w:szCs w:val="32"/>
          <w:lang w:val="en-US" w:eastAsia="zh-CN" w:bidi="ar"/>
        </w:rPr>
        <w:t>（责任单位：县经信局、县科创中心、县发改局、县财政局、县交通运输局、县人力社保局）</w:t>
      </w:r>
    </w:p>
    <w:p w14:paraId="5AD000DF">
      <w:pPr>
        <w:keepNext w:val="0"/>
        <w:keepLines w:val="0"/>
        <w:pageBreakBefore w:val="0"/>
        <w:widowControl/>
        <w:suppressLineNumbers w:val="0"/>
        <w:kinsoku/>
        <w:wordWrap/>
        <w:overflowPunct/>
        <w:topLinePunct w:val="0"/>
        <w:autoSpaceDE/>
        <w:autoSpaceDN/>
        <w:bidi w:val="0"/>
        <w:adjustRightInd/>
        <w:snapToGrid/>
        <w:spacing w:line="560" w:lineRule="exact"/>
        <w:ind w:firstLine="879"/>
        <w:jc w:val="both"/>
        <w:textAlignment w:val="auto"/>
        <w:rPr>
          <w:rFonts w:hint="eastAsia" w:ascii="黑体" w:hAnsi="黑体" w:eastAsia="黑体" w:cs="黑体"/>
          <w:color w:val="auto"/>
          <w:kern w:val="2"/>
          <w:sz w:val="32"/>
          <w:szCs w:val="32"/>
          <w:lang w:val="en-US" w:eastAsia="zh-CN" w:bidi="ar-SA"/>
        </w:rPr>
      </w:pPr>
      <w:r>
        <w:rPr>
          <w:rStyle w:val="7"/>
          <w:rFonts w:hint="eastAsia"/>
          <w:color w:val="auto"/>
          <w:sz w:val="32"/>
          <w:szCs w:val="32"/>
          <w:lang w:val="en-US" w:eastAsia="zh-CN"/>
        </w:rPr>
        <w:t>（十五）培大育强服务业平台和企业。</w:t>
      </w:r>
      <w:r>
        <w:rPr>
          <w:rFonts w:hint="eastAsia" w:ascii="仿宋_GB2312" w:hAnsi="仿宋_GB2312" w:eastAsia="仿宋_GB2312" w:cs="仿宋_GB2312"/>
          <w:color w:val="auto"/>
          <w:sz w:val="32"/>
          <w:szCs w:val="32"/>
          <w:lang w:val="en-US" w:eastAsia="zh-CN"/>
        </w:rPr>
        <w:t>推动根源数字文旅创新发展区建设，落地文化旅游街区项目，集聚文旅及相关产业企业，力争全年营收规模突破58亿元，其中主导产业营收占比持续超过70%。全面开展服务业企业升规入库行动，滚动更新服务业重点企业培育库，全年有序新增规上限上服务业企业10家。</w:t>
      </w:r>
      <w:r>
        <w:rPr>
          <w:rFonts w:hint="eastAsia" w:ascii="楷体_GB2312" w:hAnsi="楷体_GB2312" w:eastAsia="楷体_GB2312" w:cs="楷体_GB2312"/>
          <w:color w:val="auto"/>
          <w:sz w:val="32"/>
          <w:szCs w:val="32"/>
          <w:lang w:val="en-US" w:eastAsia="zh-CN"/>
        </w:rPr>
        <w:t>（责任单位：县发改局、县经信局、根宫佛国发展中心）</w:t>
      </w:r>
    </w:p>
    <w:p w14:paraId="3AB6E9E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kern w:val="2"/>
          <w:sz w:val="32"/>
          <w:szCs w:val="32"/>
          <w:lang w:val="en-US" w:eastAsia="zh-CN" w:bidi="ar-SA"/>
        </w:rPr>
        <w:t>四、</w:t>
      </w:r>
      <w:r>
        <w:rPr>
          <w:rFonts w:hint="eastAsia" w:ascii="黑体" w:hAnsi="黑体" w:eastAsia="黑体" w:cs="黑体"/>
          <w:color w:val="auto"/>
          <w:sz w:val="32"/>
          <w:szCs w:val="32"/>
          <w:lang w:val="en-US" w:eastAsia="zh-CN"/>
        </w:rPr>
        <w:t>推进综合交通枢纽建设（由交通运输局牵头）</w:t>
      </w:r>
    </w:p>
    <w:p w14:paraId="7618DA4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kern w:val="0"/>
          <w:sz w:val="32"/>
          <w:szCs w:val="32"/>
          <w:lang w:val="en-US" w:eastAsia="zh-CN" w:bidi="ar"/>
        </w:rPr>
        <w:t>系统构建综合立体交通体系，积极向上争取资金、政策支持。推动衢黄铁路纳规；大力发展低空经济新业态；攻坚通用机场、杭淳开高速、205国道、四好农村路建设；</w:t>
      </w:r>
      <w:r>
        <w:rPr>
          <w:rFonts w:hint="eastAsia" w:ascii="仿宋_GB2312" w:hAnsi="仿宋_GB2312" w:eastAsia="仿宋_GB2312" w:cs="仿宋_GB2312"/>
          <w:color w:val="auto"/>
          <w:kern w:val="0"/>
          <w:sz w:val="32"/>
          <w:szCs w:val="32"/>
          <w:lang w:eastAsia="zh-CN" w:bidi="ar"/>
          <w:woUserID w:val="2"/>
        </w:rPr>
        <w:t>推广</w:t>
      </w:r>
      <w:r>
        <w:rPr>
          <w:rFonts w:hint="eastAsia" w:ascii="仿宋_GB2312" w:hAnsi="仿宋_GB2312" w:eastAsia="仿宋_GB2312" w:cs="仿宋_GB2312"/>
          <w:color w:val="auto"/>
          <w:kern w:val="0"/>
          <w:sz w:val="32"/>
          <w:szCs w:val="32"/>
          <w:lang w:val="en-US" w:eastAsia="zh-CN" w:bidi="ar"/>
          <w:woUserID w:val="2"/>
        </w:rPr>
        <w:t>新能源运输装备</w:t>
      </w:r>
      <w:r>
        <w:rPr>
          <w:rFonts w:hint="eastAsia" w:ascii="仿宋_GB2312" w:hAnsi="仿宋_GB2312" w:eastAsia="仿宋_GB2312" w:cs="仿宋_GB2312"/>
          <w:color w:val="auto"/>
          <w:sz w:val="32"/>
          <w:szCs w:val="32"/>
          <w:lang w:val="en-US" w:eastAsia="zh-CN"/>
        </w:rPr>
        <w:t>，促进城乡客货邮融合发展。2025年，</w:t>
      </w:r>
      <w:r>
        <w:rPr>
          <w:rFonts w:hint="eastAsia" w:ascii="仿宋_GB2312" w:hAnsi="仿宋_GB2312" w:eastAsia="仿宋_GB2312" w:cs="仿宋_GB2312"/>
          <w:i w:val="0"/>
          <w:iCs w:val="0"/>
          <w:caps w:val="0"/>
          <w:color w:val="auto"/>
          <w:spacing w:val="0"/>
          <w:sz w:val="32"/>
          <w:szCs w:val="32"/>
          <w:shd w:val="clear" w:fill="FFFFFF"/>
        </w:rPr>
        <w:t>县财政预算安排1.86亿元，省拨补助资金1.13亿元。</w:t>
      </w:r>
    </w:p>
    <w:p w14:paraId="2334EB1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（十六）支持通用航空和低空经济发展。</w:t>
      </w:r>
      <w:r>
        <w:rPr>
          <w:rFonts w:hint="eastAsia" w:ascii="仿宋_GB2312" w:hAnsi="仿宋_GB2312" w:eastAsia="仿宋_GB2312" w:cs="仿宋_GB2312"/>
          <w:color w:val="auto"/>
          <w:sz w:val="32"/>
          <w:szCs w:val="32"/>
          <w:lang w:val="en-US" w:eastAsia="zh-CN"/>
        </w:rPr>
        <w:t>全力攻坚开化通用机场建设，落实通用机场建设、通用航空短途运输航线运营省级资金补助。研究制定《开化县关于支持低空经济高质量发展的若干措施》，在低空基础设施建设、通用航空运营、应用场景拓展、重点企业培育、低空产业导入方面给予资金支持，鼓励市场主体参与低空经济领域生产、经营、科研活动。组织创建省低空经济“先飞区”试点，牵头推动落实试点创建各项工作。</w:t>
      </w:r>
      <w:r>
        <w:rPr>
          <w:rFonts w:hint="eastAsia" w:ascii="楷体_GB2312" w:hAnsi="楷体_GB2312" w:eastAsia="楷体_GB2312" w:cs="楷体_GB2312"/>
          <w:color w:val="auto"/>
          <w:sz w:val="32"/>
          <w:szCs w:val="32"/>
          <w:lang w:val="en-US" w:eastAsia="zh-CN"/>
        </w:rPr>
        <w:t>（责任单位：县交通运输局）</w:t>
      </w:r>
    </w:p>
    <w:p w14:paraId="3BA6DCF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（十七）开展铁路项目大会战。</w:t>
      </w:r>
      <w:r>
        <w:rPr>
          <w:rFonts w:hint="eastAsia" w:ascii="仿宋_GB2312" w:hAnsi="仿宋_GB2312" w:eastAsia="仿宋_GB2312" w:cs="仿宋_GB2312"/>
          <w:color w:val="auto"/>
          <w:sz w:val="32"/>
          <w:szCs w:val="32"/>
          <w:lang w:val="en-US" w:eastAsia="zh-CN"/>
        </w:rPr>
        <w:t>持续推进衢黄铁路项目纳规，联合黄山市向上推动衢黄铁路项目正式纳入中长期铁路网规划修编，全力助推省市适时启动项目预可研工作。</w:t>
      </w:r>
      <w:r>
        <w:rPr>
          <w:rFonts w:hint="eastAsia" w:ascii="楷体_GB2312" w:hAnsi="楷体_GB2312" w:eastAsia="楷体_GB2312" w:cs="楷体_GB2312"/>
          <w:color w:val="auto"/>
          <w:sz w:val="32"/>
          <w:szCs w:val="32"/>
          <w:lang w:val="en-US" w:eastAsia="zh-CN"/>
        </w:rPr>
        <w:t>（责任单位：县发改局、县交通运输局）</w:t>
      </w:r>
    </w:p>
    <w:p w14:paraId="2BA0D2D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（十八）稳步推进交通惠民。</w:t>
      </w:r>
      <w:r>
        <w:rPr>
          <w:rFonts w:hint="eastAsia" w:ascii="仿宋_GB2312" w:hAnsi="仿宋_GB2312" w:eastAsia="仿宋_GB2312" w:cs="仿宋_GB2312"/>
          <w:color w:val="auto"/>
          <w:sz w:val="32"/>
          <w:szCs w:val="32"/>
          <w:lang w:val="en-US" w:eastAsia="zh-CN"/>
          <w:woUserID w:val="1"/>
        </w:rPr>
        <w:t>加快老旧营运车更新淘汰，推动全域公交新能源化，鼓励公交客运行业新能源化比例提升，对更新新能源车辆企业给予购车价50%的补助</w:t>
      </w:r>
      <w:r>
        <w:rPr>
          <w:rFonts w:hint="eastAsia" w:ascii="仿宋_GB2312" w:hAnsi="仿宋_GB2312" w:eastAsia="仿宋_GB2312" w:cs="仿宋_GB2312"/>
          <w:color w:val="auto"/>
          <w:sz w:val="32"/>
          <w:szCs w:val="32"/>
          <w:lang w:eastAsia="zh-CN"/>
          <w:woUserID w:val="1"/>
        </w:rPr>
        <w:t>，</w:t>
      </w:r>
      <w:r>
        <w:rPr>
          <w:rFonts w:hint="eastAsia" w:ascii="仿宋_GB2312" w:hAnsi="仿宋_GB2312" w:eastAsia="仿宋_GB2312" w:cs="仿宋_GB2312"/>
          <w:color w:val="auto"/>
          <w:sz w:val="32"/>
          <w:szCs w:val="32"/>
          <w:lang w:val="en-US" w:eastAsia="zh-CN"/>
          <w:woUserID w:val="1"/>
        </w:rPr>
        <w:t>钱江源森林公园渡口渡船计划采购新能源客船。支持推进建设“四好农村路”2.0版，新建或提升农村公路约56.65公里，乡镇通三级以上公路比例达93.75%。推进客货邮省级民生实事，计划新开通1条客货邮融合专线，新建5个村级物流服务点。</w:t>
      </w:r>
      <w:r>
        <w:rPr>
          <w:rFonts w:hint="eastAsia" w:ascii="楷体_GB2312" w:hAnsi="楷体_GB2312" w:eastAsia="楷体_GB2312" w:cs="楷体_GB2312"/>
          <w:color w:val="auto"/>
          <w:sz w:val="32"/>
          <w:szCs w:val="32"/>
          <w:lang w:val="en-US" w:eastAsia="zh-CN"/>
        </w:rPr>
        <w:t>（责任单位：县交通运输局）</w:t>
      </w:r>
    </w:p>
    <w:p w14:paraId="688B242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kern w:val="2"/>
          <w:sz w:val="32"/>
          <w:szCs w:val="32"/>
          <w:lang w:val="en-US" w:eastAsia="zh-CN" w:bidi="ar-SA"/>
        </w:rPr>
        <w:t>五、</w:t>
      </w:r>
      <w:r>
        <w:rPr>
          <w:rFonts w:hint="eastAsia" w:ascii="黑体" w:hAnsi="黑体" w:eastAsia="黑体" w:cs="黑体"/>
          <w:color w:val="auto"/>
          <w:sz w:val="32"/>
          <w:szCs w:val="32"/>
          <w:lang w:val="en-US" w:eastAsia="zh-CN"/>
        </w:rPr>
        <w:t>推进高水平对外开放（由经信局牵头）</w:t>
      </w:r>
    </w:p>
    <w:p w14:paraId="301F9D6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i w:val="0"/>
          <w:iCs w:val="0"/>
          <w:caps w:val="0"/>
          <w:color w:val="auto"/>
          <w:spacing w:val="0"/>
          <w:sz w:val="32"/>
          <w:szCs w:val="32"/>
          <w:shd w:val="clear" w:fill="FFFFFF"/>
        </w:rPr>
        <w:t>全力推进“开放型经济”提升，积极培育外贸新模式，做大做强跨境电商产业，加大进出口各级资金扶持，更大力度吸引和利用外资，培育壮大外贸企业队伍，力争出口同比增长15%以上，实际利用外资1000万美元，跨境电商出口1.8亿元。</w:t>
      </w:r>
      <w:r>
        <w:rPr>
          <w:rFonts w:hint="eastAsia" w:ascii="仿宋_GB2312" w:hAnsi="仿宋_GB2312" w:eastAsia="仿宋_GB2312" w:cs="仿宋_GB2312"/>
          <w:i w:val="0"/>
          <w:iCs w:val="0"/>
          <w:caps w:val="0"/>
          <w:color w:val="auto"/>
          <w:spacing w:val="0"/>
          <w:sz w:val="32"/>
          <w:szCs w:val="32"/>
          <w:shd w:val="clear" w:fill="FFFFFF"/>
          <w:lang w:val="en-US" w:eastAsia="zh-CN"/>
        </w:rPr>
        <w:t>2025年，</w:t>
      </w:r>
      <w:r>
        <w:rPr>
          <w:rFonts w:hint="eastAsia" w:ascii="仿宋_GB2312" w:hAnsi="仿宋_GB2312" w:eastAsia="仿宋_GB2312" w:cs="仿宋_GB2312"/>
          <w:i w:val="0"/>
          <w:iCs w:val="0"/>
          <w:caps w:val="0"/>
          <w:color w:val="auto"/>
          <w:spacing w:val="0"/>
          <w:sz w:val="32"/>
          <w:szCs w:val="32"/>
          <w:shd w:val="clear" w:fill="FFFFFF"/>
        </w:rPr>
        <w:t>县财政预算安排1405万元支持招大育强、商务展会、外资招引、国际品牌建设、信用保险费用补助及促进跨境电子商务发展。</w:t>
      </w:r>
    </w:p>
    <w:p w14:paraId="521F917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b w:val="0"/>
          <w:bCs w:val="0"/>
          <w:color w:val="auto"/>
          <w:kern w:val="2"/>
          <w:sz w:val="32"/>
          <w:szCs w:val="32"/>
          <w:lang w:val="en-US" w:eastAsia="zh-CN" w:bidi="ar-SA"/>
        </w:rPr>
      </w:pPr>
      <w:r>
        <w:rPr>
          <w:rFonts w:hint="default" w:ascii="楷体_GB2312" w:hAnsi="楷体_GB2312" w:eastAsia="楷体_GB2312" w:cs="楷体_GB2312"/>
          <w:color w:val="auto"/>
          <w:sz w:val="32"/>
          <w:szCs w:val="32"/>
          <w:lang w:val="en-US" w:eastAsia="zh-CN"/>
        </w:rPr>
        <w:t>（</w:t>
      </w:r>
      <w:r>
        <w:rPr>
          <w:rFonts w:hint="eastAsia" w:ascii="楷体_GB2312" w:hAnsi="楷体_GB2312" w:eastAsia="楷体_GB2312" w:cs="楷体_GB2312"/>
          <w:color w:val="auto"/>
          <w:sz w:val="32"/>
          <w:szCs w:val="32"/>
          <w:lang w:val="en-US" w:eastAsia="zh-CN"/>
        </w:rPr>
        <w:t>十九</w:t>
      </w:r>
      <w:r>
        <w:rPr>
          <w:rFonts w:hint="default" w:ascii="楷体_GB2312" w:hAnsi="楷体_GB2312" w:eastAsia="楷体_GB2312" w:cs="楷体_GB2312"/>
          <w:color w:val="auto"/>
          <w:sz w:val="32"/>
          <w:szCs w:val="32"/>
          <w:lang w:val="en-US" w:eastAsia="zh-CN"/>
        </w:rPr>
        <w:t>）</w:t>
      </w:r>
      <w:r>
        <w:rPr>
          <w:rFonts w:hint="eastAsia" w:ascii="楷体_GB2312" w:hAnsi="楷体_GB2312" w:eastAsia="楷体_GB2312" w:cs="楷体_GB2312"/>
          <w:color w:val="auto"/>
          <w:sz w:val="32"/>
          <w:szCs w:val="32"/>
          <w:lang w:val="en-US" w:eastAsia="zh-CN"/>
        </w:rPr>
        <w:t>积极培育外贸新模式。</w:t>
      </w:r>
      <w:r>
        <w:rPr>
          <w:rFonts w:hint="eastAsia" w:ascii="仿宋_GB2312" w:hAnsi="仿宋_GB2312" w:eastAsia="仿宋_GB2312" w:cs="仿宋_GB2312"/>
          <w:color w:val="auto"/>
          <w:sz w:val="32"/>
          <w:szCs w:val="32"/>
          <w:lang w:val="en-US" w:eastAsia="zh-CN"/>
        </w:rPr>
        <w:t>持续开展拓市场增订单行动，组织企业参加各类境内外展会150场次以上。发展“直播+平台+跨境电商”融合模式，用足用好省级专项资金，做好跨境电商产业园建设运营，培育跨境电商相关企业30家，举办服务对接活动15场以上。对年自营出口500万美元（含）以下的企业采用简易联合投保模式，其联保费用予以全额补助，企业自行参保的按其实际支付保费的80%给予补助，每家企业每年补助不超过80万元。同时，联合中信保开展国际形势分析、出口风险防控等课程培训，与企业共筑风险防护网。对浙江省鼓励进口产品和技术目录内的先进产品技术等给予贴息支持。</w:t>
      </w:r>
      <w:r>
        <w:rPr>
          <w:rFonts w:hint="eastAsia" w:ascii="楷体_GB2312" w:hAnsi="楷体_GB2312" w:eastAsia="楷体_GB2312" w:cs="楷体_GB2312"/>
          <w:color w:val="auto"/>
          <w:sz w:val="32"/>
          <w:szCs w:val="32"/>
          <w:lang w:val="en-US" w:eastAsia="zh-CN"/>
        </w:rPr>
        <w:t>（责任单位：县经信局）</w:t>
      </w:r>
    </w:p>
    <w:p w14:paraId="252CA3B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b w:val="0"/>
          <w:bCs w:val="0"/>
          <w:color w:val="auto"/>
          <w:kern w:val="2"/>
          <w:sz w:val="32"/>
          <w:szCs w:val="32"/>
          <w:lang w:val="en-US" w:eastAsia="zh-CN" w:bidi="ar-SA"/>
        </w:rPr>
      </w:pPr>
      <w:r>
        <w:rPr>
          <w:rFonts w:hint="default" w:ascii="Times New Roman" w:hAnsi="Times New Roman" w:eastAsia="楷体_GB2312" w:cs="Times New Roman"/>
          <w:b w:val="0"/>
          <w:bCs w:val="0"/>
          <w:color w:val="auto"/>
          <w:kern w:val="2"/>
          <w:sz w:val="32"/>
          <w:szCs w:val="32"/>
          <w:lang w:val="en-US" w:eastAsia="zh-CN" w:bidi="ar-SA"/>
        </w:rPr>
        <w:t>（</w:t>
      </w:r>
      <w:r>
        <w:rPr>
          <w:rFonts w:hint="eastAsia" w:ascii="Times New Roman" w:hAnsi="Times New Roman" w:eastAsia="楷体_GB2312" w:cs="Times New Roman"/>
          <w:b w:val="0"/>
          <w:bCs w:val="0"/>
          <w:color w:val="auto"/>
          <w:kern w:val="2"/>
          <w:sz w:val="32"/>
          <w:szCs w:val="32"/>
          <w:lang w:val="en-US" w:eastAsia="zh-CN" w:bidi="ar-SA"/>
        </w:rPr>
        <w:t>二十</w:t>
      </w:r>
      <w:r>
        <w:rPr>
          <w:rFonts w:hint="default" w:ascii="Times New Roman" w:hAnsi="Times New Roman" w:eastAsia="楷体_GB2312" w:cs="Times New Roman"/>
          <w:b w:val="0"/>
          <w:bCs w:val="0"/>
          <w:color w:val="auto"/>
          <w:kern w:val="2"/>
          <w:sz w:val="32"/>
          <w:szCs w:val="32"/>
          <w:lang w:val="en-US" w:eastAsia="zh-CN" w:bidi="ar-SA"/>
        </w:rPr>
        <w:t>）</w:t>
      </w:r>
      <w:r>
        <w:rPr>
          <w:rFonts w:hint="eastAsia" w:ascii="Times New Roman" w:hAnsi="Times New Roman" w:eastAsia="楷体_GB2312" w:cs="Times New Roman"/>
          <w:b w:val="0"/>
          <w:bCs w:val="0"/>
          <w:color w:val="auto"/>
          <w:kern w:val="2"/>
          <w:sz w:val="32"/>
          <w:szCs w:val="32"/>
          <w:lang w:val="en-US" w:eastAsia="zh-CN" w:bidi="ar-SA"/>
        </w:rPr>
        <w:t>大力吸引和利用高质量外资。</w:t>
      </w:r>
      <w:r>
        <w:rPr>
          <w:rFonts w:hint="eastAsia" w:ascii="仿宋_GB2312" w:hAnsi="仿宋_GB2312" w:eastAsia="仿宋_GB2312" w:cs="仿宋_GB2312"/>
          <w:b w:val="0"/>
          <w:bCs w:val="0"/>
          <w:color w:val="auto"/>
          <w:kern w:val="2"/>
          <w:sz w:val="32"/>
          <w:szCs w:val="32"/>
          <w:lang w:val="en-US" w:eastAsia="zh-CN" w:bidi="ar-SA"/>
        </w:rPr>
        <w:t>深化开展“投资浙里”全球大招商，重点关注外资项目招引，鼓励赴境外重点国别（地区）开展招商推介1次。支持外商企业投资设立外资研发中心，落实科研支持、税收优惠等帮扶政策。</w:t>
      </w:r>
      <w:r>
        <w:rPr>
          <w:rFonts w:hint="eastAsia" w:ascii="楷体_GB2312" w:hAnsi="楷体_GB2312" w:eastAsia="楷体_GB2312" w:cs="楷体_GB2312"/>
          <w:b w:val="0"/>
          <w:bCs w:val="0"/>
          <w:color w:val="auto"/>
          <w:kern w:val="2"/>
          <w:sz w:val="32"/>
          <w:szCs w:val="32"/>
          <w:lang w:val="en-US" w:eastAsia="zh-CN" w:bidi="ar-SA"/>
        </w:rPr>
        <w:t>（责任单位：县经信局、县招商投资促进中心、县科创中心、县税务局）</w:t>
      </w:r>
    </w:p>
    <w:p w14:paraId="028F6C0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color w:val="auto"/>
          <w:kern w:val="2"/>
          <w:sz w:val="32"/>
          <w:szCs w:val="32"/>
          <w:highlight w:val="none"/>
          <w:lang w:val="en-US" w:eastAsia="zh-CN" w:bidi="ar-SA"/>
        </w:rPr>
      </w:pPr>
      <w:r>
        <w:rPr>
          <w:rFonts w:hint="default" w:ascii="Times New Roman" w:hAnsi="Times New Roman" w:eastAsia="楷体_GB2312" w:cs="Times New Roman"/>
          <w:b w:val="0"/>
          <w:bCs w:val="0"/>
          <w:color w:val="auto"/>
          <w:kern w:val="2"/>
          <w:sz w:val="32"/>
          <w:szCs w:val="32"/>
          <w:lang w:val="en-US" w:eastAsia="zh-CN" w:bidi="ar-SA"/>
        </w:rPr>
        <w:t>（</w:t>
      </w:r>
      <w:r>
        <w:rPr>
          <w:rFonts w:hint="eastAsia" w:ascii="Times New Roman" w:hAnsi="Times New Roman" w:eastAsia="楷体_GB2312" w:cs="Times New Roman"/>
          <w:b w:val="0"/>
          <w:bCs w:val="0"/>
          <w:color w:val="auto"/>
          <w:kern w:val="2"/>
          <w:sz w:val="32"/>
          <w:szCs w:val="32"/>
          <w:lang w:eastAsia="zh-CN" w:bidi="ar-SA"/>
          <w:woUserID w:val="1"/>
        </w:rPr>
        <w:t>二十一</w:t>
      </w:r>
      <w:r>
        <w:rPr>
          <w:rFonts w:hint="default" w:ascii="Times New Roman" w:hAnsi="Times New Roman" w:eastAsia="楷体_GB2312" w:cs="Times New Roman"/>
          <w:b w:val="0"/>
          <w:bCs w:val="0"/>
          <w:color w:val="auto"/>
          <w:kern w:val="2"/>
          <w:sz w:val="32"/>
          <w:szCs w:val="32"/>
          <w:lang w:val="en-US" w:eastAsia="zh-CN" w:bidi="ar-SA"/>
        </w:rPr>
        <w:t>）</w:t>
      </w:r>
      <w:r>
        <w:rPr>
          <w:rFonts w:hint="eastAsia" w:ascii="Times New Roman" w:hAnsi="Times New Roman" w:eastAsia="楷体_GB2312" w:cs="Times New Roman"/>
          <w:b w:val="0"/>
          <w:bCs w:val="0"/>
          <w:color w:val="auto"/>
          <w:kern w:val="2"/>
          <w:sz w:val="32"/>
          <w:szCs w:val="32"/>
          <w:lang w:val="en-US" w:eastAsia="zh-CN" w:bidi="ar-SA"/>
        </w:rPr>
        <w:t>提升产业链供应链国际竞争力。</w:t>
      </w:r>
      <w:r>
        <w:rPr>
          <w:rFonts w:hint="eastAsia" w:ascii="仿宋_GB2312" w:hAnsi="仿宋_GB2312" w:eastAsia="仿宋_GB2312" w:cs="仿宋_GB2312"/>
          <w:b w:val="0"/>
          <w:bCs w:val="0"/>
          <w:color w:val="auto"/>
          <w:kern w:val="2"/>
          <w:sz w:val="32"/>
          <w:szCs w:val="32"/>
          <w:lang w:val="en-US" w:eastAsia="zh-CN" w:bidi="ar-SA"/>
        </w:rPr>
        <w:t>动态跟踪培育库内企业生产经营情况，推进县域中小外贸企业上规升级，力争培育一批专业化、潜力型外贸主体。</w:t>
      </w:r>
      <w:r>
        <w:rPr>
          <w:rFonts w:hint="eastAsia" w:ascii="Times New Roman" w:hAnsi="Times New Roman" w:eastAsia="楷体_GB2312" w:cs="Times New Roman"/>
          <w:b w:val="0"/>
          <w:bCs w:val="0"/>
          <w:color w:val="auto"/>
          <w:kern w:val="2"/>
          <w:sz w:val="32"/>
          <w:szCs w:val="32"/>
          <w:lang w:val="en-US" w:eastAsia="zh-CN" w:bidi="ar-SA"/>
        </w:rPr>
        <w:t>（责任单位：县经信局、县经开区、各乡镇）</w:t>
      </w:r>
    </w:p>
    <w:p w14:paraId="698E9AF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kern w:val="2"/>
          <w:sz w:val="32"/>
          <w:szCs w:val="32"/>
          <w:lang w:val="en-US" w:eastAsia="zh-CN" w:bidi="ar-SA"/>
        </w:rPr>
        <w:t>六、</w:t>
      </w:r>
      <w:r>
        <w:rPr>
          <w:rFonts w:hint="eastAsia" w:ascii="黑体" w:hAnsi="黑体" w:eastAsia="黑体" w:cs="黑体"/>
          <w:color w:val="auto"/>
          <w:sz w:val="32"/>
          <w:szCs w:val="32"/>
          <w:lang w:val="en-US" w:eastAsia="zh-CN"/>
        </w:rPr>
        <w:t>全力扩大有效投资（由发改局牵头）</w:t>
      </w:r>
    </w:p>
    <w:p w14:paraId="516B45C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深入开展项目攻坚提升年活动，用好“四新项目”、“四大办”统筹推进机制，加速推进130个县重点项目建设，完成固定资产投资96亿元，开复工率90%以上，抓好重大项目，尤其是省千项万亿、市重点项目开工率、投资完成率达到“双百”。</w:t>
      </w:r>
    </w:p>
    <w:p w14:paraId="4BA7817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（二十二）更大力度营造投资环境。</w:t>
      </w:r>
      <w:r>
        <w:rPr>
          <w:rFonts w:hint="eastAsia" w:ascii="仿宋_GB2312" w:hAnsi="仿宋_GB2312" w:eastAsia="仿宋_GB2312" w:cs="仿宋_GB2312"/>
          <w:color w:val="auto"/>
          <w:sz w:val="32"/>
          <w:szCs w:val="32"/>
          <w:lang w:val="en-US" w:eastAsia="zh-CN"/>
        </w:rPr>
        <w:t>围绕保障重大项目建设、加大财政支持力度，激发全社会投资活力，2025年，县财政预算安排8.11亿元。其中综合交通领域1.74亿元，开化水库等水利工程建设领域资金1.24亿元，企业转型升级资金1.27亿元。全力争取重大产业项目用地指标，加大产业类项目招引力度，全面了解项目投资强度、亩均税收等约束性指标，应报尽报。全力保障重大项目林地指标，大力建设补充林地库，推进5000亩林地国土变更，保障杭淳开高速、205国道外移等重大项目林地定额指标。</w:t>
      </w:r>
      <w:r>
        <w:rPr>
          <w:rFonts w:hint="eastAsia" w:ascii="楷体_GB2312" w:hAnsi="楷体_GB2312" w:eastAsia="楷体_GB2312" w:cs="楷体_GB2312"/>
          <w:color w:val="auto"/>
          <w:sz w:val="32"/>
          <w:szCs w:val="32"/>
          <w:lang w:val="en-US" w:eastAsia="zh-CN"/>
        </w:rPr>
        <w:t>（责任单位：县发改局、县财政局、县资规局、县林业局、县招商投资促进中心）</w:t>
      </w:r>
    </w:p>
    <w:p w14:paraId="0FCC01F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（二十三）全力争取国家政策支持。</w:t>
      </w:r>
      <w:r>
        <w:rPr>
          <w:rFonts w:hint="eastAsia" w:ascii="仿宋_GB2312" w:hAnsi="仿宋_GB2312" w:eastAsia="仿宋_GB2312" w:cs="仿宋_GB2312"/>
          <w:color w:val="auto"/>
          <w:sz w:val="32"/>
          <w:szCs w:val="32"/>
          <w:lang w:val="en-US" w:eastAsia="zh-CN"/>
        </w:rPr>
        <w:t>积极向上争取超长期特别国债、中央预算内投资、地方政府专项债等政策性资金支持，抓住地方政府专项债“自审自发”试点机遇，动态谋划储备政策性项目100个以上，加速项目前期推进，2025年争取政策性资金保15亿元，力争20亿元。土地要素保障方面确保获得新增建设用地计划指标1000亩，争取205国道开化华埠至常山长风段改建工程、高坑水库等重大项目纳入国家用地保障范围，将符合条件的项目列入省级百大项目，争取省级用地报批支持，提高用地报批效率。</w:t>
      </w:r>
      <w:r>
        <w:rPr>
          <w:rFonts w:hint="eastAsia" w:ascii="楷体_GB2312" w:hAnsi="楷体_GB2312" w:eastAsia="楷体_GB2312" w:cs="楷体_GB2312"/>
          <w:color w:val="auto"/>
          <w:sz w:val="32"/>
          <w:szCs w:val="32"/>
          <w:lang w:val="en-US" w:eastAsia="zh-CN"/>
        </w:rPr>
        <w:t>（责任单位：县发改局、财政局、资源规划局）</w:t>
      </w:r>
    </w:p>
    <w:p w14:paraId="5B00721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sz w:val="32"/>
          <w:szCs w:val="32"/>
          <w:lang w:val="en-US" w:eastAsia="zh-CN"/>
        </w:rPr>
        <w:t>（二十四）加大对民间投资支持力度。</w:t>
      </w:r>
      <w:r>
        <w:rPr>
          <w:rFonts w:hint="eastAsia" w:ascii="仿宋_GB2312" w:hAnsi="仿宋_GB2312" w:eastAsia="仿宋_GB2312" w:cs="仿宋_GB2312"/>
          <w:color w:val="auto"/>
          <w:sz w:val="32"/>
          <w:szCs w:val="32"/>
          <w:lang w:val="en-US" w:eastAsia="zh-CN"/>
        </w:rPr>
        <w:t>完善项目推介机制，</w:t>
      </w:r>
      <w:r>
        <w:rPr>
          <w:rFonts w:hint="eastAsia" w:ascii="仿宋_GB2312" w:hAnsi="仿宋_GB2312" w:eastAsia="仿宋_GB2312" w:cs="仿宋_GB2312"/>
          <w:i w:val="0"/>
          <w:iCs w:val="0"/>
          <w:caps w:val="0"/>
          <w:color w:val="auto"/>
          <w:spacing w:val="0"/>
          <w:sz w:val="32"/>
          <w:szCs w:val="32"/>
          <w:shd w:val="clear" w:fill="FFFFFF"/>
        </w:rPr>
        <w:t>持续向民营企业推介拟吸引民间资本参与的项目清单</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建立投资额5000万元以上县级项目库，掌握项目建设进度，协调有关方面解决重点项目落地的卡点问题。推动国企民企深化合作模式，推动构建资本、项目、产业链、科技创新、“走出去”等多领域合作机制。</w:t>
      </w:r>
      <w:r>
        <w:rPr>
          <w:rFonts w:hint="eastAsia" w:ascii="楷体_GB2312" w:hAnsi="楷体_GB2312" w:eastAsia="楷体_GB2312" w:cs="楷体_GB2312"/>
          <w:i w:val="0"/>
          <w:iCs w:val="0"/>
          <w:caps w:val="0"/>
          <w:color w:val="auto"/>
          <w:spacing w:val="0"/>
          <w:sz w:val="32"/>
          <w:szCs w:val="32"/>
          <w:shd w:val="clear" w:fill="FFFFFF"/>
          <w:lang w:eastAsia="zh-CN"/>
        </w:rPr>
        <w:t>（责任单位：县发改局）</w:t>
      </w:r>
    </w:p>
    <w:p w14:paraId="0C46E25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（二十五）强化用能要素保障。</w:t>
      </w:r>
      <w:r>
        <w:rPr>
          <w:rFonts w:hint="eastAsia" w:ascii="仿宋_GB2312" w:hAnsi="仿宋_GB2312" w:eastAsia="仿宋_GB2312" w:cs="仿宋_GB2312"/>
          <w:color w:val="auto"/>
          <w:sz w:val="32"/>
          <w:szCs w:val="32"/>
          <w:lang w:val="en-US" w:eastAsia="zh-CN"/>
        </w:rPr>
        <w:t>全力推进高耗低效企业整治、工业节能降碳技改，着力腾出市级下达存量用能空间。加快审批进度，全力保障寺坞矿、大高镭射、泰康药业等重大制造业项目能耗指标保障。积极拓展省外绿证增量，对单位工业增加值能耗超过浙江省“十四五”末工业增加值能耗控制标准的新上项目严格落实绿证可再生能源消费比例制度，督促2024年实行可再生能源消费比例承诺及用能预算超过全年核定值的企业加快购买绿证，2025年累计消纳省外绿证超1.5万张以上。争取原料用能以及可再生能源电力消费量不纳入市对县能耗强度和总量考核。</w:t>
      </w:r>
      <w:r>
        <w:rPr>
          <w:rFonts w:hint="eastAsia" w:ascii="楷体_GB2312" w:hAnsi="楷体_GB2312" w:eastAsia="楷体_GB2312" w:cs="楷体_GB2312"/>
          <w:color w:val="auto"/>
          <w:sz w:val="32"/>
          <w:szCs w:val="32"/>
          <w:lang w:val="en-US" w:eastAsia="zh-CN"/>
        </w:rPr>
        <w:t>（责任单位：县发改局）</w:t>
      </w:r>
    </w:p>
    <w:p w14:paraId="5CD5AC0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kern w:val="2"/>
          <w:sz w:val="32"/>
          <w:szCs w:val="32"/>
          <w:lang w:val="en-US" w:eastAsia="zh-CN" w:bidi="ar-SA"/>
        </w:rPr>
        <w:t>七、</w:t>
      </w:r>
      <w:r>
        <w:rPr>
          <w:rFonts w:hint="eastAsia" w:ascii="黑体" w:hAnsi="黑体" w:eastAsia="黑体" w:cs="黑体"/>
          <w:color w:val="auto"/>
          <w:sz w:val="32"/>
          <w:szCs w:val="32"/>
          <w:lang w:val="en-US" w:eastAsia="zh-CN"/>
        </w:rPr>
        <w:t>推进城乡融合发展（由农业农村局牵头）</w:t>
      </w:r>
    </w:p>
    <w:p w14:paraId="51BF9E8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锚定高质量打造中国式现代化山区县样板目标，坚持“五大原则”，做好“强城”“兴村”“融合”三篇文章，统筹推进新型城镇化和乡村全面振兴。2025年，县级财政预算19797.31万元，其中乡村振兴资金350万元，新农村建设资金2141.85万元、政策兑现资金494万元和农业产业发展资金16811.46万元。</w:t>
      </w:r>
    </w:p>
    <w:p w14:paraId="5C1C18E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bCs/>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(二十六)全面推进乡村振兴。</w:t>
      </w:r>
      <w:r>
        <w:rPr>
          <w:rFonts w:hint="eastAsia" w:ascii="仿宋_GB2312" w:hAnsi="仿宋_GB2312" w:eastAsia="仿宋_GB2312" w:cs="仿宋_GB2312"/>
          <w:b w:val="0"/>
          <w:bCs w:val="0"/>
          <w:color w:val="auto"/>
          <w:sz w:val="32"/>
          <w:szCs w:val="32"/>
          <w:lang w:val="en-US" w:eastAsia="zh-CN"/>
        </w:rPr>
        <w:t>土特产全产业链产值突破68亿元，保持农村公路路况优良中等路率MQI95%以上，新增通双车道的建制村3个，提升改造“农村四好”公路7.86公里，新建农村充电桩66根，完成幸福河湖农村水系整治15公里、完成单村水站改造提升20座。加快文化体育设施建设，新建“15分钟品质文化生活圈”10个，综合体育中心建成投用。支持青年入乡发展，累计培育现代“新农人”达4000人、新增培育农创客300人。继续实施好规模粮油种植补贴、农机购置补贴和粮食生产贷款贴息政策。</w:t>
      </w:r>
      <w:r>
        <w:rPr>
          <w:rFonts w:hint="eastAsia" w:ascii="楷体_GB2312" w:hAnsi="楷体_GB2312" w:eastAsia="楷体_GB2312" w:cs="楷体_GB2312"/>
          <w:b w:val="0"/>
          <w:bCs w:val="0"/>
          <w:color w:val="auto"/>
          <w:sz w:val="32"/>
          <w:szCs w:val="32"/>
          <w:lang w:val="en-US" w:eastAsia="zh-CN"/>
        </w:rPr>
        <w:t>（责任单位：县农业农村局、县文广旅体局）</w:t>
      </w:r>
    </w:p>
    <w:p w14:paraId="4C80324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(二十七)推进以县城为重要载体的城镇化建设。</w:t>
      </w:r>
      <w:r>
        <w:rPr>
          <w:rFonts w:hint="eastAsia" w:ascii="仿宋_GB2312" w:hAnsi="仿宋_GB2312" w:eastAsia="仿宋_GB2312" w:cs="仿宋_GB2312"/>
          <w:b w:val="0"/>
          <w:bCs w:val="0"/>
          <w:color w:val="auto"/>
          <w:sz w:val="32"/>
          <w:szCs w:val="32"/>
          <w:lang w:val="en-US" w:eastAsia="zh-CN"/>
        </w:rPr>
        <w:t>聚焦“人地钱房岗”等关键要素，提升产业平台能级、提高公共服务质量、优化基础设施建设，做大做强县城、中心镇建设，实施开化县综合体育中心等10个县城综合承载能力提升重大项目，完成年度投资15亿元以上，配合完成马金镇“一镇一策”编制工作，积极向上对接争取资金要素倾斜。</w:t>
      </w:r>
      <w:r>
        <w:rPr>
          <w:rFonts w:hint="eastAsia" w:ascii="楷体_GB2312" w:hAnsi="楷体_GB2312" w:eastAsia="楷体_GB2312" w:cs="楷体_GB2312"/>
          <w:b w:val="0"/>
          <w:bCs w:val="0"/>
          <w:color w:val="auto"/>
          <w:sz w:val="32"/>
          <w:szCs w:val="32"/>
          <w:lang w:val="en-US" w:eastAsia="zh-CN"/>
        </w:rPr>
        <w:t>（责任单位：县发改局）</w:t>
      </w:r>
    </w:p>
    <w:p w14:paraId="2E3BF2C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(二十八)积极推进农业转移人口市民化。</w:t>
      </w:r>
      <w:r>
        <w:rPr>
          <w:rFonts w:hint="eastAsia" w:ascii="仿宋_GB2312" w:hAnsi="仿宋_GB2312" w:eastAsia="仿宋_GB2312" w:cs="仿宋_GB2312"/>
          <w:b w:val="0"/>
          <w:bCs w:val="0"/>
          <w:color w:val="auto"/>
          <w:sz w:val="32"/>
          <w:szCs w:val="32"/>
          <w:lang w:val="en-US" w:eastAsia="zh-CN"/>
        </w:rPr>
        <w:t>迭代升级搬迁政策，进一步挖掘搬迁潜力，力争2025年完成搬迁3000人。</w:t>
      </w:r>
      <w:r>
        <w:rPr>
          <w:rFonts w:hint="eastAsia" w:ascii="楷体_GB2312" w:hAnsi="楷体_GB2312" w:eastAsia="楷体_GB2312" w:cs="楷体_GB2312"/>
          <w:b w:val="0"/>
          <w:bCs w:val="0"/>
          <w:color w:val="auto"/>
          <w:sz w:val="32"/>
          <w:szCs w:val="32"/>
          <w:lang w:val="en-US" w:eastAsia="zh-CN"/>
        </w:rPr>
        <w:t>（责任单位：县农业农村局）</w:t>
      </w:r>
    </w:p>
    <w:p w14:paraId="6034D0E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（二十九）探索“土地综合整治+”新模式。</w:t>
      </w:r>
      <w:r>
        <w:rPr>
          <w:rFonts w:hint="eastAsia" w:ascii="仿宋_GB2312" w:hAnsi="仿宋_GB2312" w:eastAsia="仿宋_GB2312" w:cs="仿宋_GB2312"/>
          <w:b w:val="0"/>
          <w:bCs w:val="0"/>
          <w:color w:val="auto"/>
          <w:sz w:val="32"/>
          <w:szCs w:val="32"/>
          <w:lang w:val="en-US" w:eastAsia="zh-CN"/>
        </w:rPr>
        <w:t>实施“多田套合”工程，协同推进高标准农田建设与耕地功能恢复，稳步拓展农业发展空间。编制“多田套合”总体方案及工作方案，制定年度实施计划，2025年累计新增“多田套合”面积3.47万亩，全县“多田套合”率达到85%。积极拓宽资金筹措渠道，向上争取专项债并开展政策性融资。</w:t>
      </w:r>
      <w:r>
        <w:rPr>
          <w:rFonts w:hint="eastAsia" w:ascii="楷体_GB2312" w:hAnsi="楷体_GB2312" w:eastAsia="楷体_GB2312" w:cs="楷体_GB2312"/>
          <w:b w:val="0"/>
          <w:bCs w:val="0"/>
          <w:color w:val="auto"/>
          <w:sz w:val="32"/>
          <w:szCs w:val="32"/>
          <w:lang w:val="en-US" w:eastAsia="zh-CN"/>
        </w:rPr>
        <w:t>（责任单位：县资源规划局）</w:t>
      </w:r>
    </w:p>
    <w:p w14:paraId="143A651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（三十）推进山区海岛县高质量发展。</w:t>
      </w:r>
      <w:r>
        <w:rPr>
          <w:rFonts w:hint="eastAsia" w:ascii="仿宋_GB2312" w:hAnsi="仿宋_GB2312" w:eastAsia="仿宋_GB2312" w:cs="仿宋_GB2312"/>
          <w:b w:val="0"/>
          <w:bCs w:val="0"/>
          <w:color w:val="auto"/>
          <w:sz w:val="32"/>
          <w:szCs w:val="32"/>
          <w:lang w:val="en-US" w:eastAsia="zh-CN"/>
        </w:rPr>
        <w:t>编制开化县高质量跨越式发展三年行动方案（2025-2027年）。争取“一县一策”迭代升级。完成山海协作结对三年行动计划和发展飞地建设方案。加快滨海新区-开化山海协作“发展飞地”建设。</w:t>
      </w:r>
      <w:r>
        <w:rPr>
          <w:rFonts w:hint="eastAsia" w:ascii="楷体_GB2312" w:hAnsi="楷体_GB2312" w:eastAsia="楷体_GB2312" w:cs="楷体_GB2312"/>
          <w:b w:val="0"/>
          <w:bCs w:val="0"/>
          <w:color w:val="auto"/>
          <w:sz w:val="32"/>
          <w:szCs w:val="32"/>
          <w:lang w:val="en-US" w:eastAsia="zh-CN"/>
        </w:rPr>
        <w:t>（责任单位：县发改局）</w:t>
      </w:r>
    </w:p>
    <w:p w14:paraId="424E364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kern w:val="2"/>
          <w:sz w:val="32"/>
          <w:szCs w:val="32"/>
          <w:lang w:val="en-US" w:eastAsia="zh-CN" w:bidi="ar-SA"/>
        </w:rPr>
        <w:t>八、</w:t>
      </w:r>
      <w:r>
        <w:rPr>
          <w:rFonts w:hint="eastAsia" w:ascii="黑体" w:hAnsi="黑体" w:eastAsia="黑体" w:cs="黑体"/>
          <w:color w:val="auto"/>
          <w:sz w:val="32"/>
          <w:szCs w:val="32"/>
          <w:lang w:val="en-US" w:eastAsia="zh-CN"/>
        </w:rPr>
        <w:t>保障和改善民生（由人力社保局牵头）</w:t>
      </w:r>
    </w:p>
    <w:p w14:paraId="7EC7236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围绕2025年浙江省公共服务“七优享”工程工作要点，确保一般公共预算支出三分之二以上用于民生领域，切实提升人民群众获得感、幸福感、安全感和认同感。按照社会政策要兜牢民生底线的要求，全力筹措各类资金保障民生实事项目推进。2025年，县级财政预算安排资金4.37亿元，其中，支持学前教育、义务教育、普通高中和职业教育发展并资助各类学生0.57亿元，支持就业、高技能人才0.05亿元，支持医疗、卫生1.93亿元，支持养老保障、困难儿童帮扶及助残相关资金1.69亿元。</w:t>
      </w:r>
    </w:p>
    <w:p w14:paraId="77E0324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楷体_GB2312" w:hAnsi="楷体_GB2312" w:eastAsia="楷体_GB2312" w:cs="楷体_GB2312"/>
          <w:color w:val="auto"/>
          <w:sz w:val="32"/>
          <w:szCs w:val="32"/>
        </w:rPr>
        <w:t>（</w:t>
      </w:r>
      <w:r>
        <w:rPr>
          <w:rFonts w:hint="eastAsia" w:ascii="楷体_GB2312" w:hAnsi="楷体_GB2312" w:eastAsia="楷体_GB2312" w:cs="楷体_GB2312"/>
          <w:color w:val="auto"/>
          <w:sz w:val="32"/>
          <w:szCs w:val="32"/>
          <w:lang w:eastAsia="zh-CN"/>
        </w:rPr>
        <w:t>三十一</w:t>
      </w:r>
      <w:r>
        <w:rPr>
          <w:rFonts w:hint="eastAsia" w:ascii="楷体_GB2312" w:hAnsi="楷体_GB2312" w:eastAsia="楷体_GB2312" w:cs="楷体_GB2312"/>
          <w:color w:val="auto"/>
          <w:sz w:val="32"/>
          <w:szCs w:val="32"/>
        </w:rPr>
        <w:t>）推进基本公共服务一体化均等化。</w:t>
      </w:r>
      <w:r>
        <w:rPr>
          <w:rFonts w:hint="eastAsia" w:ascii="仿宋_GB2312" w:hAnsi="仿宋_GB2312" w:eastAsia="仿宋_GB2312" w:cs="仿宋_GB2312"/>
          <w:color w:val="auto"/>
          <w:sz w:val="32"/>
          <w:szCs w:val="32"/>
        </w:rPr>
        <w:t>建立健全托幼教育一体化体制机制，推动普惠托育服务纳入基本公共服务。制定中小学教职工编制跨县域统筹、教师编制县级统管政策。推广“共享教师”用人模式。推进乡村小规模学校优化提升，出台适应学龄人口变化的基础教育学校布局优化政策。加快构建职业教育“五统筹”体系。推进“常态化巡回诊疗+互联网医疗”。加强县域医共体建设，探索乡村医务人员编制县级统管、人员合理流转轮换机制。扎实开展公立医院改革与高质量发展示范项目。健全基本医疗保险筹资和待遇合理调整机制。稳步提高城乡居民基本养老保险基础养老金，推进长护险提质扩面，完善县域特困人员“一院供养”体系，推动特困供养机构县级统管。积极推进“四房共改”行动，构建城乡一体不动产登记服务体系，推进常住地提供住房保障基本公共服务。推进全</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域失能人员“多评合一”，完善社会救助服务联合体运行体系。完善就业服务体系，推进零工市场和产业工人市民化服务体系。推进农村客货邮融合发展。</w:t>
      </w:r>
      <w:r>
        <w:rPr>
          <w:rFonts w:hint="eastAsia" w:ascii="楷体_GB2312" w:hAnsi="楷体_GB2312" w:eastAsia="楷体_GB2312" w:cs="楷体_GB2312"/>
          <w:color w:val="auto"/>
          <w:sz w:val="32"/>
          <w:szCs w:val="32"/>
          <w:lang w:eastAsia="zh-CN"/>
        </w:rPr>
        <w:t>（责任单位：县府办）</w:t>
      </w:r>
    </w:p>
    <w:p w14:paraId="274E5A8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楷体_GB2312" w:hAnsi="楷体_GB2312" w:eastAsia="楷体_GB2312" w:cs="楷体_GB2312"/>
          <w:color w:val="auto"/>
          <w:sz w:val="32"/>
          <w:szCs w:val="32"/>
          <w:lang w:eastAsia="zh-CN"/>
        </w:rPr>
        <w:t>（三十二）</w:t>
      </w:r>
      <w:r>
        <w:rPr>
          <w:rFonts w:hint="eastAsia" w:ascii="楷体_GB2312" w:hAnsi="楷体_GB2312" w:eastAsia="楷体_GB2312" w:cs="楷体_GB2312"/>
          <w:color w:val="auto"/>
          <w:sz w:val="32"/>
          <w:szCs w:val="32"/>
        </w:rPr>
        <w:t>支持推进“劳有所得”。</w:t>
      </w:r>
      <w:r>
        <w:rPr>
          <w:rFonts w:hint="eastAsia" w:ascii="仿宋_GB2312" w:hAnsi="仿宋_GB2312" w:eastAsia="仿宋_GB2312" w:cs="仿宋_GB2312"/>
          <w:color w:val="auto"/>
          <w:sz w:val="32"/>
          <w:szCs w:val="32"/>
        </w:rPr>
        <w:t>创新就业创业服务模式,加快推进技能型社会建设,累计培育技能型企业</w:t>
      </w:r>
      <w:r>
        <w:rPr>
          <w:rFonts w:hint="eastAsia" w:ascii="Times New Roman" w:hAnsi="Times New Roman" w:eastAsia="仿宋_GB2312" w:cs="仿宋_GB2312"/>
          <w:color w:val="auto"/>
          <w:sz w:val="32"/>
          <w:szCs w:val="32"/>
        </w:rPr>
        <w:t>13</w:t>
      </w:r>
      <w:r>
        <w:rPr>
          <w:rFonts w:hint="eastAsia" w:ascii="仿宋_GB2312" w:hAnsi="仿宋_GB2312" w:eastAsia="仿宋_GB2312" w:cs="仿宋_GB2312"/>
          <w:color w:val="auto"/>
          <w:sz w:val="32"/>
          <w:szCs w:val="32"/>
        </w:rPr>
        <w:t>家、技能型乡村（社区）</w:t>
      </w:r>
      <w:r>
        <w:rPr>
          <w:rFonts w:hint="eastAsia" w:ascii="Times New Roman" w:hAnsi="Times New Roman" w:eastAsia="仿宋_GB2312" w:cs="仿宋_GB2312"/>
          <w:color w:val="auto"/>
          <w:sz w:val="32"/>
          <w:szCs w:val="32"/>
        </w:rPr>
        <w:t>2</w:t>
      </w:r>
      <w:r>
        <w:rPr>
          <w:rFonts w:hint="eastAsia" w:ascii="仿宋_GB2312" w:hAnsi="仿宋_GB2312" w:eastAsia="仿宋_GB2312" w:cs="仿宋_GB2312"/>
          <w:color w:val="auto"/>
          <w:sz w:val="32"/>
          <w:szCs w:val="32"/>
        </w:rPr>
        <w:t>个。完善工资收入分配制度,深化构建和谐劳动关系,深入打造“礼为先”劳动争议调解品牌。加强新就业形态就业人员职业伤害保障，推进工程建设项目参加工伤保险和实名制备案。延续实施阶段性降低失业保险费率政策。</w:t>
      </w:r>
      <w:r>
        <w:rPr>
          <w:rFonts w:hint="eastAsia" w:ascii="楷体_GB2312" w:hAnsi="楷体_GB2312" w:eastAsia="楷体_GB2312" w:cs="楷体_GB2312"/>
          <w:color w:val="auto"/>
          <w:sz w:val="32"/>
          <w:szCs w:val="32"/>
          <w:lang w:eastAsia="zh-CN"/>
        </w:rPr>
        <w:t>（责任单位：县人力社保局）</w:t>
      </w:r>
    </w:p>
    <w:p w14:paraId="4DE8B99B">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（三十三）支持推进“幼有善育”。</w:t>
      </w:r>
      <w:r>
        <w:rPr>
          <w:rFonts w:hint="eastAsia" w:ascii="仿宋_GB2312" w:hAnsi="仿宋_GB2312" w:eastAsia="仿宋_GB2312" w:cs="仿宋_GB2312"/>
          <w:color w:val="auto"/>
          <w:sz w:val="32"/>
          <w:szCs w:val="32"/>
          <w:lang w:val="en-US" w:eastAsia="zh-CN"/>
        </w:rPr>
        <w:t>持续完善普惠托育政策保障机制，支持发展普惠托育服务体系，推进落实普惠托育机构建设、运营等补助政策，推动建立政府、社会、家庭合理分担的普惠托育成本分担机制。大力发展幼托一体服务，积极推进社区嵌入式办托、用人单位办托、社会力量办托等模式，多渠道扩大普惠托育服务供给。根据国家、省统一部署，优化健全生育补贴制度，指导各地落实完善支持生育配套措施。</w:t>
      </w:r>
      <w:r>
        <w:rPr>
          <w:rFonts w:hint="eastAsia" w:ascii="楷体_GB2312" w:hAnsi="楷体_GB2312" w:eastAsia="楷体_GB2312" w:cs="楷体_GB2312"/>
          <w:color w:val="auto"/>
          <w:sz w:val="32"/>
          <w:szCs w:val="32"/>
          <w:lang w:val="en-US" w:eastAsia="zh-CN"/>
        </w:rPr>
        <w:t>（责任单位：县卫健局）</w:t>
      </w:r>
    </w:p>
    <w:p w14:paraId="5A0282A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（三十四）支持推进“学有优教”。</w:t>
      </w:r>
      <w:r>
        <w:rPr>
          <w:rFonts w:hint="eastAsia" w:ascii="仿宋_GB2312" w:hAnsi="仿宋_GB2312" w:eastAsia="仿宋_GB2312" w:cs="仿宋_GB2312"/>
          <w:color w:val="auto"/>
          <w:sz w:val="32"/>
          <w:szCs w:val="32"/>
          <w:lang w:val="en-US" w:eastAsia="zh-CN"/>
        </w:rPr>
        <w:t>积极应对学龄人口“梯次传导、错位达峰”变化趋势，持续推进教育布局优化调整。力争通过国家义务教育优质均衡发展县国家督导评估。为义务教育阶段持有居住证农民工随迁子女</w:t>
      </w:r>
      <w:r>
        <w:rPr>
          <w:rFonts w:hint="eastAsia" w:ascii="Times New Roman" w:hAnsi="Times New Roman" w:eastAsia="仿宋_GB2312" w:cs="仿宋_GB2312"/>
          <w:color w:val="auto"/>
          <w:sz w:val="32"/>
          <w:szCs w:val="32"/>
          <w:lang w:val="en-US" w:eastAsia="zh-CN"/>
        </w:rPr>
        <w:t>100</w:t>
      </w:r>
      <w:r>
        <w:rPr>
          <w:rFonts w:hint="eastAsia" w:ascii="仿宋_GB2312" w:hAnsi="仿宋_GB2312" w:eastAsia="仿宋_GB2312" w:cs="仿宋_GB2312"/>
          <w:color w:val="auto"/>
          <w:sz w:val="32"/>
          <w:szCs w:val="32"/>
          <w:lang w:val="en-US" w:eastAsia="zh-CN"/>
        </w:rPr>
        <w:t>%提供公办学位。深化城乡教共体集团化办学，实现城乡义务教育共建型、融合型共同体全覆盖。</w:t>
      </w:r>
      <w:r>
        <w:rPr>
          <w:rFonts w:hint="eastAsia" w:ascii="楷体_GB2312" w:hAnsi="楷体_GB2312" w:eastAsia="楷体_GB2312" w:cs="楷体_GB2312"/>
          <w:color w:val="auto"/>
          <w:sz w:val="32"/>
          <w:szCs w:val="32"/>
          <w:lang w:val="en-US" w:eastAsia="zh-CN"/>
        </w:rPr>
        <w:t>（责任单位：县教育局）</w:t>
      </w:r>
    </w:p>
    <w:p w14:paraId="247CA374">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（三十五）支持推进“住有宜居”。</w:t>
      </w:r>
      <w:r>
        <w:rPr>
          <w:rFonts w:hint="eastAsia" w:ascii="仿宋_GB2312" w:hAnsi="仿宋_GB2312" w:eastAsia="仿宋_GB2312" w:cs="仿宋_GB2312"/>
          <w:color w:val="auto"/>
          <w:sz w:val="32"/>
          <w:szCs w:val="32"/>
          <w:lang w:val="en-US" w:eastAsia="zh-CN"/>
        </w:rPr>
        <w:t>坚持严控增量、优化存量、提高质量，加快构建房地产发展新模式。以“白名单”方式继续推动房地产在建项目融资、建设和交付，商品房消费面积达</w:t>
      </w:r>
      <w:r>
        <w:rPr>
          <w:rFonts w:hint="eastAsia" w:ascii="Times New Roman" w:hAnsi="Times New Roman" w:eastAsia="仿宋_GB2312" w:cs="仿宋_GB2312"/>
          <w:color w:val="auto"/>
          <w:sz w:val="32"/>
          <w:szCs w:val="32"/>
          <w:lang w:val="en-US" w:eastAsia="zh-CN"/>
        </w:rPr>
        <w:t>8</w:t>
      </w:r>
      <w:r>
        <w:rPr>
          <w:rFonts w:hint="eastAsia" w:ascii="仿宋_GB2312" w:hAnsi="仿宋_GB2312" w:eastAsia="仿宋_GB2312" w:cs="仿宋_GB2312"/>
          <w:color w:val="auto"/>
          <w:sz w:val="32"/>
          <w:szCs w:val="32"/>
          <w:lang w:val="en-US" w:eastAsia="zh-CN"/>
        </w:rPr>
        <w:t>.</w:t>
      </w:r>
      <w:r>
        <w:rPr>
          <w:rFonts w:hint="eastAsia" w:ascii="Times New Roman" w:hAnsi="Times New Roman" w:eastAsia="仿宋_GB2312" w:cs="仿宋_GB2312"/>
          <w:color w:val="auto"/>
          <w:sz w:val="32"/>
          <w:szCs w:val="32"/>
          <w:lang w:val="en-US" w:eastAsia="zh-CN"/>
        </w:rPr>
        <w:t>14</w:t>
      </w:r>
      <w:r>
        <w:rPr>
          <w:rFonts w:hint="eastAsia" w:ascii="仿宋_GB2312" w:hAnsi="仿宋_GB2312" w:eastAsia="仿宋_GB2312" w:cs="仿宋_GB2312"/>
          <w:color w:val="auto"/>
          <w:sz w:val="32"/>
          <w:szCs w:val="32"/>
          <w:lang w:val="en-US" w:eastAsia="zh-CN"/>
        </w:rPr>
        <w:t>万平方米，商品住宅去化周期控制在</w:t>
      </w:r>
      <w:r>
        <w:rPr>
          <w:rFonts w:hint="eastAsia" w:ascii="Times New Roman" w:hAnsi="Times New Roman" w:eastAsia="仿宋_GB2312" w:cs="仿宋_GB2312"/>
          <w:color w:val="auto"/>
          <w:sz w:val="32"/>
          <w:szCs w:val="32"/>
          <w:lang w:val="en-US" w:eastAsia="zh-CN"/>
        </w:rPr>
        <w:t>30</w:t>
      </w:r>
      <w:r>
        <w:rPr>
          <w:rFonts w:hint="eastAsia" w:ascii="仿宋_GB2312" w:hAnsi="仿宋_GB2312" w:eastAsia="仿宋_GB2312" w:cs="仿宋_GB2312"/>
          <w:color w:val="auto"/>
          <w:sz w:val="32"/>
          <w:szCs w:val="32"/>
          <w:lang w:val="en-US" w:eastAsia="zh-CN"/>
        </w:rPr>
        <w:t>个月以下。加快实施城中村改造工作。通过新建住房、收购存量商品房等方式增加保障性住房供应，公租房租赁补贴发放</w:t>
      </w:r>
      <w:r>
        <w:rPr>
          <w:rFonts w:hint="eastAsia" w:ascii="Times New Roman" w:hAnsi="Times New Roman" w:eastAsia="仿宋_GB2312" w:cs="仿宋_GB2312"/>
          <w:color w:val="auto"/>
          <w:sz w:val="32"/>
          <w:szCs w:val="32"/>
          <w:lang w:val="en-US" w:eastAsia="zh-CN"/>
        </w:rPr>
        <w:t>510</w:t>
      </w:r>
      <w:r>
        <w:rPr>
          <w:rFonts w:hint="eastAsia" w:ascii="仿宋_GB2312" w:hAnsi="仿宋_GB2312" w:eastAsia="仿宋_GB2312" w:cs="仿宋_GB2312"/>
          <w:color w:val="auto"/>
          <w:sz w:val="32"/>
          <w:szCs w:val="32"/>
          <w:lang w:val="en-US" w:eastAsia="zh-CN"/>
        </w:rPr>
        <w:t>户。全面完成</w:t>
      </w:r>
      <w:r>
        <w:rPr>
          <w:rFonts w:hint="eastAsia" w:ascii="Times New Roman" w:hAnsi="Times New Roman" w:eastAsia="仿宋_GB2312" w:cs="仿宋_GB2312"/>
          <w:color w:val="auto"/>
          <w:sz w:val="32"/>
          <w:szCs w:val="32"/>
          <w:lang w:val="en-US" w:eastAsia="zh-CN"/>
        </w:rPr>
        <w:t>20</w:t>
      </w:r>
      <w:r>
        <w:rPr>
          <w:rFonts w:hint="eastAsia" w:ascii="仿宋_GB2312" w:hAnsi="仿宋_GB2312" w:eastAsia="仿宋_GB2312" w:cs="仿宋_GB2312"/>
          <w:color w:val="auto"/>
          <w:sz w:val="32"/>
          <w:szCs w:val="32"/>
          <w:lang w:val="en-US" w:eastAsia="zh-CN"/>
        </w:rPr>
        <w:t>年以上住宅老旧电梯更新、推动</w:t>
      </w:r>
      <w:r>
        <w:rPr>
          <w:rFonts w:hint="eastAsia" w:ascii="Times New Roman" w:hAnsi="Times New Roman" w:eastAsia="仿宋_GB2312" w:cs="仿宋_GB2312"/>
          <w:color w:val="auto"/>
          <w:sz w:val="32"/>
          <w:szCs w:val="32"/>
          <w:lang w:val="en-US" w:eastAsia="zh-CN"/>
        </w:rPr>
        <w:t>15</w:t>
      </w:r>
      <w:r>
        <w:rPr>
          <w:rFonts w:hint="eastAsia" w:ascii="仿宋_GB2312" w:hAnsi="仿宋_GB2312" w:eastAsia="仿宋_GB2312" w:cs="仿宋_GB2312"/>
          <w:color w:val="auto"/>
          <w:sz w:val="32"/>
          <w:szCs w:val="32"/>
          <w:lang w:val="en-US" w:eastAsia="zh-CN"/>
        </w:rPr>
        <w:t>—</w:t>
      </w:r>
      <w:r>
        <w:rPr>
          <w:rFonts w:hint="eastAsia" w:ascii="Times New Roman" w:hAnsi="Times New Roman" w:eastAsia="仿宋_GB2312" w:cs="仿宋_GB2312"/>
          <w:color w:val="auto"/>
          <w:sz w:val="32"/>
          <w:szCs w:val="32"/>
          <w:lang w:val="en-US" w:eastAsia="zh-CN"/>
        </w:rPr>
        <w:t>20</w:t>
      </w:r>
      <w:r>
        <w:rPr>
          <w:rFonts w:hint="eastAsia" w:ascii="仿宋_GB2312" w:hAnsi="仿宋_GB2312" w:eastAsia="仿宋_GB2312" w:cs="仿宋_GB2312"/>
          <w:color w:val="auto"/>
          <w:sz w:val="32"/>
          <w:szCs w:val="32"/>
          <w:lang w:val="en-US" w:eastAsia="zh-CN"/>
        </w:rPr>
        <w:t>年住宅老旧电梯能换尽换,全年完成住宅老旧电梯更新改造</w:t>
      </w:r>
      <w:r>
        <w:rPr>
          <w:rFonts w:hint="eastAsia" w:ascii="Times New Roman" w:hAnsi="Times New Roman" w:eastAsia="仿宋_GB2312" w:cs="仿宋_GB2312"/>
          <w:color w:val="auto"/>
          <w:sz w:val="32"/>
          <w:szCs w:val="32"/>
          <w:lang w:val="en-US" w:eastAsia="zh-CN"/>
        </w:rPr>
        <w:t>5</w:t>
      </w:r>
      <w:r>
        <w:rPr>
          <w:rFonts w:hint="eastAsia" w:ascii="仿宋_GB2312" w:hAnsi="仿宋_GB2312" w:eastAsia="仿宋_GB2312" w:cs="仿宋_GB2312"/>
          <w:color w:val="auto"/>
          <w:sz w:val="32"/>
          <w:szCs w:val="32"/>
          <w:lang w:val="en-US" w:eastAsia="zh-CN"/>
        </w:rPr>
        <w:t>台，新增加装电梯</w:t>
      </w:r>
      <w:r>
        <w:rPr>
          <w:rFonts w:hint="eastAsia" w:ascii="Times New Roman" w:hAnsi="Times New Roman" w:eastAsia="仿宋_GB2312" w:cs="仿宋_GB2312"/>
          <w:color w:val="auto"/>
          <w:sz w:val="32"/>
          <w:szCs w:val="32"/>
          <w:lang w:val="en-US" w:eastAsia="zh-CN"/>
        </w:rPr>
        <w:t>5</w:t>
      </w:r>
      <w:r>
        <w:rPr>
          <w:rFonts w:hint="eastAsia" w:ascii="仿宋_GB2312" w:hAnsi="仿宋_GB2312" w:eastAsia="仿宋_GB2312" w:cs="仿宋_GB2312"/>
          <w:color w:val="auto"/>
          <w:sz w:val="32"/>
          <w:szCs w:val="32"/>
          <w:lang w:val="en-US" w:eastAsia="zh-CN"/>
        </w:rPr>
        <w:t>台。</w:t>
      </w:r>
      <w:r>
        <w:rPr>
          <w:rFonts w:hint="eastAsia" w:ascii="楷体_GB2312" w:hAnsi="楷体_GB2312" w:eastAsia="楷体_GB2312" w:cs="楷体_GB2312"/>
          <w:color w:val="auto"/>
          <w:sz w:val="32"/>
          <w:szCs w:val="32"/>
          <w:lang w:val="en-US" w:eastAsia="zh-CN"/>
        </w:rPr>
        <w:t>（责任单位：住建局）</w:t>
      </w:r>
    </w:p>
    <w:p w14:paraId="490433AC">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sz w:val="32"/>
          <w:szCs w:val="32"/>
          <w:lang w:val="en-US" w:eastAsia="zh-CN"/>
        </w:rPr>
        <w:t>（三十六）支持推进“老有康养”。</w:t>
      </w:r>
      <w:r>
        <w:rPr>
          <w:rFonts w:hint="eastAsia" w:ascii="仿宋_GB2312" w:hAnsi="仿宋_GB2312" w:eastAsia="仿宋_GB2312" w:cs="仿宋_GB2312"/>
          <w:color w:val="auto"/>
          <w:sz w:val="32"/>
          <w:szCs w:val="32"/>
          <w:lang w:val="en-US" w:eastAsia="zh-CN"/>
        </w:rPr>
        <w:t>全面落实困难老年人养老服务补贴、养老护理补贴和基本生活补助制度。全面实行养老服务“爱心卡”制度，新增开卡量达</w:t>
      </w:r>
      <w:r>
        <w:rPr>
          <w:rFonts w:hint="eastAsia" w:ascii="Times New Roman" w:hAnsi="Times New Roman"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val="en-US" w:eastAsia="zh-CN"/>
        </w:rPr>
        <w:t>.</w:t>
      </w:r>
      <w:r>
        <w:rPr>
          <w:rFonts w:hint="eastAsia" w:ascii="Times New Roman" w:hAnsi="Times New Roman" w:eastAsia="仿宋_GB2312" w:cs="仿宋_GB2312"/>
          <w:color w:val="auto"/>
          <w:sz w:val="32"/>
          <w:szCs w:val="32"/>
          <w:lang w:val="en-US" w:eastAsia="zh-CN"/>
        </w:rPr>
        <w:t>3</w:t>
      </w:r>
      <w:r>
        <w:rPr>
          <w:rFonts w:hint="eastAsia" w:ascii="仿宋_GB2312" w:hAnsi="仿宋_GB2312" w:eastAsia="仿宋_GB2312" w:cs="仿宋_GB2312"/>
          <w:color w:val="auto"/>
          <w:sz w:val="32"/>
          <w:szCs w:val="32"/>
          <w:lang w:val="en-US" w:eastAsia="zh-CN"/>
        </w:rPr>
        <w:t>万张以上。每万名老年人拥有养老机构认知障碍床位数达</w:t>
      </w:r>
      <w:r>
        <w:rPr>
          <w:rFonts w:hint="eastAsia" w:ascii="Times New Roman" w:hAnsi="Times New Roman" w:eastAsia="仿宋_GB2312" w:cs="仿宋_GB2312"/>
          <w:color w:val="auto"/>
          <w:sz w:val="32"/>
          <w:szCs w:val="32"/>
          <w:lang w:val="en-US" w:eastAsia="zh-CN"/>
        </w:rPr>
        <w:t>20</w:t>
      </w:r>
      <w:r>
        <w:rPr>
          <w:rFonts w:hint="eastAsia" w:ascii="仿宋_GB2312" w:hAnsi="仿宋_GB2312" w:eastAsia="仿宋_GB2312" w:cs="仿宋_GB2312"/>
          <w:color w:val="auto"/>
          <w:sz w:val="32"/>
          <w:szCs w:val="32"/>
          <w:lang w:val="en-US" w:eastAsia="zh-CN"/>
        </w:rPr>
        <w:t>张。乡镇（街道）康养联合体覆盖率达</w:t>
      </w:r>
      <w:r>
        <w:rPr>
          <w:rFonts w:hint="eastAsia" w:ascii="Times New Roman" w:hAnsi="Times New Roman" w:eastAsia="仿宋_GB2312" w:cs="仿宋_GB2312"/>
          <w:color w:val="auto"/>
          <w:sz w:val="32"/>
          <w:szCs w:val="32"/>
          <w:lang w:val="en-US" w:eastAsia="zh-CN"/>
        </w:rPr>
        <w:t>100</w:t>
      </w:r>
      <w:r>
        <w:rPr>
          <w:rFonts w:hint="eastAsia" w:ascii="仿宋_GB2312" w:hAnsi="仿宋_GB2312" w:eastAsia="仿宋_GB2312" w:cs="仿宋_GB2312"/>
          <w:color w:val="auto"/>
          <w:sz w:val="32"/>
          <w:szCs w:val="32"/>
          <w:lang w:val="en-US" w:eastAsia="zh-CN"/>
        </w:rPr>
        <w:t>%，大幅提升使用率。</w:t>
      </w:r>
      <w:r>
        <w:rPr>
          <w:rFonts w:hint="eastAsia" w:ascii="楷体_GB2312" w:hAnsi="楷体_GB2312" w:eastAsia="楷体_GB2312" w:cs="楷体_GB2312"/>
          <w:color w:val="auto"/>
          <w:sz w:val="32"/>
          <w:szCs w:val="32"/>
          <w:lang w:val="en-US" w:eastAsia="zh-CN"/>
        </w:rPr>
        <w:t>（责任单位：县民政局）</w:t>
      </w:r>
    </w:p>
    <w:p w14:paraId="35347E44">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sz w:val="32"/>
          <w:szCs w:val="32"/>
          <w:lang w:val="en-US" w:eastAsia="zh-CN"/>
        </w:rPr>
        <w:t>（三十七）支持推进“病有良医”。</w:t>
      </w:r>
      <w:r>
        <w:rPr>
          <w:rFonts w:hint="eastAsia" w:ascii="仿宋_GB2312" w:hAnsi="仿宋_GB2312" w:eastAsia="仿宋_GB2312" w:cs="仿宋_GB2312"/>
          <w:color w:val="auto"/>
          <w:sz w:val="32"/>
          <w:szCs w:val="32"/>
          <w:lang w:val="en-US" w:eastAsia="zh-CN"/>
        </w:rPr>
        <w:t>组建开化县医疗集团，按照“人员共享、资源共享、技术共享”的原则，进一步统筹整合临床检验、心电诊断、病理诊断、超声诊疗、医学影像</w:t>
      </w:r>
      <w:r>
        <w:rPr>
          <w:rFonts w:hint="eastAsia" w:ascii="Times New Roman" w:hAnsi="Times New Roman" w:eastAsia="仿宋_GB2312" w:cs="仿宋_GB2312"/>
          <w:color w:val="auto"/>
          <w:sz w:val="32"/>
          <w:szCs w:val="32"/>
          <w:lang w:val="en-US" w:eastAsia="zh-CN"/>
        </w:rPr>
        <w:t>5</w:t>
      </w:r>
      <w:r>
        <w:rPr>
          <w:rFonts w:hint="eastAsia" w:ascii="仿宋_GB2312" w:hAnsi="仿宋_GB2312" w:eastAsia="仿宋_GB2312" w:cs="仿宋_GB2312"/>
          <w:color w:val="auto"/>
          <w:sz w:val="32"/>
          <w:szCs w:val="32"/>
          <w:lang w:val="en-US" w:eastAsia="zh-CN"/>
        </w:rPr>
        <w:t>大资源共享中心，逐步实现人力资源、财务管理、物资采购、信息建设、医疗管理、院前急救、中医药发展、健康管理</w:t>
      </w:r>
      <w:r>
        <w:rPr>
          <w:rFonts w:hint="eastAsia" w:ascii="Times New Roman" w:hAnsi="Times New Roman" w:eastAsia="仿宋_GB2312" w:cs="仿宋_GB2312"/>
          <w:color w:val="auto"/>
          <w:sz w:val="32"/>
          <w:szCs w:val="32"/>
          <w:lang w:val="en-US" w:eastAsia="zh-CN"/>
        </w:rPr>
        <w:t>8</w:t>
      </w:r>
      <w:r>
        <w:rPr>
          <w:rFonts w:hint="eastAsia" w:ascii="仿宋_GB2312" w:hAnsi="仿宋_GB2312" w:eastAsia="仿宋_GB2312" w:cs="仿宋_GB2312"/>
          <w:color w:val="auto"/>
          <w:sz w:val="32"/>
          <w:szCs w:val="32"/>
          <w:lang w:val="en-US" w:eastAsia="zh-CN"/>
        </w:rPr>
        <w:t>大管理中心统一管理，形成县乡村一体的县域医疗卫生服务体系。深化“固定+流动+急救”乡村医疗服务模式，全县建设规范巡回医疗点</w:t>
      </w:r>
      <w:r>
        <w:rPr>
          <w:rFonts w:hint="eastAsia" w:ascii="Times New Roman" w:hAnsi="Times New Roman" w:eastAsia="仿宋_GB2312" w:cs="仿宋_GB2312"/>
          <w:color w:val="auto"/>
          <w:sz w:val="32"/>
          <w:szCs w:val="32"/>
          <w:lang w:val="en-US" w:eastAsia="zh-CN"/>
        </w:rPr>
        <w:t>65</w:t>
      </w:r>
      <w:r>
        <w:rPr>
          <w:rFonts w:hint="eastAsia" w:ascii="仿宋_GB2312" w:hAnsi="仿宋_GB2312" w:eastAsia="仿宋_GB2312" w:cs="仿宋_GB2312"/>
          <w:color w:val="auto"/>
          <w:sz w:val="32"/>
          <w:szCs w:val="32"/>
          <w:lang w:val="en-US" w:eastAsia="zh-CN"/>
        </w:rPr>
        <w:t>个以上，新增巡回诊疗车</w:t>
      </w:r>
      <w:r>
        <w:rPr>
          <w:rFonts w:hint="eastAsia" w:ascii="Times New Roman" w:hAnsi="Times New Roman"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val="en-US" w:eastAsia="zh-CN"/>
        </w:rPr>
        <w:t>辆和急救站点</w:t>
      </w:r>
      <w:r>
        <w:rPr>
          <w:rFonts w:hint="eastAsia" w:ascii="Times New Roman" w:hAnsi="Times New Roman"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val="en-US" w:eastAsia="zh-CN"/>
        </w:rPr>
        <w:t>个，持续推动“村村救”模式。统筹推进“万名基层医生进修”三年行动，全年累计进修不少于</w:t>
      </w:r>
      <w:r>
        <w:rPr>
          <w:rFonts w:hint="eastAsia" w:ascii="Times New Roman" w:hAnsi="Times New Roman" w:eastAsia="仿宋_GB2312" w:cs="仿宋_GB2312"/>
          <w:color w:val="auto"/>
          <w:sz w:val="32"/>
          <w:szCs w:val="32"/>
          <w:lang w:val="en-US" w:eastAsia="zh-CN"/>
        </w:rPr>
        <w:t>30</w:t>
      </w:r>
      <w:r>
        <w:rPr>
          <w:rFonts w:hint="eastAsia" w:ascii="仿宋_GB2312" w:hAnsi="仿宋_GB2312" w:eastAsia="仿宋_GB2312" w:cs="仿宋_GB2312"/>
          <w:color w:val="auto"/>
          <w:sz w:val="32"/>
          <w:szCs w:val="32"/>
          <w:lang w:val="en-US" w:eastAsia="zh-CN"/>
        </w:rPr>
        <w:t>人次。</w:t>
      </w:r>
      <w:r>
        <w:rPr>
          <w:rFonts w:hint="eastAsia" w:ascii="楷体_GB2312" w:hAnsi="楷体_GB2312" w:eastAsia="楷体_GB2312" w:cs="楷体_GB2312"/>
          <w:color w:val="auto"/>
          <w:sz w:val="32"/>
          <w:szCs w:val="32"/>
          <w:lang w:val="en-US" w:eastAsia="zh-CN"/>
        </w:rPr>
        <w:t>（责任单位：县卫健局）</w:t>
      </w:r>
    </w:p>
    <w:p w14:paraId="70A8FC46">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（三十八）支持推进“弱有众扶”。</w:t>
      </w:r>
      <w:r>
        <w:rPr>
          <w:rFonts w:hint="eastAsia" w:ascii="仿宋_GB2312" w:hAnsi="仿宋_GB2312" w:eastAsia="仿宋_GB2312" w:cs="仿宋_GB2312"/>
          <w:color w:val="auto"/>
          <w:sz w:val="32"/>
          <w:szCs w:val="32"/>
          <w:lang w:val="en-US" w:eastAsia="zh-CN"/>
        </w:rPr>
        <w:t>支持推进“弱有众扶”。低保年人均标准达到</w:t>
      </w:r>
      <w:r>
        <w:rPr>
          <w:rFonts w:hint="eastAsia" w:ascii="Times New Roman" w:hAnsi="Times New Roman"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val="en-US" w:eastAsia="zh-CN"/>
        </w:rPr>
        <w:t>.</w:t>
      </w:r>
      <w:r>
        <w:rPr>
          <w:rFonts w:hint="eastAsia" w:ascii="Times New Roman" w:hAnsi="Times New Roman" w:eastAsia="仿宋_GB2312" w:cs="仿宋_GB2312"/>
          <w:color w:val="auto"/>
          <w:sz w:val="32"/>
          <w:szCs w:val="32"/>
          <w:lang w:val="en-US" w:eastAsia="zh-CN"/>
        </w:rPr>
        <w:t>4</w:t>
      </w:r>
      <w:r>
        <w:rPr>
          <w:rFonts w:hint="eastAsia" w:ascii="仿宋_GB2312" w:hAnsi="仿宋_GB2312" w:eastAsia="仿宋_GB2312" w:cs="仿宋_GB2312"/>
          <w:color w:val="auto"/>
          <w:sz w:val="32"/>
          <w:szCs w:val="32"/>
          <w:lang w:val="en-US" w:eastAsia="zh-CN"/>
        </w:rPr>
        <w:t>万元以上，困难群众医疗费用综合保障率达到</w:t>
      </w:r>
      <w:r>
        <w:rPr>
          <w:rFonts w:hint="eastAsia" w:ascii="Times New Roman" w:hAnsi="Times New Roman" w:eastAsia="仿宋_GB2312" w:cs="仿宋_GB2312"/>
          <w:color w:val="auto"/>
          <w:sz w:val="32"/>
          <w:szCs w:val="32"/>
          <w:lang w:val="en-US" w:eastAsia="zh-CN"/>
        </w:rPr>
        <w:t>85</w:t>
      </w:r>
      <w:r>
        <w:rPr>
          <w:rFonts w:hint="eastAsia" w:ascii="仿宋_GB2312" w:hAnsi="仿宋_GB2312" w:eastAsia="仿宋_GB2312" w:cs="仿宋_GB2312"/>
          <w:color w:val="auto"/>
          <w:sz w:val="32"/>
          <w:szCs w:val="32"/>
          <w:lang w:val="en-US" w:eastAsia="zh-CN"/>
        </w:rPr>
        <w:t>％，“群帮惠”困难群体帮扶达到</w:t>
      </w:r>
      <w:r>
        <w:rPr>
          <w:rFonts w:hint="eastAsia" w:ascii="Times New Roman" w:hAnsi="Times New Roman" w:eastAsia="仿宋_GB2312" w:cs="仿宋_GB2312"/>
          <w:color w:val="auto"/>
          <w:sz w:val="32"/>
          <w:szCs w:val="32"/>
          <w:lang w:val="en-US" w:eastAsia="zh-CN"/>
        </w:rPr>
        <w:t>800</w:t>
      </w:r>
      <w:r>
        <w:rPr>
          <w:rFonts w:hint="eastAsia" w:ascii="仿宋_GB2312" w:hAnsi="仿宋_GB2312" w:eastAsia="仿宋_GB2312" w:cs="仿宋_GB2312"/>
          <w:color w:val="auto"/>
          <w:sz w:val="32"/>
          <w:szCs w:val="32"/>
          <w:lang w:val="en-US" w:eastAsia="zh-CN"/>
        </w:rPr>
        <w:t>人次。帮扶残疾人就业</w:t>
      </w:r>
      <w:r>
        <w:rPr>
          <w:rFonts w:hint="eastAsia" w:ascii="Times New Roman" w:hAnsi="Times New Roman" w:eastAsia="仿宋_GB2312" w:cs="仿宋_GB2312"/>
          <w:color w:val="auto"/>
          <w:sz w:val="32"/>
          <w:szCs w:val="32"/>
          <w:lang w:val="en-US" w:eastAsia="zh-CN"/>
        </w:rPr>
        <w:t>110</w:t>
      </w:r>
      <w:r>
        <w:rPr>
          <w:rFonts w:hint="eastAsia" w:ascii="仿宋_GB2312" w:hAnsi="仿宋_GB2312" w:eastAsia="仿宋_GB2312" w:cs="仿宋_GB2312"/>
          <w:color w:val="auto"/>
          <w:sz w:val="32"/>
          <w:szCs w:val="32"/>
          <w:lang w:val="en-US" w:eastAsia="zh-CN"/>
        </w:rPr>
        <w:t>人以上。实施孤独症儿童康复</w:t>
      </w:r>
      <w:r>
        <w:rPr>
          <w:rFonts w:hint="eastAsia" w:ascii="Times New Roman" w:hAnsi="Times New Roman" w:eastAsia="仿宋_GB2312" w:cs="仿宋_GB2312"/>
          <w:color w:val="auto"/>
          <w:sz w:val="32"/>
          <w:szCs w:val="32"/>
          <w:lang w:val="en-US" w:eastAsia="zh-CN"/>
        </w:rPr>
        <w:t>21</w:t>
      </w:r>
      <w:r>
        <w:rPr>
          <w:rFonts w:hint="eastAsia" w:ascii="仿宋_GB2312" w:hAnsi="仿宋_GB2312" w:eastAsia="仿宋_GB2312" w:cs="仿宋_GB2312"/>
          <w:color w:val="auto"/>
          <w:sz w:val="32"/>
          <w:szCs w:val="32"/>
          <w:lang w:val="en-US" w:eastAsia="zh-CN"/>
        </w:rPr>
        <w:t>人，康复辅具适配</w:t>
      </w:r>
      <w:r>
        <w:rPr>
          <w:rFonts w:hint="eastAsia" w:ascii="Times New Roman" w:hAnsi="Times New Roman" w:eastAsia="仿宋_GB2312" w:cs="仿宋_GB2312"/>
          <w:color w:val="auto"/>
          <w:sz w:val="32"/>
          <w:szCs w:val="32"/>
          <w:lang w:val="en-US" w:eastAsia="zh-CN"/>
        </w:rPr>
        <w:t>768</w:t>
      </w:r>
      <w:r>
        <w:rPr>
          <w:rFonts w:hint="eastAsia" w:ascii="仿宋_GB2312" w:hAnsi="仿宋_GB2312" w:eastAsia="仿宋_GB2312" w:cs="仿宋_GB2312"/>
          <w:color w:val="auto"/>
          <w:sz w:val="32"/>
          <w:szCs w:val="32"/>
          <w:lang w:val="en-US" w:eastAsia="zh-CN"/>
        </w:rPr>
        <w:t>人。</w:t>
      </w:r>
      <w:r>
        <w:rPr>
          <w:rFonts w:hint="eastAsia" w:ascii="楷体_GB2312" w:hAnsi="楷体_GB2312" w:eastAsia="楷体_GB2312" w:cs="楷体_GB2312"/>
          <w:color w:val="auto"/>
          <w:sz w:val="32"/>
          <w:szCs w:val="32"/>
          <w:lang w:val="en-US" w:eastAsia="zh-CN"/>
        </w:rPr>
        <w:t>（责任单位：县残联）</w:t>
      </w:r>
    </w:p>
    <w:p w14:paraId="4E128EAD">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rPr>
          <w:color w:val="auto"/>
        </w:rPr>
      </w:pPr>
      <w:r>
        <w:rPr>
          <w:rFonts w:hint="eastAsia" w:ascii="黑体" w:hAnsi="黑体" w:eastAsia="黑体" w:cs="黑体"/>
          <w:color w:val="auto"/>
          <w:sz w:val="32"/>
          <w:szCs w:val="32"/>
          <w:lang w:val="en-US" w:eastAsia="zh-CN"/>
        </w:rPr>
        <w:t xml:space="preserve">   </w:t>
      </w:r>
      <w:r>
        <w:rPr>
          <w:rFonts w:hint="eastAsia" w:ascii="仿宋_GB2312" w:hAnsi="仿宋_GB2312" w:eastAsia="仿宋_GB2312" w:cs="仿宋_GB2312"/>
          <w:color w:val="auto"/>
          <w:sz w:val="32"/>
          <w:szCs w:val="32"/>
          <w:lang w:val="en-US" w:eastAsia="zh-CN"/>
        </w:rPr>
        <w:t>上述8个领域政策，县财政2025年预算安排资金除交叉重叠部分外，支持总额为18.92亿元。各领域政策县级牵头单位要根据文件要求，会同财政金融、自然资源、能源、人才等4张要素保障清单牵头单位，抓紧制定深化细化的配套政策文件，</w:t>
      </w:r>
      <w:r>
        <w:rPr>
          <w:rFonts w:ascii="仿宋_GB2312" w:hAnsi="宋体" w:eastAsia="仿宋_GB2312" w:cs="仿宋_GB2312"/>
          <w:color w:val="auto"/>
          <w:kern w:val="0"/>
          <w:sz w:val="32"/>
          <w:szCs w:val="32"/>
          <w:lang w:val="en-US" w:eastAsia="zh-CN" w:bidi="ar"/>
        </w:rPr>
        <w:t>及时做好政策宣传解读、责任分解和落地实施。各部门</w:t>
      </w:r>
      <w:r>
        <w:rPr>
          <w:rFonts w:hint="eastAsia" w:ascii="仿宋_GB2312" w:hAnsi="宋体" w:eastAsia="仿宋_GB2312" w:cs="仿宋_GB2312"/>
          <w:color w:val="auto"/>
          <w:kern w:val="0"/>
          <w:sz w:val="32"/>
          <w:szCs w:val="32"/>
          <w:lang w:val="en-US" w:eastAsia="zh-CN" w:bidi="ar"/>
        </w:rPr>
        <w:t xml:space="preserve">要结合单位职能，尽快制定政策承接落实方案，推动各项政策精准滴灌、直达快享，确保基层有感、群众获益、企业得利。 </w:t>
      </w:r>
    </w:p>
    <w:p w14:paraId="4B2A0D97">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color w:val="auto"/>
        </w:rPr>
      </w:pPr>
      <w:r>
        <w:rPr>
          <w:rFonts w:hint="eastAsia" w:ascii="仿宋_GB2312" w:hAnsi="宋体" w:eastAsia="仿宋_GB2312" w:cs="仿宋_GB2312"/>
          <w:color w:val="auto"/>
          <w:kern w:val="0"/>
          <w:sz w:val="32"/>
          <w:szCs w:val="32"/>
          <w:lang w:val="en-US" w:eastAsia="zh-CN" w:bidi="ar"/>
        </w:rPr>
        <w:t>本文件明确的各项政策除标明具体实施期限外，均为</w:t>
      </w:r>
      <w:r>
        <w:rPr>
          <w:rFonts w:hint="default" w:ascii="Times New Roman" w:hAnsi="Times New Roman" w:eastAsia="宋体" w:cs="Times New Roman"/>
          <w:color w:val="auto"/>
          <w:kern w:val="0"/>
          <w:sz w:val="32"/>
          <w:szCs w:val="32"/>
          <w:lang w:val="en-US" w:eastAsia="zh-CN" w:bidi="ar"/>
        </w:rPr>
        <w:t>202</w:t>
      </w:r>
      <w:r>
        <w:rPr>
          <w:rFonts w:hint="eastAsia" w:ascii="Times New Roman" w:hAnsi="Times New Roman" w:eastAsia="宋体" w:cs="Times New Roman"/>
          <w:color w:val="auto"/>
          <w:kern w:val="0"/>
          <w:sz w:val="32"/>
          <w:szCs w:val="32"/>
          <w:lang w:val="en-US" w:eastAsia="zh-CN" w:bidi="ar"/>
        </w:rPr>
        <w:t>5</w:t>
      </w:r>
      <w:r>
        <w:rPr>
          <w:rFonts w:hint="default" w:ascii="Times New Roman" w:hAnsi="Times New Roman" w:eastAsia="宋体" w:cs="Times New Roman"/>
          <w:color w:val="auto"/>
          <w:kern w:val="0"/>
          <w:sz w:val="32"/>
          <w:szCs w:val="32"/>
          <w:lang w:val="en-US" w:eastAsia="zh-CN" w:bidi="ar"/>
        </w:rPr>
        <w:t xml:space="preserve"> </w:t>
      </w:r>
    </w:p>
    <w:p w14:paraId="0BFF5749">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pPr>
      <w:r>
        <w:rPr>
          <w:rFonts w:hint="eastAsia" w:ascii="仿宋_GB2312" w:hAnsi="宋体" w:eastAsia="仿宋_GB2312" w:cs="仿宋_GB2312"/>
          <w:color w:val="auto"/>
          <w:kern w:val="0"/>
          <w:sz w:val="32"/>
          <w:szCs w:val="32"/>
          <w:lang w:val="en-US" w:eastAsia="zh-CN" w:bidi="ar"/>
        </w:rPr>
        <w:t>年全年实施有效。国家、省出台相关政策措施的，遵照执行。</w:t>
      </w:r>
    </w:p>
    <w:p w14:paraId="5F9F7AA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sz w:val="32"/>
          <w:szCs w:val="32"/>
          <w:lang w:val="en-US" w:eastAsia="zh-CN"/>
        </w:rPr>
      </w:pPr>
    </w:p>
    <w:p w14:paraId="191828B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p>
    <w:p w14:paraId="49ADF3E1">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lang w:val="en-US" w:eastAsia="zh-CN"/>
        </w:rPr>
      </w:pP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8"/>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F4D0F2">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BB8667">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2BB8667">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702CDB"/>
    <w:rsid w:val="002E75DF"/>
    <w:rsid w:val="00D43FFB"/>
    <w:rsid w:val="00F27441"/>
    <w:rsid w:val="043948BE"/>
    <w:rsid w:val="05681A7F"/>
    <w:rsid w:val="07F12200"/>
    <w:rsid w:val="099F1732"/>
    <w:rsid w:val="0EA33B28"/>
    <w:rsid w:val="141C0605"/>
    <w:rsid w:val="142A1B22"/>
    <w:rsid w:val="16CC53F5"/>
    <w:rsid w:val="1864257A"/>
    <w:rsid w:val="1A147FD0"/>
    <w:rsid w:val="1ACB4B33"/>
    <w:rsid w:val="1AD3390C"/>
    <w:rsid w:val="1C243E20"/>
    <w:rsid w:val="1D1D0F4A"/>
    <w:rsid w:val="1DB00479"/>
    <w:rsid w:val="209338C0"/>
    <w:rsid w:val="20AC4ABE"/>
    <w:rsid w:val="24702CDB"/>
    <w:rsid w:val="256C67D8"/>
    <w:rsid w:val="261A687E"/>
    <w:rsid w:val="26284BE7"/>
    <w:rsid w:val="27182FAF"/>
    <w:rsid w:val="28BC3D0D"/>
    <w:rsid w:val="28D37183"/>
    <w:rsid w:val="2AB3121A"/>
    <w:rsid w:val="2C974E26"/>
    <w:rsid w:val="2FD57720"/>
    <w:rsid w:val="3034687E"/>
    <w:rsid w:val="318C322B"/>
    <w:rsid w:val="34EE524E"/>
    <w:rsid w:val="36981915"/>
    <w:rsid w:val="38D874FA"/>
    <w:rsid w:val="3B9D352A"/>
    <w:rsid w:val="3E0A3E12"/>
    <w:rsid w:val="3FDF445B"/>
    <w:rsid w:val="433962C9"/>
    <w:rsid w:val="435F0C7D"/>
    <w:rsid w:val="4469669F"/>
    <w:rsid w:val="446B4F47"/>
    <w:rsid w:val="462907DC"/>
    <w:rsid w:val="479903C6"/>
    <w:rsid w:val="48BA396D"/>
    <w:rsid w:val="495D6F47"/>
    <w:rsid w:val="496E6505"/>
    <w:rsid w:val="49B13FA0"/>
    <w:rsid w:val="49B303BC"/>
    <w:rsid w:val="4A2645B2"/>
    <w:rsid w:val="4A4C4A99"/>
    <w:rsid w:val="4C017B05"/>
    <w:rsid w:val="52432C25"/>
    <w:rsid w:val="578C4726"/>
    <w:rsid w:val="5B3A093D"/>
    <w:rsid w:val="5DAB5B22"/>
    <w:rsid w:val="5E76732A"/>
    <w:rsid w:val="609E54CA"/>
    <w:rsid w:val="60DB1C40"/>
    <w:rsid w:val="67E97973"/>
    <w:rsid w:val="68916F6D"/>
    <w:rsid w:val="69230C63"/>
    <w:rsid w:val="6962178B"/>
    <w:rsid w:val="69B31FE7"/>
    <w:rsid w:val="6D093028"/>
    <w:rsid w:val="6E0F7A08"/>
    <w:rsid w:val="702E0844"/>
    <w:rsid w:val="714A1C1F"/>
    <w:rsid w:val="71AD60B4"/>
    <w:rsid w:val="72EC51B3"/>
    <w:rsid w:val="76393874"/>
    <w:rsid w:val="77E85551"/>
    <w:rsid w:val="7BB8580C"/>
    <w:rsid w:val="7BCB3394"/>
    <w:rsid w:val="7C985F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link w:val="7"/>
    <w:semiHidden/>
    <w:unhideWhenUsed/>
    <w:qFormat/>
    <w:uiPriority w:val="0"/>
    <w:pPr>
      <w:spacing w:before="0" w:beforeAutospacing="0" w:after="0" w:afterAutospacing="0"/>
      <w:jc w:val="left"/>
      <w:outlineLvl w:val="2"/>
    </w:pPr>
    <w:rPr>
      <w:rFonts w:eastAsia="楷体_GB2312" w:cs="宋体"/>
      <w:bCs/>
      <w:kern w:val="0"/>
      <w:szCs w:val="27"/>
      <w:lang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7">
    <w:name w:val="标题 3 Char1"/>
    <w:link w:val="2"/>
    <w:qFormat/>
    <w:uiPriority w:val="0"/>
    <w:rPr>
      <w:rFonts w:eastAsia="楷体_GB2312" w:cs="宋体"/>
      <w:bCs/>
      <w:kern w:val="0"/>
      <w:szCs w:val="27"/>
      <w:lang w:bidi="ar"/>
    </w:rPr>
  </w:style>
  <w:style w:type="character" w:customStyle="1" w:styleId="8">
    <w:name w:val="font01"/>
    <w:basedOn w:val="6"/>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8724</Words>
  <Characters>9033</Characters>
  <Lines>0</Lines>
  <Paragraphs>0</Paragraphs>
  <TotalTime>1009</TotalTime>
  <ScaleCrop>false</ScaleCrop>
  <LinksUpToDate>false</LinksUpToDate>
  <CharactersWithSpaces>9040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2025-04-08T06:07:00Z</dcterms:created>
  <dc:creator>郑露</dc:creator>
  <cp:lastModifiedBy>郑露</cp:lastModifiedBy>
  <dcterms:modified xsi:type="dcterms:W3CDTF">2025-05-22T06:55:08Z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6B892AF062CD48709659C93DC4F65FB4_11</vt:lpwstr>
  </property>
  <property fmtid="{D5CDD505-2E9C-101B-9397-08002B2CF9AE}" pid="4" name="KSOTemplateDocerSaveRecord">
    <vt:lpwstr>eyJoZGlkIjoiMjBiZjY5M2Y2ODhmNTgzODVkYmU1MzkyNTMwOWNjZDYiLCJ1c2VySWQiOiI3ODYyMTk1NzIifQ==</vt:lpwstr>
  </property>
</Properties>
</file>