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8"/>
        <w:rPr>
          <w:rFonts w:hint="eastAsia"/>
          <w:lang w:val="en-US" w:eastAsia="zh-CN"/>
        </w:rPr>
      </w:pPr>
    </w:p>
    <w:tbl>
      <w:tblPr>
        <w:tblStyle w:val="9"/>
        <w:tblW w:w="935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1330"/>
        <w:gridCol w:w="4998"/>
        <w:gridCol w:w="1170"/>
        <w:gridCol w:w="12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关于进一步加快开放型经济发展的若干政策意见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(意见征求稿)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奖补项目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条款内容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执行方式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一、支持企业做大货物贸易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企业参加出口重点展会补助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企业参加省、市、县政府或商务部门举办的自办展（含线上展会），展位费给予全额补助；对企业参加省、市、县政府或商务部门规定的政策性境内外重点展的展位费（含线上展会）按80%补助；对企业自行参加境内外展会的，每个展位费给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%补助（广交会不享受展位补贴）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，同一展会每家参展企业最多补助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个标准展位的展位费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对企业的出境人员费用给予补助，其中境外展会举办地为亚洲区域的，每人给予8000元人员费补助，亚洲地区以外的，每人给予1.5万元人员费补助，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eastAsia="zh-CN" w:bidi="ar"/>
              </w:rPr>
              <w:t>同一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展会每家企业最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eastAsia="zh-CN" w:bidi="ar"/>
              </w:rPr>
              <w:t>多补助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不超过3人次。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凡涉及境外展会的，企业跟团参加的人员费给予50%补助，最高不超过2万元（无跟团人员费发票的，则按5000元/人补助，同一个展会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每家企业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最多补助不超过2人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）。鼓励企业以“代参展”模式参展，“代参展”视同为境外线下参展，享受同等政策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00" w:lineRule="exac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eastAsia="zh-CN" w:bidi="ar"/>
              </w:rPr>
              <w:t>加大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RCEP合作交流支持，引导外贸企业积极赴RCEP其他成员国开展重要商务活动（除参展外），对企业出入境机票费用每人给予30%的补助。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二、支持企业开展品牌认证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认证和商标注册费用补助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对新获得各类国际认证的和境外商标国际注册、检测等项目企业，给予项目费用的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补助，同一企业补助金额最高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出口名牌奖励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对新获浙江出口名牌、温州出口名牌称号的企业分别给予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万元奖励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资格定补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AEO高级认证奖励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支持企业开展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AEO高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级认证（海关高级认证），对当年新通过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AEO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高级认证的企业奖励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资格定补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三、支持开展国际服务贸易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服务贸易发展奖励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企业年度服务贸易（含服务外包）出口额正增长且达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万美元以上、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万美元以上、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万美元以上，同时在商务部业务系统统一平台每季度填报的，分别给予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万元奖励。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、支持防范外经贸风险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外贸预警点补助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对经考核合格的对外贸易预警点给予补助，其中，省级评定优秀的补助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万元，市级优秀或省级合格的补助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万元，市级合格的补助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资格定补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贸易摩擦案件应诉补助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积极应对国际贸易摩擦，对我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企业、行业协会参加重点境内外贸易救济案件应对活动发生的律师费给予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、最高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万元的补助。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企业出口信用保险补助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对企业投保出口（投资）信用保险的，给予保费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80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、最高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none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的补助。扩大小微企业出口信用保险覆盖面，将上年度出口额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万美元以下的企业纳入全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出口信用保险政府联保平台，对参保企业的保费给予全额补助。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、支持企业“走出去”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企业“走出去”奖励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对企业在境外开展绿地投资、跨境并购、营销网络等项目，按中方当年实际投资额分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万美元（含以上）三档，分别给予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万元奖励。“一带一路”国家项目奖励额度上浮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境外经贸合作区建设奖励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企业投资建设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境外经贸合作区新获批国家级和省级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称号的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分别给予其投资主体奖励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万元、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万元。对我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企业和市外企业联合投资建设的境外经贸合作区，按照上述标准及我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企业的股份占比给予奖励，在“一带一路”国家建设境外经贸合作区的奖励标准上浮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县经信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鼓励外商投资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实际使用外资奖励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对符合我县产业发展导向的服务业项目、制造业项目、跨国公司总部或地区总部项目以及世界 500 强投资的产业项目，按实际到资规模给予支持。服务业项目当年实际使用外资每 100 万美元奖励 10 万元人民币（不足 100 万美元按比例予以奖励）；制造业项目、跨国公司总部或地区总部项目、世界 500 强投资的产业项目，当年实际使用外资每 50 万美元奖励 10 万元人民币（不足 50 万美元按比例予以奖励）。单个项目最高奖励 300 万元。同一项目符合本条款两项或两项以上奖励条件的，可就高执行，但不重复享受。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数据核校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投资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中心</w:t>
            </w:r>
          </w:p>
        </w:tc>
      </w:tr>
    </w:tbl>
    <w:p>
      <w:pPr>
        <w:pStyle w:val="7"/>
        <w:spacing w:before="0" w:after="0" w:line="3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lang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</w:rPr>
        <w:t>附  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jc w:val="left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1.适用对象。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本政策适用对象奖补时间从202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年1月1日开始计，适用范围原则上为市区范围，所指企业原则上为申报时依法登记在册、依法纳税的市区企业或合伙企业，行政单位原则上不作为奖补对象，本政策正文另有规定除外。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资金安排。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本政策奖补资金用于支持企业高质量发展，原则上适用统一的市区产业政策奖补资金兑现管理办法，纳入温州市产业政策奖励系统（惠企政策“直通车”）办理，按现行财政体制分担。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.执行效力。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本政策自印发之日起施行，有效期至202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年12月31日，具体申报指南或实施细则另行制定。本政策由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文成县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人民政府负责解释，具体工作由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政府办公室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、县经信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投资促进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等部门承担。本政策施行前，已按相关程序确定支持（包括有连续年限、符合条件但未兑现完毕）的项目，按原政策兑现，除此之外新申请的奖补项目，按本政策执行。本政策发布后，其他我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已发布的各相关市级产业政策与本政策不一致的，以本政策为准。本政策施行过程中如遇上级法律法规和重大政策另有规定的，按上级有关规定和政策直接执行。</w:t>
      </w:r>
    </w:p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zg3ZjQzMTAzOWJjYjgyNjUwNTBkMjNhM2Y4MGYifQ=="/>
  </w:docVars>
  <w:rsids>
    <w:rsidRoot w:val="47003AE0"/>
    <w:rsid w:val="13752222"/>
    <w:rsid w:val="3209690C"/>
    <w:rsid w:val="47003AE0"/>
    <w:rsid w:val="7C3D661F"/>
    <w:rsid w:val="EE0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2585</Words>
  <Characters>2717</Characters>
  <Lines>0</Lines>
  <Paragraphs>0</Paragraphs>
  <TotalTime>4</TotalTime>
  <ScaleCrop>false</ScaleCrop>
  <LinksUpToDate>false</LinksUpToDate>
  <CharactersWithSpaces>2770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2024-07-16T10:38:00Z</dcterms:created>
  <dc:creator>烟灰</dc:creator>
  <cp:lastModifiedBy>Administrator</cp:lastModifiedBy>
  <dcterms:modified xsi:type="dcterms:W3CDTF">2024-07-18T07:59:04Z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9F173FE4B166D28CEAC3986679EF921C</vt:lpwstr>
  </property>
</Properties>
</file>