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b/>
          <w:bCs/>
          <w:sz w:val="44"/>
          <w:szCs w:val="44"/>
          <w:lang w:val="en-US" w:eastAsia="zh-CN"/>
        </w:rPr>
      </w:pPr>
      <w:r>
        <w:rPr>
          <w:rFonts w:hint="eastAsia"/>
          <w:b/>
          <w:bCs/>
          <w:sz w:val="44"/>
          <w:szCs w:val="44"/>
          <w:lang w:val="en-US" w:eastAsia="zh-CN"/>
        </w:rPr>
        <w:t>《龙港市综合交通运输发展“十四五”规划》的政策解读</w:t>
      </w:r>
    </w:p>
    <w:p>
      <w:pPr>
        <w:rPr>
          <w:rFonts w:hint="eastAsia"/>
          <w:lang w:val="en-US" w:eastAsia="zh-CN"/>
        </w:rPr>
      </w:pPr>
    </w:p>
    <w:p>
      <w:pPr>
        <w:tabs>
          <w:tab w:val="left" w:pos="575"/>
        </w:tabs>
        <w:ind w:firstLine="640" w:firstLineChars="200"/>
        <w:rPr>
          <w:rFonts w:hint="eastAsia" w:ascii="仿宋_GB2312" w:hAnsi="宋体" w:eastAsia="仿宋_GB2312"/>
          <w:sz w:val="32"/>
          <w:szCs w:val="32"/>
          <w:lang w:val="en-US" w:eastAsia="zh-CN"/>
        </w:rPr>
      </w:pPr>
      <w:r>
        <w:rPr>
          <w:rFonts w:hint="eastAsia" w:ascii="黑体" w:hAnsi="黑体" w:eastAsia="黑体" w:cs="黑体"/>
          <w:sz w:val="32"/>
          <w:szCs w:val="32"/>
          <w:lang w:val="en-US" w:eastAsia="zh-CN"/>
        </w:rPr>
        <w:t>一、制定背景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交通运输作为国民经济社会发展的基础性、战略性、先导性保障，是高水平构建现代化经济体系的重要战略支撑。 “十四五”时期是我国全面建设社会主义现代化国家新征程的开局期，是国家构建新发展格局战略、建设交通强国，浙江省着力打造高水平交通强省、全面推进数字化改革、高质量创建全国共同富裕示范区的关键阶段，也是龙港市建设“新型城镇化改革策源地、高质量发展新高地、基层治理样板区”，加快实施“一区五城”，奋力打造“示范窗口”，全力建设温州大都市区南部中心城市关键时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五”期间，龙港市应紧抓交通强国、长三角一体化发展等历史机遇，践行“绿水青山就是金山银山”理念，牢牢把握交通“先行官”定位，加快构建“外联、内畅、行优、智治”的现代综合交通运输体系。依据《龙港市国民经济和社会发展第十四个五年规划和2035年远景目标纲要》，特编制《龙港市综合交通运输发展“十四五”规划》，本次规划期限为2021-2025年，通过梳理发展基础，明确发展目标战略，制定发展建设主要任务，是“十四五”时期指导龙港市交通发展的蓝图和行动纲领。</w:t>
      </w:r>
    </w:p>
    <w:p>
      <w:pPr>
        <w:tabs>
          <w:tab w:val="left" w:pos="575"/>
        </w:tabs>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二、政策制定的依据</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《交通强国建设纲要》 </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《国家综合立体交通网规划纲要(2021—2050年)》 </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《长江三角洲地区交通运输更高质量一体化发展规划》 </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《中共浙江省委 浙江省人民政府关于深入贯彻&lt;交通强国建设纲要&gt;高水平推进交通强省建设的实施意见》 </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《海峡西岸经济区发展规划》</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《浙江省综合立体交通网规划（2021-2050年）》 </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《浙江省综合交通运输发展“十四五”规划》 </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《浙江省通用机场布局规划（2020-2035年）（修编）》 </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《关于支持浙江高质量发展建设共同富裕示范区的意见》</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《温州市综合立体交通网规划（2021-2050年）》 </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《温州市市综合交通运输发展“十四五”规划》 </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《温州市国土空间总体规划(2020-2035年)》</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《温州市综合交通体系规划（2018-2030 年）》</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《龙港市国民经济和社会发展第十四个五年规划和二〇三五年远景目标纲要》</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《龙港市国土空间总体规划（2020-2035 年）》</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《龙港市公共交通专项规划（2021-2035）》</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《龙港市道路交通专项规划（2022-2035年）》</w:t>
      </w:r>
    </w:p>
    <w:p>
      <w:pPr>
        <w:tabs>
          <w:tab w:val="left" w:pos="575"/>
        </w:tabs>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三、政策说明</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《龙港市综合交通运输发展“十四五”规划》的编制，主要是明确发展目标战略，制定发展建设主要任务。</w:t>
      </w:r>
      <w:r>
        <w:rPr>
          <w:rFonts w:hint="eastAsia" w:ascii="仿宋_GB2312" w:hAnsi="仿宋_GB2312" w:eastAsia="仿宋_GB2312" w:cs="仿宋_GB2312"/>
          <w:b/>
          <w:bCs/>
          <w:sz w:val="32"/>
          <w:szCs w:val="32"/>
          <w:lang w:val="en-US" w:eastAsia="zh-CN"/>
        </w:rPr>
        <w:t>一是发展基础。</w:t>
      </w:r>
      <w:r>
        <w:rPr>
          <w:rFonts w:hint="eastAsia" w:ascii="仿宋_GB2312" w:hAnsi="仿宋_GB2312" w:eastAsia="仿宋_GB2312" w:cs="仿宋_GB2312"/>
          <w:sz w:val="32"/>
          <w:szCs w:val="32"/>
          <w:lang w:val="en-US" w:eastAsia="zh-CN"/>
        </w:rPr>
        <w:t>指出老城区道路设施情况较差，毗邻城市联系不足，温州都市圈互联互通水平不高；港航服务水平待提升，港口优势尚未发挥。</w:t>
      </w:r>
      <w:r>
        <w:rPr>
          <w:rFonts w:hint="eastAsia" w:ascii="仿宋_GB2312" w:hAnsi="仿宋_GB2312" w:eastAsia="仿宋_GB2312" w:cs="仿宋_GB2312"/>
          <w:b/>
          <w:bCs/>
          <w:sz w:val="32"/>
          <w:szCs w:val="32"/>
          <w:lang w:val="en-US" w:eastAsia="zh-CN"/>
        </w:rPr>
        <w:t>二是形势需求。</w:t>
      </w:r>
      <w:r>
        <w:rPr>
          <w:rFonts w:hint="eastAsia" w:ascii="仿宋_GB2312" w:hAnsi="仿宋_GB2312" w:eastAsia="仿宋_GB2312" w:cs="仿宋_GB2312"/>
          <w:sz w:val="32"/>
          <w:szCs w:val="32"/>
          <w:lang w:val="en-US" w:eastAsia="zh-CN"/>
        </w:rPr>
        <w:t>论述双循环新格局要求交通运输支撑要素流通、长三角及海西经济区建设要求融入区域格局、打造共同富裕龙港样板要求交通运输助力。</w:t>
      </w:r>
      <w:r>
        <w:rPr>
          <w:rFonts w:hint="eastAsia" w:ascii="仿宋_GB2312" w:hAnsi="仿宋_GB2312" w:eastAsia="仿宋_GB2312" w:cs="仿宋_GB2312"/>
          <w:b/>
          <w:bCs/>
          <w:sz w:val="32"/>
          <w:szCs w:val="32"/>
          <w:lang w:val="en-US" w:eastAsia="zh-CN"/>
        </w:rPr>
        <w:t>三是指导思想和发展目标。</w:t>
      </w:r>
      <w:r>
        <w:rPr>
          <w:rFonts w:hint="eastAsia" w:ascii="仿宋_GB2312" w:hAnsi="仿宋_GB2312" w:eastAsia="仿宋_GB2312" w:cs="仿宋_GB2312"/>
          <w:sz w:val="32"/>
          <w:szCs w:val="32"/>
          <w:lang w:val="en-US" w:eastAsia="zh-CN"/>
        </w:rPr>
        <w:t>以习近平新时代中国特色社会主义思想为指导，以“八八战略”为指引、“交通强国”建设为总纲。加快新老城联动开发，推进全域城镇化，着力构建覆盖广泛、互联互通、安全便捷、绿色智能的综合交通运输网络，实现“打造温南枢纽、浙南门户”。</w:t>
      </w:r>
      <w:r>
        <w:rPr>
          <w:rFonts w:hint="eastAsia" w:ascii="仿宋_GB2312" w:hAnsi="仿宋_GB2312" w:eastAsia="仿宋_GB2312" w:cs="仿宋_GB2312"/>
          <w:b/>
          <w:bCs/>
          <w:sz w:val="32"/>
          <w:szCs w:val="32"/>
          <w:lang w:val="en-US" w:eastAsia="zh-CN"/>
        </w:rPr>
        <w:t>四是构建高质量立体网。</w:t>
      </w:r>
      <w:r>
        <w:rPr>
          <w:rFonts w:hint="eastAsia" w:ascii="仿宋_GB2312" w:hAnsi="仿宋_GB2312" w:eastAsia="仿宋_GB2312" w:cs="仿宋_GB2312"/>
          <w:sz w:val="32"/>
          <w:szCs w:val="32"/>
          <w:lang w:val="en-US" w:eastAsia="zh-CN"/>
        </w:rPr>
        <w:t>构建“三横两纵”综合运输通道， 推进市域铁路接入，提升互联互通水平。</w:t>
      </w:r>
      <w:r>
        <w:rPr>
          <w:rFonts w:hint="eastAsia" w:ascii="仿宋_GB2312" w:hAnsi="仿宋_GB2312" w:eastAsia="仿宋_GB2312" w:cs="仿宋_GB2312"/>
          <w:b/>
          <w:bCs/>
          <w:sz w:val="32"/>
          <w:szCs w:val="32"/>
          <w:lang w:val="en-US" w:eastAsia="zh-CN"/>
        </w:rPr>
        <w:t>五是打造高品质客货运输服务。</w:t>
      </w:r>
      <w:r>
        <w:rPr>
          <w:rFonts w:hint="eastAsia" w:ascii="仿宋_GB2312" w:hAnsi="仿宋_GB2312" w:eastAsia="仿宋_GB2312" w:cs="仿宋_GB2312"/>
          <w:sz w:val="32"/>
          <w:szCs w:val="32"/>
          <w:lang w:val="en-US" w:eastAsia="zh-CN"/>
        </w:rPr>
        <w:t>推动公交专用道建设，，试点“互联网+定制客运”，做强物流市场。</w:t>
      </w:r>
      <w:r>
        <w:rPr>
          <w:rFonts w:hint="eastAsia" w:ascii="仿宋_GB2312" w:hAnsi="仿宋_GB2312" w:eastAsia="仿宋_GB2312" w:cs="仿宋_GB2312"/>
          <w:b/>
          <w:bCs/>
          <w:sz w:val="32"/>
          <w:szCs w:val="32"/>
          <w:lang w:val="en-US" w:eastAsia="zh-CN"/>
        </w:rPr>
        <w:t>六是智慧交通融合。</w:t>
      </w:r>
      <w:r>
        <w:rPr>
          <w:rFonts w:hint="eastAsia" w:ascii="仿宋_GB2312" w:hAnsi="仿宋_GB2312" w:eastAsia="仿宋_GB2312" w:cs="仿宋_GB2312"/>
          <w:sz w:val="32"/>
          <w:szCs w:val="32"/>
          <w:lang w:val="en-US" w:eastAsia="zh-CN"/>
        </w:rPr>
        <w:t>建设“三网一车”智慧交通基础设施，积极探索智慧交通场景应用。</w:t>
      </w:r>
      <w:r>
        <w:rPr>
          <w:rFonts w:hint="eastAsia" w:ascii="仿宋_GB2312" w:hAnsi="仿宋_GB2312" w:eastAsia="仿宋_GB2312" w:cs="仿宋_GB2312"/>
          <w:b/>
          <w:bCs/>
          <w:sz w:val="32"/>
          <w:szCs w:val="32"/>
          <w:lang w:val="en-US" w:eastAsia="zh-CN"/>
        </w:rPr>
        <w:t>七是着力绿色平安交通建设。</w:t>
      </w:r>
      <w:r>
        <w:rPr>
          <w:rFonts w:hint="eastAsia" w:ascii="仿宋_GB2312" w:hAnsi="仿宋_GB2312" w:eastAsia="仿宋_GB2312" w:cs="仿宋_GB2312"/>
          <w:sz w:val="32"/>
          <w:szCs w:val="32"/>
          <w:lang w:val="en-US" w:eastAsia="zh-CN"/>
        </w:rPr>
        <w:t>全面落实公共交通优先发展战略，推进绿色港口工程建设，强化基础设施质量和安全保护设施。提。</w:t>
      </w:r>
      <w:r>
        <w:rPr>
          <w:rFonts w:hint="eastAsia" w:ascii="仿宋_GB2312" w:hAnsi="仿宋_GB2312" w:eastAsia="仿宋_GB2312" w:cs="仿宋_GB2312"/>
          <w:b/>
          <w:bCs/>
          <w:sz w:val="32"/>
          <w:szCs w:val="32"/>
          <w:lang w:val="en-US" w:eastAsia="zh-CN"/>
        </w:rPr>
        <w:t>八是缓解老城区交通拥堵。</w:t>
      </w:r>
      <w:r>
        <w:rPr>
          <w:rFonts w:hint="eastAsia" w:ascii="仿宋_GB2312" w:hAnsi="仿宋_GB2312" w:eastAsia="仿宋_GB2312" w:cs="仿宋_GB2312"/>
          <w:sz w:val="32"/>
          <w:szCs w:val="32"/>
          <w:lang w:val="en-US" w:eastAsia="zh-CN"/>
        </w:rPr>
        <w:t>提出加密骨架路网，优化现状交通组织，完善慢行交通。</w:t>
      </w:r>
      <w:r>
        <w:rPr>
          <w:rFonts w:hint="eastAsia" w:ascii="仿宋_GB2312" w:hAnsi="仿宋_GB2312" w:eastAsia="仿宋_GB2312" w:cs="仿宋_GB2312"/>
          <w:b/>
          <w:bCs/>
          <w:sz w:val="32"/>
          <w:szCs w:val="32"/>
          <w:lang w:val="en-US" w:eastAsia="zh-CN"/>
        </w:rPr>
        <w:t>九是提升行业治理能力。</w:t>
      </w:r>
      <w:r>
        <w:rPr>
          <w:rFonts w:hint="eastAsia" w:ascii="仿宋_GB2312" w:hAnsi="仿宋_GB2312" w:eastAsia="仿宋_GB2312" w:cs="仿宋_GB2312"/>
          <w:sz w:val="32"/>
          <w:szCs w:val="32"/>
          <w:lang w:val="en-US" w:eastAsia="zh-CN"/>
        </w:rPr>
        <w:t>加快交通行业数字化转型，深化治堵、治超、治乱、治危工作。</w:t>
      </w:r>
      <w:r>
        <w:rPr>
          <w:rFonts w:hint="eastAsia" w:ascii="仿宋_GB2312" w:hAnsi="仿宋_GB2312" w:eastAsia="仿宋_GB2312" w:cs="仿宋_GB2312"/>
          <w:b/>
          <w:bCs/>
          <w:sz w:val="32"/>
          <w:szCs w:val="32"/>
          <w:lang w:val="en-US" w:eastAsia="zh-CN"/>
        </w:rPr>
        <w:t>十是环境影响评价。</w:t>
      </w:r>
      <w:r>
        <w:rPr>
          <w:rFonts w:hint="eastAsia" w:ascii="仿宋_GB2312" w:hAnsi="仿宋_GB2312" w:eastAsia="仿宋_GB2312" w:cs="仿宋_GB2312"/>
          <w:sz w:val="32"/>
          <w:szCs w:val="32"/>
          <w:lang w:val="en-US" w:eastAsia="zh-CN"/>
        </w:rPr>
        <w:t>指出交通建设活动对环境的影响主要体现在资源占用、生态影响、污染排放和社会经济影响等四个方面，通过采取占补平衡、生态修复等有效措施进行补足。</w:t>
      </w:r>
      <w:r>
        <w:rPr>
          <w:rFonts w:hint="eastAsia" w:ascii="仿宋_GB2312" w:hAnsi="仿宋_GB2312" w:eastAsia="仿宋_GB2312" w:cs="仿宋_GB2312"/>
          <w:b/>
          <w:bCs/>
          <w:sz w:val="32"/>
          <w:szCs w:val="32"/>
          <w:lang w:val="en-US" w:eastAsia="zh-CN"/>
        </w:rPr>
        <w:t>十一是保障措施。</w:t>
      </w:r>
      <w:r>
        <w:rPr>
          <w:rFonts w:hint="eastAsia" w:ascii="仿宋_GB2312" w:hAnsi="仿宋_GB2312" w:eastAsia="仿宋_GB2312" w:cs="仿宋_GB2312"/>
          <w:sz w:val="32"/>
          <w:szCs w:val="32"/>
          <w:lang w:val="en-US" w:eastAsia="zh-CN"/>
        </w:rPr>
        <w:t>健全市级部门协调机制，强化用地、科技、资金和人才保障。</w:t>
      </w:r>
    </w:p>
    <w:p>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解</w:t>
      </w:r>
      <w:r>
        <w:rPr>
          <w:rFonts w:hint="eastAsia" w:ascii="黑体" w:hAnsi="黑体" w:eastAsia="黑体" w:cs="黑体"/>
          <w:b/>
          <w:bCs/>
          <w:sz w:val="32"/>
          <w:szCs w:val="32"/>
          <w:lang w:val="en-US" w:eastAsia="zh-CN"/>
        </w:rPr>
        <w:t>读</w:t>
      </w:r>
      <w:r>
        <w:rPr>
          <w:rFonts w:hint="eastAsia" w:ascii="黑体" w:hAnsi="黑体" w:eastAsia="黑体" w:cs="黑体"/>
          <w:sz w:val="32"/>
          <w:szCs w:val="32"/>
          <w:lang w:val="en-US" w:eastAsia="zh-CN"/>
        </w:rPr>
        <w:t>机关</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龙港市自然资源与规划建设局负责解读。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C1D50"/>
    <w:multiLevelType w:val="singleLevel"/>
    <w:tmpl w:val="A92C1D5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F13E7"/>
    <w:rsid w:val="6B38474D"/>
    <w:rsid w:val="75B71A66"/>
    <w:rsid w:val="7E79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boog_fun</cp:lastModifiedBy>
  <dcterms:modified xsi:type="dcterms:W3CDTF">2024-06-13T02:45:47Z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CAFA17DF34CD433FA6DCD64961832C04</vt:lpwstr>
  </property>
</Properties>
</file>