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C826">
      <w:pPr>
        <w:spacing w:line="600" w:lineRule="exact"/>
        <w:jc w:val="center"/>
        <w:rPr>
          <w:rFonts w:ascii="方正小标宋简体" w:eastAsia="方正小标宋简体" w:cs="方正小标宋简体"/>
          <w:sz w:val="44"/>
          <w:szCs w:val="44"/>
          <w:shd w:val="clear" w:color="auto" w:fill="FFFFFF"/>
        </w:rPr>
      </w:pPr>
      <w:r>
        <w:rPr>
          <w:rFonts w:hint="eastAsia" w:ascii="方正小标宋简体" w:eastAsia="方正小标宋简体" w:cs="方正小标宋简体"/>
          <w:sz w:val="44"/>
          <w:szCs w:val="44"/>
          <w:shd w:val="clear" w:color="auto" w:fill="FFFFFF"/>
        </w:rPr>
        <w:t>《瓯海区乡村道公路网布局规划（2024—2035年）》</w:t>
      </w:r>
      <w:r>
        <w:rPr>
          <w:rFonts w:hint="eastAsia" w:ascii="方正小标宋简体" w:eastAsia="方正小标宋简体" w:cs="方正小标宋简体"/>
          <w:sz w:val="44"/>
          <w:szCs w:val="44"/>
          <w:shd w:val="clear" w:color="auto" w:fill="FFFFFF"/>
          <w:lang w:eastAsia="zh-CN"/>
        </w:rPr>
        <w:t>（征求意见稿</w:t>
      </w:r>
      <w:bookmarkStart w:id="0" w:name="_GoBack"/>
      <w:bookmarkEnd w:id="0"/>
      <w:r>
        <w:rPr>
          <w:rFonts w:hint="eastAsia" w:ascii="方正小标宋简体" w:eastAsia="方正小标宋简体" w:cs="方正小标宋简体"/>
          <w:sz w:val="44"/>
          <w:szCs w:val="44"/>
          <w:shd w:val="clear" w:color="auto" w:fill="FFFFFF"/>
          <w:lang w:eastAsia="zh-CN"/>
        </w:rPr>
        <w:t>）</w:t>
      </w:r>
      <w:r>
        <w:rPr>
          <w:rFonts w:hint="eastAsia" w:ascii="方正小标宋简体" w:eastAsia="方正小标宋简体" w:cs="方正小标宋简体"/>
          <w:sz w:val="44"/>
          <w:szCs w:val="44"/>
          <w:shd w:val="clear" w:color="auto" w:fill="FFFFFF"/>
        </w:rPr>
        <w:t>起草说明</w:t>
      </w:r>
    </w:p>
    <w:p w14:paraId="01027DD4">
      <w:pPr>
        <w:ind w:firstLine="640" w:firstLineChars="200"/>
        <w:rPr>
          <w:rFonts w:ascii="仿宋_GB2312" w:eastAsia="仿宋_GB2312" w:cs="仿宋_GB2312"/>
          <w:sz w:val="32"/>
          <w:szCs w:val="32"/>
          <w:shd w:val="clear" w:color="auto" w:fill="FFFFFF"/>
        </w:rPr>
      </w:pPr>
    </w:p>
    <w:p w14:paraId="58926A7C">
      <w:pPr>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现就《瓯海区乡村道公路网布局规划（2024—2035年）》制定情况和主要内容说明如下：</w:t>
      </w:r>
    </w:p>
    <w:p w14:paraId="2E89861D">
      <w:pPr>
        <w:ind w:firstLine="643" w:firstLineChars="200"/>
        <w:rPr>
          <w:rFonts w:ascii="仿宋_GB2312" w:eastAsia="仿宋_GB2312" w:cs="仿宋_GB2312"/>
          <w:b/>
          <w:bCs/>
          <w:sz w:val="32"/>
          <w:szCs w:val="32"/>
          <w:shd w:val="clear" w:color="auto" w:fill="FFFFFF"/>
        </w:rPr>
      </w:pPr>
      <w:r>
        <w:rPr>
          <w:rFonts w:hint="eastAsia" w:ascii="仿宋_GB2312" w:eastAsia="仿宋_GB2312" w:cs="仿宋_GB2312"/>
          <w:b/>
          <w:bCs/>
          <w:sz w:val="32"/>
          <w:szCs w:val="32"/>
          <w:shd w:val="clear" w:color="auto" w:fill="FFFFFF"/>
        </w:rPr>
        <w:t>一、制定背景</w:t>
      </w:r>
    </w:p>
    <w:p w14:paraId="32AEAAE2">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随着《国家公路网规划》《浙江省高速公路网布局规划（2021-2035年）》《浙江省普通省道公路网布局规划（2021-2035年）》《瓯海区县道公路网规划（2021-2035年）》等上位路网规划的正式印发和线位调整工作的开展，瓯海区农村公路网络形态发生了显著变化，迫切需要对乡村道公路网进行调整和优化，实现与上层路网的有效衔接。为贯彻落实浙江省交通运输厅关于印发《浙江省农村公路网布局规划编制指导意见》的通知（浙交〔2023〕116号）、温州市交通运输局《关于全面开展农村公路网布局规划编制工作的通知》（温交办〔2024〕4号）等文件要求，开展瓯海区乡、村道公路网规划的编制工作，以科学指导全面建设社会主义现代化国家新征程阶段农村公路建设与发展，服务支撑乡村振兴战略实施和共同富裕示范区创建。</w:t>
      </w:r>
    </w:p>
    <w:p w14:paraId="534CBD16">
      <w:pPr>
        <w:ind w:firstLine="643" w:firstLineChars="200"/>
        <w:rPr>
          <w:rFonts w:ascii="仿宋_GB2312" w:eastAsia="仿宋_GB2312" w:cs="仿宋_GB2312"/>
          <w:b/>
          <w:bCs/>
          <w:sz w:val="32"/>
          <w:szCs w:val="32"/>
          <w:shd w:val="clear" w:color="auto" w:fill="FFFFFF"/>
        </w:rPr>
      </w:pPr>
      <w:r>
        <w:rPr>
          <w:rFonts w:hint="eastAsia" w:ascii="仿宋_GB2312" w:eastAsia="仿宋_GB2312" w:cs="仿宋_GB2312"/>
          <w:b/>
          <w:bCs/>
          <w:sz w:val="32"/>
          <w:szCs w:val="32"/>
          <w:shd w:val="clear" w:color="auto" w:fill="FFFFFF"/>
        </w:rPr>
        <w:t>二、主要政策依据</w:t>
      </w:r>
    </w:p>
    <w:p w14:paraId="72EF2FC4">
      <w:pPr>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《浙江省农村公路网布局规划编制指导意见》（浙交〔2023〕116号）；</w:t>
      </w:r>
    </w:p>
    <w:p w14:paraId="54684D66">
      <w:pPr>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w:t>
      </w:r>
      <w:r>
        <w:rPr>
          <w:rFonts w:hint="eastAsia"/>
        </w:rPr>
        <w:t xml:space="preserve"> </w:t>
      </w:r>
      <w:r>
        <w:rPr>
          <w:rFonts w:hint="eastAsia" w:ascii="仿宋_GB2312" w:eastAsia="仿宋_GB2312" w:cs="仿宋_GB2312"/>
          <w:sz w:val="32"/>
          <w:szCs w:val="32"/>
          <w:shd w:val="clear" w:color="auto" w:fill="FFFFFF"/>
        </w:rPr>
        <w:t>《关于全面开展农村公路网布局规划编制工作的通知》（温交办〔2024〕4号）。</w:t>
      </w:r>
    </w:p>
    <w:p w14:paraId="6BDAA85B">
      <w:pPr>
        <w:ind w:firstLine="643" w:firstLineChars="200"/>
        <w:rPr>
          <w:rFonts w:ascii="仿宋_GB2312" w:eastAsia="仿宋_GB2312" w:cs="仿宋_GB2312"/>
          <w:b/>
          <w:bCs/>
          <w:sz w:val="32"/>
          <w:szCs w:val="32"/>
          <w:shd w:val="clear" w:color="auto" w:fill="FFFFFF"/>
        </w:rPr>
      </w:pPr>
      <w:r>
        <w:rPr>
          <w:rFonts w:hint="eastAsia" w:ascii="仿宋_GB2312" w:eastAsia="仿宋_GB2312" w:cs="仿宋_GB2312"/>
          <w:b/>
          <w:bCs/>
          <w:sz w:val="32"/>
          <w:szCs w:val="32"/>
          <w:shd w:val="clear" w:color="auto" w:fill="FFFFFF"/>
        </w:rPr>
        <w:t>三、主要内容</w:t>
      </w:r>
    </w:p>
    <w:p w14:paraId="59603477">
      <w:pPr>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瓯海区乡村道公路网布局规划内容包含八大块，分别为概述、发展基础、发展形势与需求、规划思路、路网布局方案、“公路+”融合发展、规划实施和保障措施。主要内容如下：</w:t>
      </w:r>
    </w:p>
    <w:p w14:paraId="7292D4B2">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（一）指导思想</w:t>
      </w:r>
    </w:p>
    <w:p w14:paraId="5296BB6C">
      <w:pPr>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以习近平新时代中国特色社会主义思想为指导，全面贯彻落实党的二十大精神，践行以人民为中心的发展思想，立足新发展阶段、贯彻新发展理念、构建新发展格局，围绕“乡村振兴”“交通强省”“共同富裕”等国家和省委、省政府重大战略部署，进一步优化农村公路路网结构，推进农村公路与国土空间、旅游发展等规划有机衔接和融合发展，充分发挥农村公路网覆盖范围广的优势，进一步畅通微循环，持续提升农村公路服务能力，为高质量发展建设共同富裕示范区提供坚实保障。</w:t>
      </w:r>
    </w:p>
    <w:p w14:paraId="4CEA79C3">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（二）规划目标</w:t>
      </w:r>
    </w:p>
    <w:p w14:paraId="68CDEADB">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到2035年，基本形成规模结构合理、层次结构分明、内外衔接高效、并适度超前的乡村道公路网空间布局，为服务农村地区人民美好生活、实施乡村振兴战略、建设共同富裕示范区先行标杆提供坚实保障。</w:t>
      </w:r>
    </w:p>
    <w:p w14:paraId="3EB7B45E">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——路网结构加快优化。到2035年乡、村道总里程约594公里，县、乡、村道结构比例调整为1:0.93：1.40，乡道在公路网中的地位进一步提升，各层级网络功能清晰。</w:t>
      </w:r>
    </w:p>
    <w:p w14:paraId="3102B266">
      <w:pPr>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——服务水平不断提升。乡道双车道通行比例达100%，乡道三级及以上等级达45%以上，村道双车道通行比例达90%，泽雅片区成环联网，片区可达性全面提升。</w:t>
      </w:r>
    </w:p>
    <w:p w14:paraId="5F38B2BB">
      <w:pPr>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（三）路网布局方案</w:t>
      </w:r>
    </w:p>
    <w:p w14:paraId="5F6CC5BD">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布局规划后，规划乡道32条线路，总里程237.054公里，增长187.6%；规划村道166条，总里程357.047公里，增长0.75%；其中，县道网规划中将既有县道共计约74.7公里调整或降级，通过本次路网规划建议将2.13公里调整为国道、将40.86公里调整为乡道、将1.64公里调整为村道，将30.08公里拟移交市政部门（X271瓯湖线2.1公里、X205温源线1.1公里、X209瓯海大道1.4公里、X206高桐线6.3公里、X207桐新线2.4公里、X273双南线4.8公里、X204南大线4.3、X136六分线2.8公里、X203梧慈线3.1公里、X301下沈线0.8公里、X205温源线1.0公里）。</w:t>
      </w:r>
    </w:p>
    <w:p w14:paraId="6AEAD314">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乡道布局方案</w:t>
      </w:r>
    </w:p>
    <w:p w14:paraId="4DB083ED">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瓯海区共规划布局乡道32条线路，总里程为237.054公里，利用原农村公路里程约173.44公里、既有道路（不在公路库内）调入乡道里程5.2公里、新建或提升乡道约53.2公里。规划到2035年，乡道里程增加154.637公里，三级及以上里程占比达到40%以上。</w:t>
      </w:r>
    </w:p>
    <w:p w14:paraId="07C1F70A">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乡道调增：共调增212.8公里，其中原县道调整为乡道40.9公里，原村道提升为乡道113.5公里；利用既有道路（不在公路库内）5.2公里，规划新建或提升里程53.2公里。</w:t>
      </w:r>
    </w:p>
    <w:p w14:paraId="4026D5E3">
      <w:pPr>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乡道调减：共调减63.4公里，其中乡道调整国道1.0公里、调整为县道48.9公里、调整为村道2.4km、拟移交市政管养部门11.1公里。</w:t>
      </w:r>
    </w:p>
    <w:p w14:paraId="3C920793">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村道布局方案</w:t>
      </w:r>
    </w:p>
    <w:p w14:paraId="49396E30">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瓯海区共规划布局村道166条线路，总里程约357.047公里，其中利用原农村公路里程约212.7公里、既有道路（不在公路库内）调入村道里程35.0公里、新建或提升里程111.163公里。规划到2035年，村道里程增加2.67公里。</w:t>
      </w:r>
    </w:p>
    <w:p w14:paraId="3B4514D5">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村道调增：共调增143.1公里，其中县道调整为村道1.6公里、乡道调整为村道2.4公里，既有道路（不在公路库内）调入村道里程35.0公里、新建或提升里程111.163公里。</w:t>
      </w:r>
    </w:p>
    <w:p w14:paraId="1DB6A241">
      <w:pPr>
        <w:ind w:firstLine="640" w:firstLineChars="200"/>
        <w:jc w:val="lef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村道调减：共调减145.7公里，其中村道调整为省道0.5公里、调整为县道7.3公里、调整为乡道113.5公里、拟移交市政管养部门24.4公里。</w:t>
      </w:r>
    </w:p>
    <w:p w14:paraId="133B264A">
      <w:pPr>
        <w:ind w:firstLine="640" w:firstLineChars="200"/>
        <w:jc w:val="left"/>
        <w:rPr>
          <w:rFonts w:hint="eastAsia" w:ascii="仿宋_GB2312" w:eastAsia="仿宋_GB2312" w:cs="仿宋_GB2312"/>
          <w:sz w:val="32"/>
          <w:szCs w:val="32"/>
          <w:shd w:val="clear" w:color="auto" w:fill="FFFFFF"/>
        </w:rPr>
      </w:pPr>
    </w:p>
    <w:sectPr>
      <w:footerReference r:id="rId3" w:type="default"/>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812649"/>
      <w:docPartObj>
        <w:docPartGallery w:val="autotext"/>
      </w:docPartObj>
    </w:sdtPr>
    <w:sdtEndPr>
      <w:rPr>
        <w:rFonts w:ascii="Times New Roman" w:cs="Times New Roman"/>
        <w:sz w:val="21"/>
        <w:szCs w:val="21"/>
      </w:rPr>
    </w:sdtEndPr>
    <w:sdtContent>
      <w:p w14:paraId="37A4B660">
        <w:pPr>
          <w:pStyle w:val="2"/>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PAGE   \* MERGEFORMAT</w:instrText>
        </w:r>
        <w:r>
          <w:rPr>
            <w:rFonts w:ascii="Times New Roman" w:cs="Times New Roman"/>
            <w:sz w:val="21"/>
            <w:szCs w:val="21"/>
          </w:rPr>
          <w:fldChar w:fldCharType="separate"/>
        </w:r>
        <w:r>
          <w:rPr>
            <w:rFonts w:ascii="Times New Roman" w:cs="Times New Roman"/>
            <w:sz w:val="21"/>
            <w:szCs w:val="21"/>
            <w:lang w:val="zh-CN"/>
          </w:rPr>
          <w:t>2</w:t>
        </w:r>
        <w:r>
          <w:rPr>
            <w:rFonts w:ascii="Times New Roman" w:cs="Times New Roman"/>
            <w:sz w:val="21"/>
            <w:szCs w:val="21"/>
          </w:rPr>
          <w:fldChar w:fldCharType="end"/>
        </w:r>
      </w:p>
    </w:sdtContent>
  </w:sdt>
  <w:p w14:paraId="4D0D7E6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7B"/>
    <w:rsid w:val="0033077B"/>
    <w:rsid w:val="00487AB1"/>
    <w:rsid w:val="009C0F9E"/>
    <w:rsid w:val="1B675926"/>
    <w:rsid w:val="241810F7"/>
    <w:rsid w:val="7488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等线" w:hAnsi="Times New Roman" w:eastAsia="等线" w:cs="Arial"/>
      <w:kern w:val="2"/>
      <w:sz w:val="18"/>
      <w:szCs w:val="18"/>
    </w:rPr>
  </w:style>
  <w:style w:type="character" w:customStyle="1" w:styleId="7">
    <w:name w:val="页脚 Char"/>
    <w:basedOn w:val="5"/>
    <w:link w:val="2"/>
    <w:qFormat/>
    <w:uiPriority w:val="99"/>
    <w:rPr>
      <w:rFonts w:ascii="等线" w:hAnsi="Times New Roman" w:eastAsia="等线"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1666</Words>
  <Characters>1959</Characters>
  <Lines>14</Lines>
  <Paragraphs>3</Paragraphs>
  <TotalTime>7</TotalTime>
  <ScaleCrop>false</ScaleCrop>
  <LinksUpToDate>false</LinksUpToDate>
  <CharactersWithSpaces>1960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2025-04-29T01:56:00Z</dcterms:created>
  <dc:creator>admin</dc:creator>
  <cp:lastModifiedBy>区交通局文书</cp:lastModifiedBy>
  <dcterms:modified xsi:type="dcterms:W3CDTF">2025-05-06T08:35:23Z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eyJoZGlkIjoiMDYwM2RiNDQ2OTUzMmJlZTg5MWYyYjhhOGIzMzQ2OTEiLCJ1c2VySWQiOiIxNjUxNzYwOTY1In0=</vt:lpwstr>
  </property>
  <property fmtid="{D5CDD505-2E9C-101B-9397-08002B2CF9AE}" pid="4" name="ICV">
    <vt:lpwstr>E918BEE85C6C43C9BD1C2475C39EA728_12</vt:lpwstr>
  </property>
</Properties>
</file>