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72"/>
        <w:ind w:firstLine="0" w:firstLineChars="0"/>
        <w:jc w:val="center"/>
        <w:rPr>
          <w:rFonts w:cs="宋体"/>
          <w:color w:val="000000"/>
        </w:rPr>
      </w:pPr>
      <w:r>
        <w:rPr>
          <w:rFonts w:hint="eastAsia" w:eastAsia="黑体"/>
          <w:b/>
          <w:color w:val="000000"/>
          <w:sz w:val="36"/>
          <w:szCs w:val="36"/>
        </w:rPr>
        <w:t>前</w:t>
      </w:r>
      <w:r>
        <w:rPr>
          <w:rFonts w:eastAsia="黑体"/>
          <w:b/>
          <w:color w:val="000000"/>
          <w:sz w:val="36"/>
          <w:szCs w:val="36"/>
        </w:rPr>
        <w:t xml:space="preserve">  </w:t>
      </w:r>
      <w:r>
        <w:rPr>
          <w:rFonts w:hint="eastAsia" w:eastAsia="黑体"/>
          <w:b/>
          <w:color w:val="000000"/>
          <w:sz w:val="36"/>
          <w:szCs w:val="36"/>
        </w:rPr>
        <w:t>言</w:t>
      </w:r>
    </w:p>
    <w:p>
      <w:pPr>
        <w:spacing w:before="72"/>
        <w:ind w:firstLine="480"/>
        <w:rPr>
          <w:rFonts w:cs="宋体"/>
          <w:color w:val="000000"/>
        </w:rPr>
      </w:pPr>
      <w:r>
        <w:rPr>
          <w:rFonts w:hint="eastAsia" w:cs="宋体"/>
          <w:color w:val="000000"/>
        </w:rPr>
        <w:t>2004年1月，经国务院批准设立百丈漈—飞云湖国家级风景名胜区，申报面积558.8平方公里，占文成县域国土面积的43.2%。《百丈漈—飞云湖风景名胜区总体规划》从2004年开始编制，一直因为风景名胜区范围问题，经多轮总规审查、修改、上报，但均未能获得国务院的批准实施，也因此造成了百丈漈—飞云湖风景名胜区二十年来无法真正实现有规可依。</w:t>
      </w:r>
    </w:p>
    <w:p>
      <w:pPr>
        <w:spacing w:before="72"/>
        <w:ind w:firstLine="480"/>
        <w:rPr>
          <w:rFonts w:cs="宋体"/>
          <w:color w:val="000000"/>
        </w:rPr>
      </w:pPr>
      <w:r>
        <w:rPr>
          <w:rFonts w:hint="eastAsia" w:cs="宋体"/>
          <w:color w:val="000000"/>
        </w:rPr>
        <w:t>近年来，浙江省风景名胜区事业正在从追求景区规模化转向精细化，资源大众化转向精品化，管理粗放化走向精准化。文成县依托百丈漈—飞云湖风景名胜区，践行“两山”理论，坚持“生态富民”战略，经过十多年的保护发展，其旅游业已成为县域经济发展的主导产业。</w:t>
      </w:r>
    </w:p>
    <w:p>
      <w:pPr>
        <w:spacing w:before="72"/>
        <w:ind w:firstLine="480"/>
        <w:rPr>
          <w:rFonts w:cs="宋体"/>
          <w:color w:val="000000"/>
        </w:rPr>
      </w:pPr>
      <w:r>
        <w:rPr>
          <w:rFonts w:hint="eastAsia" w:cs="宋体"/>
          <w:color w:val="000000"/>
        </w:rPr>
        <w:t>文成百丈漈—飞云湖国家级风景名胜区从申报之初，对景区求大求全的认知，到现在已经有了较大转变。但由于申报范围尺度巨大的空间规模、复杂多样的资源类型、镇景交错的景观格局以及强烈的经济社会发展需求，使得风景区资源保护与居民社会发展之间的矛盾日益凸显。</w:t>
      </w:r>
    </w:p>
    <w:p>
      <w:pPr>
        <w:spacing w:before="72"/>
        <w:ind w:firstLine="480"/>
        <w:rPr>
          <w:rFonts w:cs="宋体"/>
          <w:color w:val="000000"/>
        </w:rPr>
      </w:pPr>
      <w:r>
        <w:rPr>
          <w:rFonts w:hint="eastAsia" w:cs="宋体"/>
          <w:color w:val="000000"/>
        </w:rPr>
        <w:t>2016年，文成县以批复设立的558.8平方公里面积为依据，重启总规编制工作。2017年2月，《百丈漈—飞云湖风景名胜区总体规划范围专题报告》通过部省专家论证会。2018年6月，《百丈漈—飞云湖风景名胜区总体规划（大纲）》通过部省专家审查会。2019年1月，《风景资源普查报告》通过县级评审。2019年6月，《百丈漈—飞云湖风景名胜区总体规划（评审稿）》通过市县部门、专家评审会。2019年8月，温州市人民政府报请浙江省人民政府开展省级审查并转报国务院审批。2019年10月，省林业局接到省政府转办件，以书面形式征求了省发改委、住建厅、自然资源厅、生态环境厅、交通厅、文旅厅等相关厅局意见，规划按各厅局意见修改完善后，2020年省林业局正式行文报送省人民政府审查。2021年2月，省政府行文上报国务院审批。后因机构改革和相关政策变化，根据中央办公厅、国务院办公厅《关于建立以国家公园为主体的自然保护地体系的指导意见》要求，国家层面启动自然保护地整合优化。2023年4月，《浙江省自然保护地整合优化方案》经省政府上报国家林草局，整合优化后，文成县百丈漈—飞云湖风景名胜区总面积为531.</w:t>
      </w:r>
      <w:r>
        <w:rPr>
          <w:rFonts w:cs="宋体"/>
          <w:color w:val="000000"/>
        </w:rPr>
        <w:t>8</w:t>
      </w:r>
      <w:r>
        <w:rPr>
          <w:rFonts w:hint="eastAsia" w:cs="宋体"/>
          <w:color w:val="000000"/>
        </w:rPr>
        <w:t>平方公里。</w:t>
      </w:r>
      <w:r>
        <w:rPr>
          <w:rFonts w:hint="eastAsia" w:cs="宋体"/>
        </w:rPr>
        <w:t>整合了石垟、金珠、黄鹿山、牛栏湾4个省级森林公园，调出了与铜铃山国家级森林公园交叉重叠的部分。</w:t>
      </w:r>
    </w:p>
    <w:p>
      <w:pPr>
        <w:spacing w:before="72"/>
        <w:ind w:firstLine="480"/>
        <w:rPr>
          <w:rFonts w:cs="宋体"/>
          <w:color w:val="000000"/>
        </w:rPr>
      </w:pPr>
      <w:r>
        <w:rPr>
          <w:rFonts w:hint="eastAsia" w:cs="宋体"/>
          <w:color w:val="000000"/>
        </w:rPr>
        <w:t>依据《国家林业和草原局办公室关于修改完善国家级风景名胜区总体规划的通知（办保字〔2024〕78号）》等文件要求，文成县重新启动2021年省政府上报国务院审批的《百丈漈—飞云湖风景名胜区总体规划（2021-2035年）》的修编工作。</w:t>
      </w:r>
    </w:p>
    <w:p>
      <w:pPr>
        <w:spacing w:before="72"/>
        <w:ind w:firstLine="199" w:firstLineChars="83"/>
        <w:rPr>
          <w:rFonts w:cs="宋体"/>
          <w:color w:val="000000"/>
        </w:rPr>
      </w:pPr>
    </w:p>
    <w:p>
      <w:pPr>
        <w:spacing w:before="72"/>
        <w:ind w:firstLine="480"/>
        <w:jc w:val="right"/>
        <w:rPr>
          <w:rFonts w:cs="宋体"/>
          <w:color w:val="000000"/>
        </w:rPr>
      </w:pPr>
      <w:r>
        <w:rPr>
          <w:rFonts w:hint="eastAsia" w:cs="宋体"/>
          <w:color w:val="000000"/>
        </w:rPr>
        <w:t>规划编制组</w:t>
      </w:r>
    </w:p>
    <w:p>
      <w:pPr>
        <w:spacing w:before="72"/>
        <w:ind w:firstLine="480"/>
        <w:jc w:val="right"/>
        <w:rPr>
          <w:rFonts w:cs="宋体"/>
          <w:color w:val="000000"/>
        </w:rPr>
      </w:pPr>
      <w:r>
        <w:rPr>
          <w:rFonts w:hint="eastAsia" w:cs="宋体"/>
          <w:color w:val="000000"/>
        </w:rPr>
        <w:t>2</w:t>
      </w:r>
      <w:r>
        <w:rPr>
          <w:rFonts w:cs="宋体"/>
          <w:color w:val="000000"/>
        </w:rPr>
        <w:t>024</w:t>
      </w:r>
      <w:r>
        <w:rPr>
          <w:rFonts w:hint="eastAsia" w:cs="宋体"/>
          <w:color w:val="000000"/>
        </w:rPr>
        <w:t>年9月</w:t>
      </w:r>
    </w:p>
    <w:p>
      <w:pPr>
        <w:spacing w:before="72"/>
        <w:ind w:firstLine="0" w:firstLineChars="0"/>
        <w:jc w:val="left"/>
        <w:rPr>
          <w:rFonts w:ascii="黑体" w:eastAsia="黑体"/>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26" w:charSpace="0"/>
        </w:sectPr>
      </w:pPr>
    </w:p>
    <w:p>
      <w:pPr>
        <w:ind w:firstLine="640"/>
        <w:jc w:val="center"/>
        <w:rPr>
          <w:rFonts w:ascii="黑体" w:eastAsia="黑体"/>
          <w:sz w:val="32"/>
          <w:szCs w:val="32"/>
        </w:rPr>
      </w:pPr>
      <w:r>
        <w:rPr>
          <w:rFonts w:hint="eastAsia" w:ascii="黑体" w:eastAsia="黑体"/>
          <w:sz w:val="32"/>
          <w:szCs w:val="32"/>
        </w:rPr>
        <w:t>目</w:t>
      </w:r>
      <w:r>
        <w:rPr>
          <w:rFonts w:ascii="黑体" w:eastAsia="黑体"/>
          <w:sz w:val="32"/>
          <w:szCs w:val="32"/>
        </w:rPr>
        <w:t xml:space="preserve">   </w:t>
      </w:r>
      <w:r>
        <w:rPr>
          <w:rFonts w:hint="eastAsia" w:ascii="黑体" w:eastAsia="黑体"/>
          <w:sz w:val="32"/>
          <w:szCs w:val="32"/>
        </w:rPr>
        <w:t>录</w:t>
      </w:r>
    </w:p>
    <w:p>
      <w:pPr>
        <w:pStyle w:val="28"/>
        <w:rPr>
          <w:rFonts w:asciiTheme="minorHAnsi" w:hAnsiTheme="minorHAnsi" w:eastAsiaTheme="minorEastAsia" w:cstheme="minorBidi"/>
          <w:b w:val="0"/>
          <w:sz w:val="21"/>
          <w:szCs w:val="22"/>
        </w:rPr>
      </w:pPr>
      <w:r>
        <w:rPr>
          <w:rFonts w:ascii="黑体" w:hAnsi="黑体" w:eastAsia="黑体"/>
        </w:rPr>
        <w:fldChar w:fldCharType="begin"/>
      </w:r>
      <w:r>
        <w:rPr>
          <w:rFonts w:ascii="黑体" w:hAnsi="黑体" w:eastAsia="黑体"/>
        </w:rPr>
        <w:instrText xml:space="preserve"> TOC \o "1-2" \h \z \u </w:instrText>
      </w:r>
      <w:r>
        <w:rPr>
          <w:rFonts w:ascii="黑体" w:hAnsi="黑体" w:eastAsia="黑体"/>
        </w:rPr>
        <w:fldChar w:fldCharType="separate"/>
      </w:r>
      <w:r>
        <w:fldChar w:fldCharType="begin"/>
      </w:r>
      <w:r>
        <w:instrText xml:space="preserve"> HYPERLINK \l "_Toc176455990" </w:instrText>
      </w:r>
      <w:r>
        <w:fldChar w:fldCharType="separate"/>
      </w:r>
      <w:r>
        <w:rPr>
          <w:rStyle w:val="50"/>
        </w:rPr>
        <w:t>关于现状的说明</w:t>
      </w:r>
      <w:r>
        <w:tab/>
      </w:r>
      <w:r>
        <w:fldChar w:fldCharType="begin"/>
      </w:r>
      <w:r>
        <w:instrText xml:space="preserve"> PAGEREF _Toc176455990 \h </w:instrText>
      </w:r>
      <w:r>
        <w:fldChar w:fldCharType="separate"/>
      </w:r>
      <w:r>
        <w:t>1</w:t>
      </w:r>
      <w:r>
        <w:fldChar w:fldCharType="end"/>
      </w:r>
      <w:r>
        <w:fldChar w:fldCharType="end"/>
      </w:r>
    </w:p>
    <w:p>
      <w:pPr>
        <w:pStyle w:val="35"/>
        <w:rPr>
          <w:rFonts w:asciiTheme="minorHAnsi" w:hAnsiTheme="minorHAnsi" w:eastAsiaTheme="minorEastAsia" w:cstheme="minorBidi"/>
          <w:sz w:val="21"/>
          <w:szCs w:val="22"/>
        </w:rPr>
      </w:pPr>
      <w:r>
        <w:fldChar w:fldCharType="begin"/>
      </w:r>
      <w:r>
        <w:instrText xml:space="preserve"> HYPERLINK \l "_Toc176455991" </w:instrText>
      </w:r>
      <w:r>
        <w:fldChar w:fldCharType="separate"/>
      </w:r>
      <w:r>
        <w:rPr>
          <w:rStyle w:val="50"/>
        </w:rPr>
        <w:t>一、风景名胜区概况</w:t>
      </w:r>
      <w:r>
        <w:tab/>
      </w:r>
      <w:r>
        <w:fldChar w:fldCharType="begin"/>
      </w:r>
      <w:r>
        <w:instrText xml:space="preserve"> PAGEREF _Toc176455991 \h </w:instrText>
      </w:r>
      <w:r>
        <w:fldChar w:fldCharType="separate"/>
      </w:r>
      <w:r>
        <w:t>1</w:t>
      </w:r>
      <w:r>
        <w:fldChar w:fldCharType="end"/>
      </w:r>
      <w:r>
        <w:fldChar w:fldCharType="end"/>
      </w:r>
    </w:p>
    <w:p>
      <w:pPr>
        <w:pStyle w:val="35"/>
        <w:rPr>
          <w:rFonts w:asciiTheme="minorHAnsi" w:hAnsiTheme="minorHAnsi" w:eastAsiaTheme="minorEastAsia" w:cstheme="minorBidi"/>
          <w:sz w:val="21"/>
          <w:szCs w:val="22"/>
        </w:rPr>
      </w:pPr>
      <w:r>
        <w:fldChar w:fldCharType="begin"/>
      </w:r>
      <w:r>
        <w:instrText xml:space="preserve"> HYPERLINK \l "_Toc176455992" </w:instrText>
      </w:r>
      <w:r>
        <w:fldChar w:fldCharType="separate"/>
      </w:r>
      <w:r>
        <w:rPr>
          <w:rStyle w:val="50"/>
        </w:rPr>
        <w:t>二、风景名胜区现状问题与发展分析</w:t>
      </w:r>
      <w:r>
        <w:tab/>
      </w:r>
      <w:r>
        <w:fldChar w:fldCharType="begin"/>
      </w:r>
      <w:r>
        <w:instrText xml:space="preserve"> PAGEREF _Toc176455992 \h </w:instrText>
      </w:r>
      <w:r>
        <w:fldChar w:fldCharType="separate"/>
      </w:r>
      <w:r>
        <w:t>5</w:t>
      </w:r>
      <w:r>
        <w:fldChar w:fldCharType="end"/>
      </w:r>
      <w:r>
        <w:fldChar w:fldCharType="end"/>
      </w:r>
    </w:p>
    <w:p>
      <w:pPr>
        <w:pStyle w:val="28"/>
        <w:rPr>
          <w:rFonts w:asciiTheme="minorHAnsi" w:hAnsiTheme="minorHAnsi" w:eastAsiaTheme="minorEastAsia" w:cstheme="minorBidi"/>
          <w:b w:val="0"/>
          <w:sz w:val="21"/>
          <w:szCs w:val="22"/>
        </w:rPr>
      </w:pPr>
      <w:r>
        <w:fldChar w:fldCharType="begin"/>
      </w:r>
      <w:r>
        <w:instrText xml:space="preserve"> HYPERLINK \l "_Toc176455993" </w:instrText>
      </w:r>
      <w:r>
        <w:fldChar w:fldCharType="separate"/>
      </w:r>
      <w:r>
        <w:rPr>
          <w:rStyle w:val="50"/>
        </w:rPr>
        <w:t>第一章 关于规划总则的说明</w:t>
      </w:r>
      <w:r>
        <w:tab/>
      </w:r>
      <w:r>
        <w:fldChar w:fldCharType="begin"/>
      </w:r>
      <w:r>
        <w:instrText xml:space="preserve"> PAGEREF _Toc176455993 \h </w:instrText>
      </w:r>
      <w:r>
        <w:fldChar w:fldCharType="separate"/>
      </w:r>
      <w:r>
        <w:t>8</w:t>
      </w:r>
      <w:r>
        <w:fldChar w:fldCharType="end"/>
      </w:r>
      <w:r>
        <w:fldChar w:fldCharType="end"/>
      </w:r>
    </w:p>
    <w:p>
      <w:pPr>
        <w:pStyle w:val="35"/>
        <w:rPr>
          <w:rFonts w:asciiTheme="minorHAnsi" w:hAnsiTheme="minorHAnsi" w:eastAsiaTheme="minorEastAsia" w:cstheme="minorBidi"/>
          <w:sz w:val="21"/>
          <w:szCs w:val="22"/>
        </w:rPr>
      </w:pPr>
      <w:r>
        <w:fldChar w:fldCharType="begin"/>
      </w:r>
      <w:r>
        <w:instrText xml:space="preserve"> HYPERLINK \l "_Toc176455994" </w:instrText>
      </w:r>
      <w:r>
        <w:fldChar w:fldCharType="separate"/>
      </w:r>
      <w:r>
        <w:rPr>
          <w:rStyle w:val="50"/>
        </w:rPr>
        <w:t>一、规划范围与面积</w:t>
      </w:r>
      <w:r>
        <w:tab/>
      </w:r>
      <w:r>
        <w:fldChar w:fldCharType="begin"/>
      </w:r>
      <w:r>
        <w:instrText xml:space="preserve"> PAGEREF _Toc176455994 \h </w:instrText>
      </w:r>
      <w:r>
        <w:fldChar w:fldCharType="separate"/>
      </w:r>
      <w:r>
        <w:t>8</w:t>
      </w:r>
      <w:r>
        <w:fldChar w:fldCharType="end"/>
      </w:r>
      <w:r>
        <w:fldChar w:fldCharType="end"/>
      </w:r>
    </w:p>
    <w:p>
      <w:pPr>
        <w:pStyle w:val="35"/>
        <w:rPr>
          <w:rFonts w:asciiTheme="minorHAnsi" w:hAnsiTheme="minorHAnsi" w:eastAsiaTheme="minorEastAsia" w:cstheme="minorBidi"/>
          <w:sz w:val="21"/>
          <w:szCs w:val="22"/>
        </w:rPr>
      </w:pPr>
      <w:r>
        <w:fldChar w:fldCharType="begin"/>
      </w:r>
      <w:r>
        <w:instrText xml:space="preserve"> HYPERLINK \l "_Toc176455995" </w:instrText>
      </w:r>
      <w:r>
        <w:fldChar w:fldCharType="separate"/>
      </w:r>
      <w:r>
        <w:rPr>
          <w:rStyle w:val="50"/>
        </w:rPr>
        <w:t>二、风景名胜区性质与资源特色</w:t>
      </w:r>
      <w:r>
        <w:tab/>
      </w:r>
      <w:r>
        <w:fldChar w:fldCharType="begin"/>
      </w:r>
      <w:r>
        <w:instrText xml:space="preserve"> PAGEREF _Toc176455995 \h </w:instrText>
      </w:r>
      <w:r>
        <w:fldChar w:fldCharType="separate"/>
      </w:r>
      <w:r>
        <w:t>8</w:t>
      </w:r>
      <w:r>
        <w:fldChar w:fldCharType="end"/>
      </w:r>
      <w:r>
        <w:fldChar w:fldCharType="end"/>
      </w:r>
    </w:p>
    <w:p>
      <w:pPr>
        <w:pStyle w:val="35"/>
        <w:rPr>
          <w:rFonts w:asciiTheme="minorHAnsi" w:hAnsiTheme="minorHAnsi" w:eastAsiaTheme="minorEastAsia" w:cstheme="minorBidi"/>
          <w:sz w:val="21"/>
          <w:szCs w:val="22"/>
        </w:rPr>
      </w:pPr>
      <w:r>
        <w:fldChar w:fldCharType="begin"/>
      </w:r>
      <w:r>
        <w:instrText xml:space="preserve"> HYPERLINK \l "_Toc176455996" </w:instrText>
      </w:r>
      <w:r>
        <w:fldChar w:fldCharType="separate"/>
      </w:r>
      <w:r>
        <w:rPr>
          <w:rStyle w:val="50"/>
        </w:rPr>
        <w:t>三、规划期限</w:t>
      </w:r>
      <w:r>
        <w:tab/>
      </w:r>
      <w:r>
        <w:fldChar w:fldCharType="begin"/>
      </w:r>
      <w:r>
        <w:instrText xml:space="preserve"> PAGEREF _Toc176455996 \h </w:instrText>
      </w:r>
      <w:r>
        <w:fldChar w:fldCharType="separate"/>
      </w:r>
      <w:r>
        <w:t>12</w:t>
      </w:r>
      <w:r>
        <w:fldChar w:fldCharType="end"/>
      </w:r>
      <w:r>
        <w:fldChar w:fldCharType="end"/>
      </w:r>
    </w:p>
    <w:p>
      <w:pPr>
        <w:pStyle w:val="35"/>
        <w:rPr>
          <w:rFonts w:asciiTheme="minorHAnsi" w:hAnsiTheme="minorHAnsi" w:eastAsiaTheme="minorEastAsia" w:cstheme="minorBidi"/>
          <w:sz w:val="21"/>
          <w:szCs w:val="22"/>
        </w:rPr>
      </w:pPr>
      <w:r>
        <w:fldChar w:fldCharType="begin"/>
      </w:r>
      <w:r>
        <w:instrText xml:space="preserve"> HYPERLINK \l "_Toc176455997" </w:instrText>
      </w:r>
      <w:r>
        <w:fldChar w:fldCharType="separate"/>
      </w:r>
      <w:r>
        <w:rPr>
          <w:rStyle w:val="50"/>
        </w:rPr>
        <w:t>四、规划目标</w:t>
      </w:r>
      <w:r>
        <w:tab/>
      </w:r>
      <w:r>
        <w:fldChar w:fldCharType="begin"/>
      </w:r>
      <w:r>
        <w:instrText xml:space="preserve"> PAGEREF _Toc176455997 \h </w:instrText>
      </w:r>
      <w:r>
        <w:fldChar w:fldCharType="separate"/>
      </w:r>
      <w:r>
        <w:t>12</w:t>
      </w:r>
      <w:r>
        <w:fldChar w:fldCharType="end"/>
      </w:r>
      <w:r>
        <w:fldChar w:fldCharType="end"/>
      </w:r>
    </w:p>
    <w:p>
      <w:pPr>
        <w:pStyle w:val="35"/>
        <w:rPr>
          <w:rFonts w:asciiTheme="minorHAnsi" w:hAnsiTheme="minorHAnsi" w:eastAsiaTheme="minorEastAsia" w:cstheme="minorBidi"/>
          <w:sz w:val="21"/>
          <w:szCs w:val="22"/>
        </w:rPr>
      </w:pPr>
      <w:r>
        <w:fldChar w:fldCharType="begin"/>
      </w:r>
      <w:r>
        <w:instrText xml:space="preserve"> HYPERLINK \l "_Toc176455998" </w:instrText>
      </w:r>
      <w:r>
        <w:fldChar w:fldCharType="separate"/>
      </w:r>
      <w:r>
        <w:rPr>
          <w:rStyle w:val="50"/>
        </w:rPr>
        <w:t>五、规划策略</w:t>
      </w:r>
      <w:r>
        <w:tab/>
      </w:r>
      <w:r>
        <w:fldChar w:fldCharType="begin"/>
      </w:r>
      <w:r>
        <w:instrText xml:space="preserve"> PAGEREF _Toc176455998 \h </w:instrText>
      </w:r>
      <w:r>
        <w:fldChar w:fldCharType="separate"/>
      </w:r>
      <w:r>
        <w:t>13</w:t>
      </w:r>
      <w:r>
        <w:fldChar w:fldCharType="end"/>
      </w:r>
      <w:r>
        <w:fldChar w:fldCharType="end"/>
      </w:r>
    </w:p>
    <w:p>
      <w:pPr>
        <w:pStyle w:val="35"/>
        <w:rPr>
          <w:rFonts w:asciiTheme="minorHAnsi" w:hAnsiTheme="minorHAnsi" w:eastAsiaTheme="minorEastAsia" w:cstheme="minorBidi"/>
          <w:sz w:val="21"/>
          <w:szCs w:val="22"/>
        </w:rPr>
      </w:pPr>
      <w:r>
        <w:fldChar w:fldCharType="begin"/>
      </w:r>
      <w:r>
        <w:instrText xml:space="preserve"> HYPERLINK \l "_Toc176455999" </w:instrText>
      </w:r>
      <w:r>
        <w:fldChar w:fldCharType="separate"/>
      </w:r>
      <w:r>
        <w:rPr>
          <w:rStyle w:val="50"/>
        </w:rPr>
        <w:t>六、总体布局结构</w:t>
      </w:r>
      <w:r>
        <w:tab/>
      </w:r>
      <w:r>
        <w:fldChar w:fldCharType="begin"/>
      </w:r>
      <w:r>
        <w:instrText xml:space="preserve"> PAGEREF _Toc176455999 \h </w:instrText>
      </w:r>
      <w:r>
        <w:fldChar w:fldCharType="separate"/>
      </w:r>
      <w:r>
        <w:t>14</w:t>
      </w:r>
      <w:r>
        <w:fldChar w:fldCharType="end"/>
      </w:r>
      <w:r>
        <w:fldChar w:fldCharType="end"/>
      </w:r>
    </w:p>
    <w:p>
      <w:pPr>
        <w:pStyle w:val="28"/>
        <w:rPr>
          <w:rFonts w:asciiTheme="minorHAnsi" w:hAnsiTheme="minorHAnsi" w:eastAsiaTheme="minorEastAsia" w:cstheme="minorBidi"/>
          <w:b w:val="0"/>
          <w:sz w:val="21"/>
          <w:szCs w:val="22"/>
        </w:rPr>
      </w:pPr>
      <w:r>
        <w:fldChar w:fldCharType="begin"/>
      </w:r>
      <w:r>
        <w:instrText xml:space="preserve"> HYPERLINK \l "_Toc176456000" </w:instrText>
      </w:r>
      <w:r>
        <w:fldChar w:fldCharType="separate"/>
      </w:r>
      <w:r>
        <w:rPr>
          <w:rStyle w:val="50"/>
        </w:rPr>
        <w:t>第二章 关于保护规划的说明</w:t>
      </w:r>
      <w:r>
        <w:tab/>
      </w:r>
      <w:r>
        <w:fldChar w:fldCharType="begin"/>
      </w:r>
      <w:r>
        <w:instrText xml:space="preserve"> PAGEREF _Toc176456000 \h </w:instrText>
      </w:r>
      <w:r>
        <w:fldChar w:fldCharType="separate"/>
      </w:r>
      <w:r>
        <w:t>15</w:t>
      </w:r>
      <w:r>
        <w:fldChar w:fldCharType="end"/>
      </w:r>
      <w:r>
        <w:fldChar w:fldCharType="end"/>
      </w:r>
    </w:p>
    <w:p>
      <w:pPr>
        <w:pStyle w:val="35"/>
        <w:rPr>
          <w:rFonts w:asciiTheme="minorHAnsi" w:hAnsiTheme="minorHAnsi" w:eastAsiaTheme="minorEastAsia" w:cstheme="minorBidi"/>
          <w:sz w:val="21"/>
          <w:szCs w:val="22"/>
        </w:rPr>
      </w:pPr>
      <w:r>
        <w:fldChar w:fldCharType="begin"/>
      </w:r>
      <w:r>
        <w:instrText xml:space="preserve"> HYPERLINK \l "_Toc176456001" </w:instrText>
      </w:r>
      <w:r>
        <w:fldChar w:fldCharType="separate"/>
      </w:r>
      <w:r>
        <w:rPr>
          <w:rStyle w:val="50"/>
        </w:rPr>
        <w:t>一、资源分级保护</w:t>
      </w:r>
      <w:r>
        <w:tab/>
      </w:r>
      <w:r>
        <w:fldChar w:fldCharType="begin"/>
      </w:r>
      <w:r>
        <w:instrText xml:space="preserve"> PAGEREF _Toc176456001 \h </w:instrText>
      </w:r>
      <w:r>
        <w:fldChar w:fldCharType="separate"/>
      </w:r>
      <w:r>
        <w:t>15</w:t>
      </w:r>
      <w:r>
        <w:fldChar w:fldCharType="end"/>
      </w:r>
      <w:r>
        <w:fldChar w:fldCharType="end"/>
      </w:r>
    </w:p>
    <w:p>
      <w:pPr>
        <w:pStyle w:val="35"/>
        <w:rPr>
          <w:rFonts w:asciiTheme="minorHAnsi" w:hAnsiTheme="minorHAnsi" w:eastAsiaTheme="minorEastAsia" w:cstheme="minorBidi"/>
          <w:sz w:val="21"/>
          <w:szCs w:val="22"/>
        </w:rPr>
      </w:pPr>
      <w:r>
        <w:fldChar w:fldCharType="begin"/>
      </w:r>
      <w:r>
        <w:instrText xml:space="preserve"> HYPERLINK \l "_Toc176456002" </w:instrText>
      </w:r>
      <w:r>
        <w:fldChar w:fldCharType="separate"/>
      </w:r>
      <w:r>
        <w:rPr>
          <w:rStyle w:val="50"/>
        </w:rPr>
        <w:t>二、资源分类保护</w:t>
      </w:r>
      <w:r>
        <w:tab/>
      </w:r>
      <w:r>
        <w:fldChar w:fldCharType="begin"/>
      </w:r>
      <w:r>
        <w:instrText xml:space="preserve"> PAGEREF _Toc176456002 \h </w:instrText>
      </w:r>
      <w:r>
        <w:fldChar w:fldCharType="separate"/>
      </w:r>
      <w:r>
        <w:t>17</w:t>
      </w:r>
      <w:r>
        <w:fldChar w:fldCharType="end"/>
      </w:r>
      <w:r>
        <w:fldChar w:fldCharType="end"/>
      </w:r>
    </w:p>
    <w:p>
      <w:pPr>
        <w:pStyle w:val="35"/>
        <w:rPr>
          <w:rFonts w:asciiTheme="minorHAnsi" w:hAnsiTheme="minorHAnsi" w:eastAsiaTheme="minorEastAsia" w:cstheme="minorBidi"/>
          <w:sz w:val="21"/>
          <w:szCs w:val="22"/>
        </w:rPr>
      </w:pPr>
      <w:r>
        <w:fldChar w:fldCharType="begin"/>
      </w:r>
      <w:r>
        <w:instrText xml:space="preserve"> HYPERLINK \l "_Toc176456003" </w:instrText>
      </w:r>
      <w:r>
        <w:fldChar w:fldCharType="separate"/>
      </w:r>
      <w:r>
        <w:rPr>
          <w:rStyle w:val="50"/>
        </w:rPr>
        <w:t>三、建设控制管理</w:t>
      </w:r>
      <w:r>
        <w:tab/>
      </w:r>
      <w:r>
        <w:fldChar w:fldCharType="begin"/>
      </w:r>
      <w:r>
        <w:instrText xml:space="preserve"> PAGEREF _Toc176456003 \h </w:instrText>
      </w:r>
      <w:r>
        <w:fldChar w:fldCharType="separate"/>
      </w:r>
      <w:r>
        <w:t>24</w:t>
      </w:r>
      <w:r>
        <w:fldChar w:fldCharType="end"/>
      </w:r>
      <w:r>
        <w:fldChar w:fldCharType="end"/>
      </w:r>
    </w:p>
    <w:p>
      <w:pPr>
        <w:pStyle w:val="35"/>
        <w:rPr>
          <w:rFonts w:asciiTheme="minorHAnsi" w:hAnsiTheme="minorHAnsi" w:eastAsiaTheme="minorEastAsia" w:cstheme="minorBidi"/>
          <w:sz w:val="21"/>
          <w:szCs w:val="22"/>
        </w:rPr>
      </w:pPr>
      <w:r>
        <w:fldChar w:fldCharType="begin"/>
      </w:r>
      <w:r>
        <w:instrText xml:space="preserve"> HYPERLINK \l "_Toc176456004" </w:instrText>
      </w:r>
      <w:r>
        <w:fldChar w:fldCharType="separate"/>
      </w:r>
      <w:r>
        <w:rPr>
          <w:rStyle w:val="50"/>
        </w:rPr>
        <w:t>四、生态环境保护</w:t>
      </w:r>
      <w:r>
        <w:tab/>
      </w:r>
      <w:r>
        <w:fldChar w:fldCharType="begin"/>
      </w:r>
      <w:r>
        <w:instrText xml:space="preserve"> PAGEREF _Toc176456004 \h </w:instrText>
      </w:r>
      <w:r>
        <w:fldChar w:fldCharType="separate"/>
      </w:r>
      <w:r>
        <w:t>27</w:t>
      </w:r>
      <w:r>
        <w:fldChar w:fldCharType="end"/>
      </w:r>
      <w:r>
        <w:fldChar w:fldCharType="end"/>
      </w:r>
    </w:p>
    <w:p>
      <w:pPr>
        <w:pStyle w:val="28"/>
        <w:rPr>
          <w:rFonts w:asciiTheme="minorHAnsi" w:hAnsiTheme="minorHAnsi" w:eastAsiaTheme="minorEastAsia" w:cstheme="minorBidi"/>
          <w:b w:val="0"/>
          <w:sz w:val="21"/>
          <w:szCs w:val="22"/>
        </w:rPr>
      </w:pPr>
      <w:r>
        <w:fldChar w:fldCharType="begin"/>
      </w:r>
      <w:r>
        <w:instrText xml:space="preserve"> HYPERLINK \l "_Toc176456005" </w:instrText>
      </w:r>
      <w:r>
        <w:fldChar w:fldCharType="separate"/>
      </w:r>
      <w:r>
        <w:rPr>
          <w:rStyle w:val="50"/>
        </w:rPr>
        <w:t>第三章 关于游赏规划的说明</w:t>
      </w:r>
      <w:r>
        <w:tab/>
      </w:r>
      <w:r>
        <w:fldChar w:fldCharType="begin"/>
      </w:r>
      <w:r>
        <w:instrText xml:space="preserve"> PAGEREF _Toc176456005 \h </w:instrText>
      </w:r>
      <w:r>
        <w:fldChar w:fldCharType="separate"/>
      </w:r>
      <w:r>
        <w:t>33</w:t>
      </w:r>
      <w:r>
        <w:fldChar w:fldCharType="end"/>
      </w:r>
      <w:r>
        <w:fldChar w:fldCharType="end"/>
      </w:r>
    </w:p>
    <w:p>
      <w:pPr>
        <w:pStyle w:val="35"/>
        <w:rPr>
          <w:rFonts w:asciiTheme="minorHAnsi" w:hAnsiTheme="minorHAnsi" w:eastAsiaTheme="minorEastAsia" w:cstheme="minorBidi"/>
          <w:sz w:val="21"/>
          <w:szCs w:val="22"/>
        </w:rPr>
      </w:pPr>
      <w:r>
        <w:fldChar w:fldCharType="begin"/>
      </w:r>
      <w:r>
        <w:instrText xml:space="preserve"> HYPERLINK \l "_Toc176456006" </w:instrText>
      </w:r>
      <w:r>
        <w:fldChar w:fldCharType="separate"/>
      </w:r>
      <w:r>
        <w:rPr>
          <w:rStyle w:val="50"/>
        </w:rPr>
        <w:t>一、游客容量</w:t>
      </w:r>
      <w:r>
        <w:tab/>
      </w:r>
      <w:r>
        <w:fldChar w:fldCharType="begin"/>
      </w:r>
      <w:r>
        <w:instrText xml:space="preserve"> PAGEREF _Toc176456006 \h </w:instrText>
      </w:r>
      <w:r>
        <w:fldChar w:fldCharType="separate"/>
      </w:r>
      <w:r>
        <w:t>33</w:t>
      </w:r>
      <w:r>
        <w:fldChar w:fldCharType="end"/>
      </w:r>
      <w:r>
        <w:fldChar w:fldCharType="end"/>
      </w:r>
    </w:p>
    <w:p>
      <w:pPr>
        <w:pStyle w:val="35"/>
        <w:rPr>
          <w:rFonts w:asciiTheme="minorHAnsi" w:hAnsiTheme="minorHAnsi" w:eastAsiaTheme="minorEastAsia" w:cstheme="minorBidi"/>
          <w:sz w:val="21"/>
          <w:szCs w:val="22"/>
        </w:rPr>
      </w:pPr>
      <w:r>
        <w:fldChar w:fldCharType="begin"/>
      </w:r>
      <w:r>
        <w:instrText xml:space="preserve"> HYPERLINK \l "_Toc176456007" </w:instrText>
      </w:r>
      <w:r>
        <w:fldChar w:fldCharType="separate"/>
      </w:r>
      <w:r>
        <w:rPr>
          <w:rStyle w:val="50"/>
        </w:rPr>
        <w:t>二、典型景观与展示</w:t>
      </w:r>
      <w:r>
        <w:tab/>
      </w:r>
      <w:r>
        <w:fldChar w:fldCharType="begin"/>
      </w:r>
      <w:r>
        <w:instrText xml:space="preserve"> PAGEREF _Toc176456007 \h </w:instrText>
      </w:r>
      <w:r>
        <w:fldChar w:fldCharType="separate"/>
      </w:r>
      <w:r>
        <w:t>35</w:t>
      </w:r>
      <w:r>
        <w:fldChar w:fldCharType="end"/>
      </w:r>
      <w:r>
        <w:fldChar w:fldCharType="end"/>
      </w:r>
    </w:p>
    <w:p>
      <w:pPr>
        <w:pStyle w:val="35"/>
        <w:rPr>
          <w:rFonts w:asciiTheme="minorHAnsi" w:hAnsiTheme="minorHAnsi" w:eastAsiaTheme="minorEastAsia" w:cstheme="minorBidi"/>
          <w:sz w:val="21"/>
          <w:szCs w:val="22"/>
        </w:rPr>
      </w:pPr>
      <w:r>
        <w:fldChar w:fldCharType="begin"/>
      </w:r>
      <w:r>
        <w:instrText xml:space="preserve"> HYPERLINK \l "_Toc176456008" </w:instrText>
      </w:r>
      <w:r>
        <w:fldChar w:fldCharType="separate"/>
      </w:r>
      <w:r>
        <w:rPr>
          <w:rStyle w:val="50"/>
        </w:rPr>
        <w:t>三、景区规划</w:t>
      </w:r>
      <w:r>
        <w:tab/>
      </w:r>
      <w:r>
        <w:fldChar w:fldCharType="begin"/>
      </w:r>
      <w:r>
        <w:instrText xml:space="preserve"> PAGEREF _Toc176456008 \h </w:instrText>
      </w:r>
      <w:r>
        <w:fldChar w:fldCharType="separate"/>
      </w:r>
      <w:r>
        <w:t>42</w:t>
      </w:r>
      <w:r>
        <w:fldChar w:fldCharType="end"/>
      </w:r>
      <w:r>
        <w:fldChar w:fldCharType="end"/>
      </w:r>
    </w:p>
    <w:p>
      <w:pPr>
        <w:pStyle w:val="35"/>
        <w:rPr>
          <w:rFonts w:asciiTheme="minorHAnsi" w:hAnsiTheme="minorHAnsi" w:eastAsiaTheme="minorEastAsia" w:cstheme="minorBidi"/>
          <w:sz w:val="21"/>
          <w:szCs w:val="22"/>
        </w:rPr>
      </w:pPr>
      <w:r>
        <w:fldChar w:fldCharType="begin"/>
      </w:r>
      <w:r>
        <w:instrText xml:space="preserve"> HYPERLINK \l "_Toc176456009" </w:instrText>
      </w:r>
      <w:r>
        <w:fldChar w:fldCharType="separate"/>
      </w:r>
      <w:r>
        <w:rPr>
          <w:rStyle w:val="50"/>
        </w:rPr>
        <w:t>四、游赏组织规划</w:t>
      </w:r>
      <w:r>
        <w:tab/>
      </w:r>
      <w:r>
        <w:fldChar w:fldCharType="begin"/>
      </w:r>
      <w:r>
        <w:instrText xml:space="preserve"> PAGEREF _Toc176456009 \h </w:instrText>
      </w:r>
      <w:r>
        <w:fldChar w:fldCharType="separate"/>
      </w:r>
      <w:r>
        <w:t>52</w:t>
      </w:r>
      <w:r>
        <w:fldChar w:fldCharType="end"/>
      </w:r>
      <w:r>
        <w:fldChar w:fldCharType="end"/>
      </w:r>
    </w:p>
    <w:p>
      <w:pPr>
        <w:pStyle w:val="28"/>
        <w:rPr>
          <w:rFonts w:asciiTheme="minorHAnsi" w:hAnsiTheme="minorHAnsi" w:eastAsiaTheme="minorEastAsia" w:cstheme="minorBidi"/>
          <w:b w:val="0"/>
          <w:sz w:val="21"/>
          <w:szCs w:val="22"/>
        </w:rPr>
      </w:pPr>
      <w:r>
        <w:fldChar w:fldCharType="begin"/>
      </w:r>
      <w:r>
        <w:instrText xml:space="preserve"> HYPERLINK \l "_Toc176456010" </w:instrText>
      </w:r>
      <w:r>
        <w:fldChar w:fldCharType="separate"/>
      </w:r>
      <w:r>
        <w:rPr>
          <w:rStyle w:val="50"/>
        </w:rPr>
        <w:t>第四章 关于设施规划的说明</w:t>
      </w:r>
      <w:r>
        <w:tab/>
      </w:r>
      <w:r>
        <w:fldChar w:fldCharType="begin"/>
      </w:r>
      <w:r>
        <w:instrText xml:space="preserve"> PAGEREF _Toc176456010 \h </w:instrText>
      </w:r>
      <w:r>
        <w:fldChar w:fldCharType="separate"/>
      </w:r>
      <w:r>
        <w:t>54</w:t>
      </w:r>
      <w:r>
        <w:fldChar w:fldCharType="end"/>
      </w:r>
      <w:r>
        <w:fldChar w:fldCharType="end"/>
      </w:r>
    </w:p>
    <w:p>
      <w:pPr>
        <w:pStyle w:val="35"/>
        <w:rPr>
          <w:rFonts w:asciiTheme="minorHAnsi" w:hAnsiTheme="minorHAnsi" w:eastAsiaTheme="minorEastAsia" w:cstheme="minorBidi"/>
          <w:sz w:val="21"/>
          <w:szCs w:val="22"/>
        </w:rPr>
      </w:pPr>
      <w:r>
        <w:fldChar w:fldCharType="begin"/>
      </w:r>
      <w:r>
        <w:instrText xml:space="preserve"> HYPERLINK \l "_Toc176456011" </w:instrText>
      </w:r>
      <w:r>
        <w:fldChar w:fldCharType="separate"/>
      </w:r>
      <w:r>
        <w:rPr>
          <w:rStyle w:val="50"/>
        </w:rPr>
        <w:t>一、道路交通规划</w:t>
      </w:r>
      <w:r>
        <w:tab/>
      </w:r>
      <w:r>
        <w:fldChar w:fldCharType="begin"/>
      </w:r>
      <w:r>
        <w:instrText xml:space="preserve"> PAGEREF _Toc176456011 \h </w:instrText>
      </w:r>
      <w:r>
        <w:fldChar w:fldCharType="separate"/>
      </w:r>
      <w:r>
        <w:t>54</w:t>
      </w:r>
      <w:r>
        <w:fldChar w:fldCharType="end"/>
      </w:r>
      <w:r>
        <w:fldChar w:fldCharType="end"/>
      </w:r>
    </w:p>
    <w:p>
      <w:pPr>
        <w:pStyle w:val="35"/>
        <w:rPr>
          <w:rFonts w:asciiTheme="minorHAnsi" w:hAnsiTheme="minorHAnsi" w:eastAsiaTheme="minorEastAsia" w:cstheme="minorBidi"/>
          <w:sz w:val="21"/>
          <w:szCs w:val="22"/>
        </w:rPr>
      </w:pPr>
      <w:r>
        <w:fldChar w:fldCharType="begin"/>
      </w:r>
      <w:r>
        <w:instrText xml:space="preserve"> HYPERLINK \l "_Toc176456012" </w:instrText>
      </w:r>
      <w:r>
        <w:fldChar w:fldCharType="separate"/>
      </w:r>
      <w:r>
        <w:rPr>
          <w:rStyle w:val="50"/>
        </w:rPr>
        <w:t>二、游览设施规划</w:t>
      </w:r>
      <w:r>
        <w:tab/>
      </w:r>
      <w:r>
        <w:fldChar w:fldCharType="begin"/>
      </w:r>
      <w:r>
        <w:instrText xml:space="preserve"> PAGEREF _Toc176456012 \h </w:instrText>
      </w:r>
      <w:r>
        <w:fldChar w:fldCharType="separate"/>
      </w:r>
      <w:r>
        <w:t>62</w:t>
      </w:r>
      <w:r>
        <w:fldChar w:fldCharType="end"/>
      </w:r>
      <w:r>
        <w:fldChar w:fldCharType="end"/>
      </w:r>
    </w:p>
    <w:p>
      <w:pPr>
        <w:pStyle w:val="35"/>
        <w:rPr>
          <w:rFonts w:asciiTheme="minorHAnsi" w:hAnsiTheme="minorHAnsi" w:eastAsiaTheme="minorEastAsia" w:cstheme="minorBidi"/>
          <w:sz w:val="21"/>
          <w:szCs w:val="22"/>
        </w:rPr>
      </w:pPr>
      <w:r>
        <w:fldChar w:fldCharType="begin"/>
      </w:r>
      <w:r>
        <w:instrText xml:space="preserve"> HYPERLINK \l "_Toc176456013" </w:instrText>
      </w:r>
      <w:r>
        <w:fldChar w:fldCharType="separate"/>
      </w:r>
      <w:r>
        <w:rPr>
          <w:rStyle w:val="50"/>
        </w:rPr>
        <w:t>三、基础工程规划</w:t>
      </w:r>
      <w:r>
        <w:tab/>
      </w:r>
      <w:r>
        <w:fldChar w:fldCharType="begin"/>
      </w:r>
      <w:r>
        <w:instrText xml:space="preserve"> PAGEREF _Toc176456013 \h </w:instrText>
      </w:r>
      <w:r>
        <w:fldChar w:fldCharType="separate"/>
      </w:r>
      <w:r>
        <w:t>71</w:t>
      </w:r>
      <w:r>
        <w:fldChar w:fldCharType="end"/>
      </w:r>
      <w:r>
        <w:fldChar w:fldCharType="end"/>
      </w:r>
    </w:p>
    <w:p>
      <w:pPr>
        <w:pStyle w:val="28"/>
        <w:rPr>
          <w:rFonts w:asciiTheme="minorHAnsi" w:hAnsiTheme="minorHAnsi" w:eastAsiaTheme="minorEastAsia" w:cstheme="minorBidi"/>
          <w:b w:val="0"/>
          <w:sz w:val="21"/>
          <w:szCs w:val="22"/>
        </w:rPr>
      </w:pPr>
      <w:r>
        <w:fldChar w:fldCharType="begin"/>
      </w:r>
      <w:r>
        <w:instrText xml:space="preserve"> HYPERLINK \l "_Toc176456014" </w:instrText>
      </w:r>
      <w:r>
        <w:fldChar w:fldCharType="separate"/>
      </w:r>
      <w:r>
        <w:rPr>
          <w:rStyle w:val="50"/>
        </w:rPr>
        <w:t>第五章 关于居民点协调发展规划的说明</w:t>
      </w:r>
      <w:r>
        <w:tab/>
      </w:r>
      <w:r>
        <w:fldChar w:fldCharType="begin"/>
      </w:r>
      <w:r>
        <w:instrText xml:space="preserve"> PAGEREF _Toc176456014 \h </w:instrText>
      </w:r>
      <w:r>
        <w:fldChar w:fldCharType="separate"/>
      </w:r>
      <w:r>
        <w:t>84</w:t>
      </w:r>
      <w:r>
        <w:fldChar w:fldCharType="end"/>
      </w:r>
      <w:r>
        <w:fldChar w:fldCharType="end"/>
      </w:r>
    </w:p>
    <w:p>
      <w:pPr>
        <w:pStyle w:val="35"/>
        <w:rPr>
          <w:rFonts w:asciiTheme="minorHAnsi" w:hAnsiTheme="minorHAnsi" w:eastAsiaTheme="minorEastAsia" w:cstheme="minorBidi"/>
          <w:sz w:val="21"/>
          <w:szCs w:val="22"/>
        </w:rPr>
      </w:pPr>
      <w:r>
        <w:fldChar w:fldCharType="begin"/>
      </w:r>
      <w:r>
        <w:instrText xml:space="preserve"> HYPERLINK \l "_Toc176456015" </w:instrText>
      </w:r>
      <w:r>
        <w:fldChar w:fldCharType="separate"/>
      </w:r>
      <w:r>
        <w:rPr>
          <w:rStyle w:val="50"/>
        </w:rPr>
        <w:t>一、居民社会现状</w:t>
      </w:r>
      <w:r>
        <w:tab/>
      </w:r>
      <w:r>
        <w:fldChar w:fldCharType="begin"/>
      </w:r>
      <w:r>
        <w:instrText xml:space="preserve"> PAGEREF _Toc176456015 \h </w:instrText>
      </w:r>
      <w:r>
        <w:fldChar w:fldCharType="separate"/>
      </w:r>
      <w:r>
        <w:t>84</w:t>
      </w:r>
      <w:r>
        <w:fldChar w:fldCharType="end"/>
      </w:r>
      <w:r>
        <w:fldChar w:fldCharType="end"/>
      </w:r>
    </w:p>
    <w:p>
      <w:pPr>
        <w:pStyle w:val="35"/>
        <w:rPr>
          <w:rFonts w:asciiTheme="minorHAnsi" w:hAnsiTheme="minorHAnsi" w:eastAsiaTheme="minorEastAsia" w:cstheme="minorBidi"/>
          <w:sz w:val="21"/>
          <w:szCs w:val="22"/>
        </w:rPr>
      </w:pPr>
      <w:r>
        <w:fldChar w:fldCharType="begin"/>
      </w:r>
      <w:r>
        <w:instrText xml:space="preserve"> HYPERLINK \l "_Toc176456016" </w:instrText>
      </w:r>
      <w:r>
        <w:fldChar w:fldCharType="separate"/>
      </w:r>
      <w:r>
        <w:rPr>
          <w:rStyle w:val="50"/>
        </w:rPr>
        <w:t>二、居民点调控</w:t>
      </w:r>
      <w:r>
        <w:tab/>
      </w:r>
      <w:r>
        <w:fldChar w:fldCharType="begin"/>
      </w:r>
      <w:r>
        <w:instrText xml:space="preserve"> PAGEREF _Toc176456016 \h </w:instrText>
      </w:r>
      <w:r>
        <w:fldChar w:fldCharType="separate"/>
      </w:r>
      <w:r>
        <w:t>88</w:t>
      </w:r>
      <w:r>
        <w:fldChar w:fldCharType="end"/>
      </w:r>
      <w:r>
        <w:fldChar w:fldCharType="end"/>
      </w:r>
    </w:p>
    <w:p>
      <w:pPr>
        <w:pStyle w:val="35"/>
        <w:rPr>
          <w:rFonts w:asciiTheme="minorHAnsi" w:hAnsiTheme="minorHAnsi" w:eastAsiaTheme="minorEastAsia" w:cstheme="minorBidi"/>
          <w:sz w:val="21"/>
          <w:szCs w:val="22"/>
        </w:rPr>
      </w:pPr>
      <w:r>
        <w:fldChar w:fldCharType="begin"/>
      </w:r>
      <w:r>
        <w:instrText xml:space="preserve"> HYPERLINK \l "_Toc176456017" </w:instrText>
      </w:r>
      <w:r>
        <w:fldChar w:fldCharType="separate"/>
      </w:r>
      <w:r>
        <w:rPr>
          <w:rStyle w:val="50"/>
        </w:rPr>
        <w:t>三、经济发展引导</w:t>
      </w:r>
      <w:r>
        <w:tab/>
      </w:r>
      <w:r>
        <w:fldChar w:fldCharType="begin"/>
      </w:r>
      <w:r>
        <w:instrText xml:space="preserve"> PAGEREF _Toc176456017 \h </w:instrText>
      </w:r>
      <w:r>
        <w:fldChar w:fldCharType="separate"/>
      </w:r>
      <w:r>
        <w:t>92</w:t>
      </w:r>
      <w:r>
        <w:fldChar w:fldCharType="end"/>
      </w:r>
      <w:r>
        <w:fldChar w:fldCharType="end"/>
      </w:r>
    </w:p>
    <w:p>
      <w:pPr>
        <w:pStyle w:val="35"/>
        <w:rPr>
          <w:rFonts w:asciiTheme="minorHAnsi" w:hAnsiTheme="minorHAnsi" w:eastAsiaTheme="minorEastAsia" w:cstheme="minorBidi"/>
          <w:sz w:val="21"/>
          <w:szCs w:val="22"/>
        </w:rPr>
      </w:pPr>
      <w:r>
        <w:fldChar w:fldCharType="begin"/>
      </w:r>
      <w:r>
        <w:instrText xml:space="preserve"> HYPERLINK \l "_Toc176456018" </w:instrText>
      </w:r>
      <w:r>
        <w:fldChar w:fldCharType="separate"/>
      </w:r>
      <w:r>
        <w:rPr>
          <w:rStyle w:val="50"/>
        </w:rPr>
        <w:t>四、乡镇发展引导</w:t>
      </w:r>
      <w:r>
        <w:tab/>
      </w:r>
      <w:r>
        <w:fldChar w:fldCharType="begin"/>
      </w:r>
      <w:r>
        <w:instrText xml:space="preserve"> PAGEREF _Toc176456018 \h </w:instrText>
      </w:r>
      <w:r>
        <w:fldChar w:fldCharType="separate"/>
      </w:r>
      <w:r>
        <w:t>93</w:t>
      </w:r>
      <w:r>
        <w:fldChar w:fldCharType="end"/>
      </w:r>
      <w:r>
        <w:fldChar w:fldCharType="end"/>
      </w:r>
    </w:p>
    <w:p>
      <w:pPr>
        <w:pStyle w:val="28"/>
        <w:rPr>
          <w:rFonts w:asciiTheme="minorHAnsi" w:hAnsiTheme="minorHAnsi" w:eastAsiaTheme="minorEastAsia" w:cstheme="minorBidi"/>
          <w:b w:val="0"/>
          <w:sz w:val="21"/>
          <w:szCs w:val="22"/>
        </w:rPr>
      </w:pPr>
      <w:r>
        <w:fldChar w:fldCharType="begin"/>
      </w:r>
      <w:r>
        <w:instrText xml:space="preserve"> HYPERLINK \l "_Toc176456019" </w:instrText>
      </w:r>
      <w:r>
        <w:fldChar w:fldCharType="separate"/>
      </w:r>
      <w:r>
        <w:rPr>
          <w:rStyle w:val="50"/>
        </w:rPr>
        <w:t>第六章 关于相关规划协调的说明</w:t>
      </w:r>
      <w:r>
        <w:tab/>
      </w:r>
      <w:r>
        <w:fldChar w:fldCharType="begin"/>
      </w:r>
      <w:r>
        <w:instrText xml:space="preserve"> PAGEREF _Toc176456019 \h </w:instrText>
      </w:r>
      <w:r>
        <w:fldChar w:fldCharType="separate"/>
      </w:r>
      <w:r>
        <w:t>98</w:t>
      </w:r>
      <w:r>
        <w:fldChar w:fldCharType="end"/>
      </w:r>
      <w:r>
        <w:fldChar w:fldCharType="end"/>
      </w:r>
    </w:p>
    <w:p>
      <w:pPr>
        <w:pStyle w:val="35"/>
        <w:rPr>
          <w:rFonts w:asciiTheme="minorHAnsi" w:hAnsiTheme="minorHAnsi" w:eastAsiaTheme="minorEastAsia" w:cstheme="minorBidi"/>
          <w:sz w:val="21"/>
          <w:szCs w:val="22"/>
        </w:rPr>
      </w:pPr>
      <w:r>
        <w:fldChar w:fldCharType="begin"/>
      </w:r>
      <w:r>
        <w:instrText xml:space="preserve"> HYPERLINK \l "_Toc176456020" </w:instrText>
      </w:r>
      <w:r>
        <w:fldChar w:fldCharType="separate"/>
      </w:r>
      <w:r>
        <w:rPr>
          <w:rStyle w:val="50"/>
        </w:rPr>
        <w:t>一、外围区域保护协调</w:t>
      </w:r>
      <w:r>
        <w:tab/>
      </w:r>
      <w:r>
        <w:fldChar w:fldCharType="begin"/>
      </w:r>
      <w:r>
        <w:instrText xml:space="preserve"> PAGEREF _Toc176456020 \h </w:instrText>
      </w:r>
      <w:r>
        <w:fldChar w:fldCharType="separate"/>
      </w:r>
      <w:r>
        <w:t>98</w:t>
      </w:r>
      <w:r>
        <w:fldChar w:fldCharType="end"/>
      </w:r>
      <w:r>
        <w:fldChar w:fldCharType="end"/>
      </w:r>
    </w:p>
    <w:p>
      <w:pPr>
        <w:pStyle w:val="35"/>
        <w:rPr>
          <w:rFonts w:asciiTheme="minorHAnsi" w:hAnsiTheme="minorHAnsi" w:eastAsiaTheme="minorEastAsia" w:cstheme="minorBidi"/>
          <w:sz w:val="21"/>
          <w:szCs w:val="22"/>
        </w:rPr>
      </w:pPr>
      <w:r>
        <w:fldChar w:fldCharType="begin"/>
      </w:r>
      <w:r>
        <w:instrText xml:space="preserve"> HYPERLINK \l "_Toc176456021" </w:instrText>
      </w:r>
      <w:r>
        <w:fldChar w:fldCharType="separate"/>
      </w:r>
      <w:r>
        <w:rPr>
          <w:rStyle w:val="50"/>
        </w:rPr>
        <w:t>二、土地利用规划协调</w:t>
      </w:r>
      <w:r>
        <w:tab/>
      </w:r>
      <w:r>
        <w:fldChar w:fldCharType="begin"/>
      </w:r>
      <w:r>
        <w:instrText xml:space="preserve"> PAGEREF _Toc176456021 \h </w:instrText>
      </w:r>
      <w:r>
        <w:fldChar w:fldCharType="separate"/>
      </w:r>
      <w:r>
        <w:t>99</w:t>
      </w:r>
      <w:r>
        <w:fldChar w:fldCharType="end"/>
      </w:r>
      <w:r>
        <w:fldChar w:fldCharType="end"/>
      </w:r>
    </w:p>
    <w:p>
      <w:pPr>
        <w:pStyle w:val="35"/>
        <w:rPr>
          <w:rFonts w:asciiTheme="minorHAnsi" w:hAnsiTheme="minorHAnsi" w:eastAsiaTheme="minorEastAsia" w:cstheme="minorBidi"/>
          <w:sz w:val="21"/>
          <w:szCs w:val="22"/>
        </w:rPr>
      </w:pPr>
      <w:r>
        <w:fldChar w:fldCharType="begin"/>
      </w:r>
      <w:r>
        <w:instrText xml:space="preserve"> HYPERLINK \l "_Toc176456022" </w:instrText>
      </w:r>
      <w:r>
        <w:fldChar w:fldCharType="separate"/>
      </w:r>
      <w:r>
        <w:rPr>
          <w:rStyle w:val="50"/>
        </w:rPr>
        <w:t>三、其他相关规划和管理规定协调</w:t>
      </w:r>
      <w:r>
        <w:tab/>
      </w:r>
      <w:r>
        <w:fldChar w:fldCharType="begin"/>
      </w:r>
      <w:r>
        <w:instrText xml:space="preserve"> PAGEREF _Toc176456022 \h </w:instrText>
      </w:r>
      <w:r>
        <w:fldChar w:fldCharType="separate"/>
      </w:r>
      <w:r>
        <w:t>100</w:t>
      </w:r>
      <w:r>
        <w:fldChar w:fldCharType="end"/>
      </w:r>
      <w:r>
        <w:fldChar w:fldCharType="end"/>
      </w:r>
    </w:p>
    <w:p>
      <w:pPr>
        <w:pStyle w:val="28"/>
        <w:rPr>
          <w:rFonts w:asciiTheme="minorHAnsi" w:hAnsiTheme="minorHAnsi" w:eastAsiaTheme="minorEastAsia" w:cstheme="minorBidi"/>
          <w:b w:val="0"/>
          <w:sz w:val="21"/>
          <w:szCs w:val="22"/>
        </w:rPr>
      </w:pPr>
      <w:r>
        <w:fldChar w:fldCharType="begin"/>
      </w:r>
      <w:r>
        <w:instrText xml:space="preserve"> HYPERLINK \l "_Toc176456023" </w:instrText>
      </w:r>
      <w:r>
        <w:fldChar w:fldCharType="separate"/>
      </w:r>
      <w:r>
        <w:rPr>
          <w:rStyle w:val="50"/>
        </w:rPr>
        <w:t>第七章 关于近期规划实施的说明</w:t>
      </w:r>
      <w:r>
        <w:tab/>
      </w:r>
      <w:r>
        <w:fldChar w:fldCharType="begin"/>
      </w:r>
      <w:r>
        <w:instrText xml:space="preserve"> PAGEREF _Toc176456023 \h </w:instrText>
      </w:r>
      <w:r>
        <w:fldChar w:fldCharType="separate"/>
      </w:r>
      <w:r>
        <w:t>103</w:t>
      </w:r>
      <w:r>
        <w:fldChar w:fldCharType="end"/>
      </w:r>
      <w:r>
        <w:fldChar w:fldCharType="end"/>
      </w:r>
    </w:p>
    <w:p>
      <w:pPr>
        <w:pStyle w:val="35"/>
        <w:rPr>
          <w:rFonts w:asciiTheme="minorHAnsi" w:hAnsiTheme="minorHAnsi" w:eastAsiaTheme="minorEastAsia" w:cstheme="minorBidi"/>
          <w:sz w:val="21"/>
          <w:szCs w:val="22"/>
        </w:rPr>
      </w:pPr>
      <w:r>
        <w:fldChar w:fldCharType="begin"/>
      </w:r>
      <w:r>
        <w:instrText xml:space="preserve"> HYPERLINK \l "_Toc176456024" </w:instrText>
      </w:r>
      <w:r>
        <w:fldChar w:fldCharType="separate"/>
      </w:r>
      <w:r>
        <w:rPr>
          <w:rStyle w:val="50"/>
        </w:rPr>
        <w:t>一、发展时序</w:t>
      </w:r>
      <w:r>
        <w:tab/>
      </w:r>
      <w:r>
        <w:fldChar w:fldCharType="begin"/>
      </w:r>
      <w:r>
        <w:instrText xml:space="preserve"> PAGEREF _Toc176456024 \h </w:instrText>
      </w:r>
      <w:r>
        <w:fldChar w:fldCharType="separate"/>
      </w:r>
      <w:r>
        <w:t>103</w:t>
      </w:r>
      <w:r>
        <w:fldChar w:fldCharType="end"/>
      </w:r>
      <w:r>
        <w:fldChar w:fldCharType="end"/>
      </w:r>
    </w:p>
    <w:p>
      <w:pPr>
        <w:pStyle w:val="35"/>
        <w:rPr>
          <w:rFonts w:asciiTheme="minorHAnsi" w:hAnsiTheme="minorHAnsi" w:eastAsiaTheme="minorEastAsia" w:cstheme="minorBidi"/>
          <w:sz w:val="21"/>
          <w:szCs w:val="22"/>
        </w:rPr>
      </w:pPr>
      <w:r>
        <w:fldChar w:fldCharType="begin"/>
      </w:r>
      <w:r>
        <w:instrText xml:space="preserve"> HYPERLINK \l "_Toc176456025" </w:instrText>
      </w:r>
      <w:r>
        <w:fldChar w:fldCharType="separate"/>
      </w:r>
      <w:r>
        <w:rPr>
          <w:rStyle w:val="50"/>
        </w:rPr>
        <w:t>二、近期实施重点</w:t>
      </w:r>
      <w:r>
        <w:tab/>
      </w:r>
      <w:r>
        <w:fldChar w:fldCharType="begin"/>
      </w:r>
      <w:r>
        <w:instrText xml:space="preserve"> PAGEREF _Toc176456025 \h </w:instrText>
      </w:r>
      <w:r>
        <w:fldChar w:fldCharType="separate"/>
      </w:r>
      <w:r>
        <w:t>103</w:t>
      </w:r>
      <w:r>
        <w:fldChar w:fldCharType="end"/>
      </w:r>
      <w:r>
        <w:fldChar w:fldCharType="end"/>
      </w:r>
    </w:p>
    <w:p>
      <w:pPr>
        <w:pStyle w:val="35"/>
        <w:rPr>
          <w:rFonts w:asciiTheme="minorHAnsi" w:hAnsiTheme="minorHAnsi" w:eastAsiaTheme="minorEastAsia" w:cstheme="minorBidi"/>
          <w:sz w:val="21"/>
          <w:szCs w:val="22"/>
        </w:rPr>
      </w:pPr>
      <w:r>
        <w:fldChar w:fldCharType="begin"/>
      </w:r>
      <w:r>
        <w:instrText xml:space="preserve"> HYPERLINK \l "_Toc176456026" </w:instrText>
      </w:r>
      <w:r>
        <w:fldChar w:fldCharType="separate"/>
      </w:r>
      <w:r>
        <w:rPr>
          <w:rStyle w:val="50"/>
        </w:rPr>
        <w:t>三、近期建设内容</w:t>
      </w:r>
      <w:r>
        <w:tab/>
      </w:r>
      <w:r>
        <w:fldChar w:fldCharType="begin"/>
      </w:r>
      <w:r>
        <w:instrText xml:space="preserve"> PAGEREF _Toc176456026 \h </w:instrText>
      </w:r>
      <w:r>
        <w:fldChar w:fldCharType="separate"/>
      </w:r>
      <w:r>
        <w:t>104</w:t>
      </w:r>
      <w:r>
        <w:fldChar w:fldCharType="end"/>
      </w:r>
      <w:r>
        <w:fldChar w:fldCharType="end"/>
      </w:r>
    </w:p>
    <w:p>
      <w:pPr>
        <w:pStyle w:val="28"/>
        <w:rPr>
          <w:rFonts w:asciiTheme="minorHAnsi" w:hAnsiTheme="minorHAnsi" w:eastAsiaTheme="minorEastAsia" w:cstheme="minorBidi"/>
          <w:b w:val="0"/>
          <w:sz w:val="21"/>
          <w:szCs w:val="22"/>
        </w:rPr>
      </w:pPr>
      <w:r>
        <w:fldChar w:fldCharType="begin"/>
      </w:r>
      <w:r>
        <w:instrText xml:space="preserve"> HYPERLINK \l "_Toc176456027" </w:instrText>
      </w:r>
      <w:r>
        <w:fldChar w:fldCharType="separate"/>
      </w:r>
      <w:r>
        <w:rPr>
          <w:rStyle w:val="50"/>
        </w:rPr>
        <w:t>附件1：国务院关于发布第五批国家重点风景名胜区名单的通知</w:t>
      </w:r>
      <w:r>
        <w:tab/>
      </w:r>
      <w:r>
        <w:fldChar w:fldCharType="begin"/>
      </w:r>
      <w:r>
        <w:instrText xml:space="preserve"> PAGEREF _Toc176456027 \h </w:instrText>
      </w:r>
      <w:r>
        <w:fldChar w:fldCharType="separate"/>
      </w:r>
      <w:r>
        <w:t>115</w:t>
      </w:r>
      <w:r>
        <w:fldChar w:fldCharType="end"/>
      </w:r>
      <w:r>
        <w:fldChar w:fldCharType="end"/>
      </w:r>
    </w:p>
    <w:p>
      <w:pPr>
        <w:pStyle w:val="28"/>
        <w:rPr>
          <w:rFonts w:asciiTheme="minorHAnsi" w:hAnsiTheme="minorHAnsi" w:eastAsiaTheme="minorEastAsia" w:cstheme="minorBidi"/>
          <w:b w:val="0"/>
          <w:sz w:val="21"/>
          <w:szCs w:val="22"/>
        </w:rPr>
      </w:pPr>
      <w:r>
        <w:fldChar w:fldCharType="begin"/>
      </w:r>
      <w:r>
        <w:instrText xml:space="preserve"> HYPERLINK \l "_Toc176456028" </w:instrText>
      </w:r>
      <w:r>
        <w:fldChar w:fldCharType="separate"/>
      </w:r>
      <w:r>
        <w:rPr>
          <w:rStyle w:val="50"/>
        </w:rPr>
        <w:t>附件2：07版风景名胜区总体规划部际联审意见</w:t>
      </w:r>
      <w:r>
        <w:tab/>
      </w:r>
      <w:r>
        <w:fldChar w:fldCharType="begin"/>
      </w:r>
      <w:r>
        <w:instrText xml:space="preserve"> PAGEREF _Toc176456028 \h </w:instrText>
      </w:r>
      <w:r>
        <w:fldChar w:fldCharType="separate"/>
      </w:r>
      <w:r>
        <w:t>118</w:t>
      </w:r>
      <w:r>
        <w:fldChar w:fldCharType="end"/>
      </w:r>
      <w:r>
        <w:fldChar w:fldCharType="end"/>
      </w:r>
    </w:p>
    <w:p>
      <w:pPr>
        <w:pStyle w:val="28"/>
        <w:rPr>
          <w:rFonts w:asciiTheme="minorHAnsi" w:hAnsiTheme="minorHAnsi" w:eastAsiaTheme="minorEastAsia" w:cstheme="minorBidi"/>
          <w:b w:val="0"/>
          <w:sz w:val="21"/>
          <w:szCs w:val="22"/>
        </w:rPr>
      </w:pPr>
      <w:r>
        <w:fldChar w:fldCharType="begin"/>
      </w:r>
      <w:r>
        <w:instrText xml:space="preserve"> HYPERLINK \l "_Toc176456029" </w:instrText>
      </w:r>
      <w:r>
        <w:fldChar w:fldCharType="separate"/>
      </w:r>
      <w:r>
        <w:rPr>
          <w:rStyle w:val="50"/>
        </w:rPr>
        <w:t>附件3：17版总规经省人民政府上报国务院文件</w:t>
      </w:r>
      <w:r>
        <w:tab/>
      </w:r>
      <w:r>
        <w:fldChar w:fldCharType="begin"/>
      </w:r>
      <w:r>
        <w:instrText xml:space="preserve"> PAGEREF _Toc176456029 \h </w:instrText>
      </w:r>
      <w:r>
        <w:fldChar w:fldCharType="separate"/>
      </w:r>
      <w:r>
        <w:t>122</w:t>
      </w:r>
      <w:r>
        <w:fldChar w:fldCharType="end"/>
      </w:r>
      <w:r>
        <w:fldChar w:fldCharType="end"/>
      </w:r>
    </w:p>
    <w:p>
      <w:pPr>
        <w:pStyle w:val="28"/>
        <w:rPr>
          <w:rFonts w:asciiTheme="minorHAnsi" w:hAnsiTheme="minorHAnsi" w:eastAsiaTheme="minorEastAsia" w:cstheme="minorBidi"/>
          <w:b w:val="0"/>
          <w:sz w:val="21"/>
          <w:szCs w:val="22"/>
        </w:rPr>
      </w:pPr>
      <w:r>
        <w:fldChar w:fldCharType="begin"/>
      </w:r>
      <w:r>
        <w:instrText xml:space="preserve"> HYPERLINK \l "_Toc176456030" </w:instrText>
      </w:r>
      <w:r>
        <w:fldChar w:fldCharType="separate"/>
      </w:r>
      <w:r>
        <w:rPr>
          <w:rStyle w:val="50"/>
        </w:rPr>
        <w:t>附件4：国家林草局关于百丈漈—飞云湖风景区总体规划的意见</w:t>
      </w:r>
      <w:r>
        <w:tab/>
      </w:r>
      <w:r>
        <w:fldChar w:fldCharType="begin"/>
      </w:r>
      <w:r>
        <w:instrText xml:space="preserve"> PAGEREF _Toc176456030 \h </w:instrText>
      </w:r>
      <w:r>
        <w:fldChar w:fldCharType="separate"/>
      </w:r>
      <w:r>
        <w:t>124</w:t>
      </w:r>
      <w:r>
        <w:fldChar w:fldCharType="end"/>
      </w:r>
      <w:r>
        <w:fldChar w:fldCharType="end"/>
      </w:r>
    </w:p>
    <w:p>
      <w:pPr>
        <w:pStyle w:val="28"/>
      </w:pPr>
      <w:r>
        <w:fldChar w:fldCharType="end"/>
      </w:r>
    </w:p>
    <w:p>
      <w:pPr>
        <w:ind w:firstLine="480"/>
      </w:pPr>
    </w:p>
    <w:p>
      <w:pPr>
        <w:ind w:firstLine="640"/>
        <w:jc w:val="center"/>
        <w:rPr>
          <w:rFonts w:ascii="黑体" w:eastAsia="黑体"/>
          <w:sz w:val="32"/>
          <w:szCs w:val="32"/>
        </w:rPr>
      </w:pPr>
      <w:r>
        <w:rPr>
          <w:rFonts w:hint="eastAsia" w:ascii="黑体" w:eastAsia="黑体"/>
          <w:sz w:val="32"/>
          <w:szCs w:val="32"/>
        </w:rPr>
        <w:t>附   图</w:t>
      </w:r>
    </w:p>
    <w:p>
      <w:pPr>
        <w:ind w:firstLine="480"/>
      </w:pPr>
      <w:r>
        <w:rPr>
          <w:rFonts w:hint="eastAsia"/>
        </w:rPr>
        <w:t>附图1：风景名胜区影像范围图</w:t>
      </w:r>
    </w:p>
    <w:p>
      <w:pPr>
        <w:ind w:firstLine="480"/>
      </w:pPr>
      <w:r>
        <w:rPr>
          <w:rFonts w:hint="eastAsia"/>
        </w:rPr>
        <w:t>附图2：风景区与文成县行政区划关系图</w:t>
      </w:r>
    </w:p>
    <w:p>
      <w:pPr>
        <w:ind w:firstLine="480"/>
      </w:pPr>
      <w:r>
        <w:rPr>
          <w:rFonts w:hint="eastAsia"/>
        </w:rPr>
        <w:t>附图3：风景区与文成县林地保护利用规划关系图</w:t>
      </w:r>
    </w:p>
    <w:p>
      <w:pPr>
        <w:ind w:firstLine="480"/>
      </w:pPr>
      <w:r>
        <w:rPr>
          <w:rFonts w:hint="eastAsia"/>
        </w:rPr>
        <w:t>附图4：风景区内古树名木分布图</w:t>
      </w:r>
    </w:p>
    <w:p>
      <w:pPr>
        <w:ind w:firstLine="480"/>
      </w:pPr>
      <w:r>
        <w:rPr>
          <w:rFonts w:hint="eastAsia"/>
        </w:rPr>
        <w:t>附图</w:t>
      </w:r>
      <w:r>
        <w:t>5</w:t>
      </w:r>
      <w:r>
        <w:rPr>
          <w:rFonts w:hint="eastAsia"/>
        </w:rPr>
        <w:t>：风景区内现状水电站分布图</w:t>
      </w:r>
    </w:p>
    <w:p>
      <w:pPr>
        <w:ind w:firstLine="480"/>
      </w:pPr>
      <w:r>
        <w:rPr>
          <w:rFonts w:hint="eastAsia"/>
        </w:rPr>
        <w:t>附图</w:t>
      </w:r>
      <w:r>
        <w:t>6</w:t>
      </w:r>
      <w:r>
        <w:rPr>
          <w:rFonts w:hint="eastAsia"/>
        </w:rPr>
        <w:t>：风景区与文成县饮用水水源保护区关系图</w:t>
      </w:r>
    </w:p>
    <w:p>
      <w:pPr>
        <w:ind w:firstLine="480"/>
      </w:pPr>
      <w:r>
        <w:rPr>
          <w:rFonts w:hint="eastAsia"/>
        </w:rPr>
        <w:t>附图</w:t>
      </w:r>
      <w:r>
        <w:t>7</w:t>
      </w:r>
      <w:r>
        <w:rPr>
          <w:rFonts w:hint="eastAsia"/>
        </w:rPr>
        <w:t>：风景区与各类历史文化保护线关系图</w:t>
      </w:r>
    </w:p>
    <w:p>
      <w:pPr>
        <w:ind w:firstLine="480"/>
      </w:pPr>
      <w:r>
        <w:rPr>
          <w:rFonts w:hint="eastAsia"/>
        </w:rPr>
        <w:t>附图</w:t>
      </w:r>
      <w:r>
        <w:t>8</w:t>
      </w:r>
      <w:r>
        <w:rPr>
          <w:rFonts w:hint="eastAsia"/>
        </w:rPr>
        <w:t>：风景区与文成县“三区三线”关系图</w:t>
      </w:r>
    </w:p>
    <w:p>
      <w:pPr>
        <w:ind w:firstLine="480"/>
      </w:pPr>
      <w:r>
        <w:rPr>
          <w:rFonts w:hint="eastAsia"/>
        </w:rPr>
        <w:t>附图</w:t>
      </w:r>
      <w:r>
        <w:t>9</w:t>
      </w:r>
      <w:r>
        <w:rPr>
          <w:rFonts w:hint="eastAsia"/>
        </w:rPr>
        <w:t>：风景区与文成县国土空间用途分区规划关系图</w:t>
      </w:r>
    </w:p>
    <w:p>
      <w:pPr>
        <w:ind w:firstLine="480"/>
      </w:pPr>
      <w:r>
        <w:rPr>
          <w:rFonts w:hint="eastAsia"/>
        </w:rPr>
        <w:t>附图</w:t>
      </w:r>
      <w:r>
        <w:t>10</w:t>
      </w:r>
      <w:r>
        <w:rPr>
          <w:rFonts w:hint="eastAsia"/>
        </w:rPr>
        <w:t>：风景区与各类自然保护地关系图</w:t>
      </w:r>
    </w:p>
    <w:p>
      <w:pPr>
        <w:ind w:firstLine="480"/>
        <w:sectPr>
          <w:footerReference r:id="rId9" w:type="default"/>
          <w:pgSz w:w="11906" w:h="16838"/>
          <w:pgMar w:top="1440" w:right="1800" w:bottom="1440" w:left="1800" w:header="851" w:footer="992" w:gutter="0"/>
          <w:cols w:space="425" w:num="1"/>
          <w:docGrid w:type="lines" w:linePitch="326" w:charSpace="0"/>
        </w:sectPr>
      </w:pPr>
    </w:p>
    <w:p>
      <w:pPr>
        <w:pStyle w:val="2"/>
        <w:spacing w:before="97"/>
      </w:pPr>
      <w:bookmarkStart w:id="0" w:name="_Toc176455990"/>
      <w:r>
        <w:rPr>
          <w:rFonts w:hint="eastAsia"/>
        </w:rPr>
        <w:t>关于现状的说明</w:t>
      </w:r>
      <w:bookmarkEnd w:id="0"/>
    </w:p>
    <w:p>
      <w:pPr>
        <w:pStyle w:val="3"/>
        <w:spacing w:before="326"/>
      </w:pPr>
      <w:bookmarkStart w:id="1" w:name="_Toc176455991"/>
      <w:r>
        <w:rPr>
          <w:rFonts w:hint="eastAsia"/>
        </w:rPr>
        <w:t>一、风景名胜区概况</w:t>
      </w:r>
      <w:bookmarkEnd w:id="1"/>
    </w:p>
    <w:p>
      <w:pPr>
        <w:pStyle w:val="4"/>
        <w:spacing w:before="163"/>
        <w:ind w:firstLine="360"/>
      </w:pPr>
      <w:r>
        <w:rPr>
          <w:rFonts w:hint="eastAsia"/>
        </w:rPr>
        <w:t>（一）地理位置</w:t>
      </w:r>
    </w:p>
    <w:p>
      <w:pPr>
        <w:spacing w:before="97" w:beforeLines="30"/>
        <w:ind w:firstLine="480"/>
        <w:rPr>
          <w:rFonts w:cs="宋体"/>
        </w:rPr>
      </w:pPr>
      <w:r>
        <w:rPr>
          <w:rFonts w:hint="eastAsia" w:cs="宋体"/>
        </w:rPr>
        <w:t>百丈漈—飞云湖风景名胜区地处浙江省南部的文成县境内，距温州市区仅90公里，金温铁路青田站直达风景区约60公里，甬台温高铁瑞安站距风景区约60公里，温州南站距风景区约90公里，温州机场距风景区约110公里。随着龙丽温高速文瑞段以及溧宁高速文景段、文泰段，G322（56省道改造提升）工程实施，区域交通条件迅速改善，极大地提高了百丈漈—飞云湖风景名胜区的可达性。</w:t>
      </w:r>
    </w:p>
    <w:p>
      <w:pPr>
        <w:spacing w:before="97" w:beforeLines="30"/>
        <w:ind w:firstLine="480"/>
        <w:rPr>
          <w:rFonts w:cs="宋体"/>
        </w:rPr>
      </w:pPr>
      <w:r>
        <w:rPr>
          <w:rFonts w:hint="eastAsia" w:cs="宋体"/>
        </w:rPr>
        <w:t>根据浙江省旅游总体规划和温州着重开展 “雁南飞”（雁荡山、楠溪江、飞云湖）的旅游目标，百丈漈—飞云湖风景名胜区成为浙南旅游网络南线旅游的中心区域。它东接寨寮溪，北临青田石门洞，东南连南雁荡山，西倚乌岩岭国家自然保护区，构成了组织开展区域旅游的有利区位条件。</w:t>
      </w:r>
    </w:p>
    <w:p>
      <w:pPr>
        <w:pStyle w:val="4"/>
        <w:spacing w:before="326" w:beforeLines="100"/>
        <w:ind w:firstLine="360"/>
      </w:pPr>
      <w:r>
        <w:rPr>
          <w:rFonts w:hint="eastAsia"/>
        </w:rPr>
        <w:t>（二）自然条件</w:t>
      </w:r>
    </w:p>
    <w:p>
      <w:pPr>
        <w:spacing w:before="97" w:beforeLines="30"/>
        <w:ind w:firstLine="482"/>
        <w:rPr>
          <w:rFonts w:cs="宋体"/>
          <w:b/>
        </w:rPr>
      </w:pPr>
      <w:r>
        <w:rPr>
          <w:rFonts w:cs="宋体"/>
          <w:b/>
        </w:rPr>
        <w:t>1</w:t>
      </w:r>
      <w:r>
        <w:rPr>
          <w:rFonts w:hint="eastAsia" w:cs="宋体"/>
          <w:b/>
        </w:rPr>
        <w:t>、地质、地貌</w:t>
      </w:r>
    </w:p>
    <w:p>
      <w:pPr>
        <w:spacing w:before="163" w:beforeLines="50" w:line="480" w:lineRule="exact"/>
        <w:ind w:firstLine="480"/>
        <w:rPr>
          <w:rFonts w:ascii="宋体" w:hAnsi="宋体"/>
          <w:szCs w:val="21"/>
        </w:rPr>
      </w:pPr>
      <w:r>
        <w:rPr>
          <w:rFonts w:hint="eastAsia" w:ascii="宋体" w:hAnsi="宋体"/>
          <w:szCs w:val="21"/>
        </w:rPr>
        <w:t>文成县境域大地构造位置处于华南褶皱系与浙东南褶皱带中，并有温州至临海拗陷、泰顺至温州断拗，还有北东向泰顺至黄岩大断裂和北西向的松阳至平阳大断裂通过县境东南和中部。由于晚侏罗世受基底断裂控制的火山活动强烈，形成文成火山洼地。早白垩世在此火山洼地中部有河湖层柑红层堆积，外围又有花岗岩、闪光岩侵入，形成文成构造盆地。</w:t>
      </w:r>
    </w:p>
    <w:p>
      <w:pPr>
        <w:spacing w:before="163" w:beforeLines="50" w:line="480" w:lineRule="exact"/>
        <w:ind w:firstLine="480"/>
        <w:rPr>
          <w:rFonts w:asciiTheme="minorEastAsia" w:hAnsiTheme="minorEastAsia"/>
        </w:rPr>
      </w:pPr>
      <w:r>
        <w:rPr>
          <w:rFonts w:hint="eastAsia" w:asciiTheme="minorEastAsia" w:hAnsiTheme="minorEastAsia"/>
        </w:rPr>
        <w:t>境内山峦起伏，沟谷纵横，</w:t>
      </w:r>
      <w:r>
        <w:rPr>
          <w:rFonts w:hint="eastAsia" w:ascii="宋体" w:hAnsi="宋体"/>
          <w:szCs w:val="21"/>
        </w:rPr>
        <w:t>山地面积占全县总面积的82.5%，俗称“八山一水一分田”。</w:t>
      </w:r>
      <w:r>
        <w:rPr>
          <w:rFonts w:hint="eastAsia" w:asciiTheme="minorEastAsia" w:hAnsiTheme="minorEastAsia"/>
        </w:rPr>
        <w:t xml:space="preserve">地势自西北向东南倾斜，最高峰为石垟林场内的杨顶峰，海拔1362米。最低点位于平和乡大垟口，海拔15米。山脉分属两支，江北属南田山脉，为洞宫山脉分支；江南为南雁荡山脉分支，从平阳县进入文成县，东入瑞安市。山顶上有平台，也是文成县山地的典型地貌。 </w:t>
      </w:r>
    </w:p>
    <w:p>
      <w:pPr>
        <w:spacing w:before="326" w:beforeLines="100"/>
        <w:ind w:firstLine="482"/>
        <w:rPr>
          <w:rFonts w:cs="宋体"/>
          <w:b/>
        </w:rPr>
      </w:pPr>
      <w:r>
        <w:rPr>
          <w:rFonts w:cs="宋体"/>
          <w:b/>
        </w:rPr>
        <w:t>2</w:t>
      </w:r>
      <w:r>
        <w:rPr>
          <w:rFonts w:hint="eastAsia" w:cs="宋体"/>
          <w:b/>
        </w:rPr>
        <w:t>、土壤、植被</w:t>
      </w:r>
    </w:p>
    <w:p>
      <w:pPr>
        <w:spacing w:before="163" w:beforeLines="50" w:line="480" w:lineRule="exact"/>
        <w:ind w:firstLine="480"/>
        <w:rPr>
          <w:rFonts w:ascii="宋体" w:hAnsi="宋体"/>
          <w:szCs w:val="21"/>
        </w:rPr>
      </w:pPr>
      <w:r>
        <w:rPr>
          <w:rFonts w:hint="eastAsia" w:ascii="宋体" w:hAnsi="宋体"/>
          <w:szCs w:val="21"/>
        </w:rPr>
        <w:t>文成县主要土壤类型是红壤、黄壤、水稻土和岩性土。红壤和黄壤是文成地带性土壤。红壤分布在海拔600米以下的丘陵和河谷平原，其分布面积占全县面积的3</w:t>
      </w:r>
      <w:r>
        <w:rPr>
          <w:rFonts w:ascii="宋体" w:hAnsi="宋体"/>
          <w:szCs w:val="21"/>
        </w:rPr>
        <w:t>9.5</w:t>
      </w:r>
      <w:r>
        <w:rPr>
          <w:rFonts w:hint="eastAsia" w:ascii="宋体" w:hAnsi="宋体"/>
          <w:szCs w:val="21"/>
        </w:rPr>
        <w:t>%。黄壤分布在海拔800米以上的山地。非地带性土壤有水稻土，占总面积的15%。</w:t>
      </w:r>
    </w:p>
    <w:p>
      <w:pPr>
        <w:spacing w:before="163" w:beforeLines="50" w:line="480" w:lineRule="exact"/>
        <w:ind w:firstLine="480"/>
        <w:rPr>
          <w:rFonts w:ascii="宋体" w:hAnsi="宋体"/>
          <w:szCs w:val="21"/>
        </w:rPr>
      </w:pPr>
      <w:r>
        <w:rPr>
          <w:rFonts w:hint="eastAsia" w:asciiTheme="minorEastAsia" w:hAnsiTheme="minorEastAsia"/>
        </w:rPr>
        <w:t>根据《浙江省文成县森林资源规划设计调查报告》（2</w:t>
      </w:r>
      <w:r>
        <w:rPr>
          <w:rFonts w:asciiTheme="minorEastAsia" w:hAnsiTheme="minorEastAsia"/>
        </w:rPr>
        <w:t>018</w:t>
      </w:r>
      <w:r>
        <w:rPr>
          <w:rFonts w:hint="eastAsia" w:asciiTheme="minorEastAsia" w:hAnsiTheme="minorEastAsia"/>
        </w:rPr>
        <w:t>年），</w:t>
      </w:r>
      <w:r>
        <w:rPr>
          <w:rFonts w:hint="eastAsia" w:ascii="宋体" w:hAnsi="宋体"/>
          <w:szCs w:val="21"/>
        </w:rPr>
        <w:t>文成县林地面积约1</w:t>
      </w:r>
      <w:r>
        <w:rPr>
          <w:rFonts w:ascii="宋体" w:hAnsi="宋体"/>
          <w:szCs w:val="21"/>
        </w:rPr>
        <w:t>452110</w:t>
      </w:r>
      <w:r>
        <w:rPr>
          <w:rFonts w:hint="eastAsia" w:ascii="宋体" w:hAnsi="宋体"/>
          <w:szCs w:val="21"/>
        </w:rPr>
        <w:t>亩，森林面积约1394281亩，</w:t>
      </w:r>
      <w:r>
        <w:rPr>
          <w:rFonts w:hint="eastAsia" w:ascii="宋体" w:hAnsi="宋体" w:cs="宋体"/>
          <w:color w:val="000000"/>
        </w:rPr>
        <w:t>活立木蓄积约6337678立方米，森林蓄积约6009300立方米。</w:t>
      </w:r>
      <w:r>
        <w:rPr>
          <w:rFonts w:hint="eastAsia" w:ascii="宋体" w:hAnsi="宋体"/>
          <w:szCs w:val="21"/>
        </w:rPr>
        <w:t>全县森林覆盖率为7</w:t>
      </w:r>
      <w:r>
        <w:rPr>
          <w:rFonts w:ascii="宋体" w:hAnsi="宋体"/>
          <w:szCs w:val="21"/>
        </w:rPr>
        <w:t>1.70</w:t>
      </w:r>
      <w:r>
        <w:rPr>
          <w:rFonts w:hint="eastAsia" w:ascii="宋体" w:hAnsi="宋体"/>
          <w:szCs w:val="21"/>
        </w:rPr>
        <w:t>%。共有石垟林场、金朱林场、山华林场、叶胜林场四大林场，其中石垟林场为全省五大林场之一。在浙江植被分区中属于中亚热带常绿阔叶林南部亚地带。</w:t>
      </w:r>
    </w:p>
    <w:p>
      <w:pPr>
        <w:spacing w:before="326" w:beforeLines="100"/>
        <w:ind w:firstLine="482"/>
        <w:rPr>
          <w:rFonts w:cs="宋体"/>
          <w:b/>
        </w:rPr>
      </w:pPr>
      <w:r>
        <w:rPr>
          <w:rFonts w:cs="宋体"/>
          <w:b/>
        </w:rPr>
        <w:t>3</w:t>
      </w:r>
      <w:r>
        <w:rPr>
          <w:rFonts w:hint="eastAsia" w:cs="宋体"/>
          <w:b/>
        </w:rPr>
        <w:t>、水文、气候</w:t>
      </w:r>
    </w:p>
    <w:p>
      <w:pPr>
        <w:spacing w:before="163" w:beforeLines="50"/>
        <w:ind w:firstLine="480"/>
        <w:rPr>
          <w:rFonts w:asciiTheme="minorEastAsia" w:hAnsiTheme="minorEastAsia"/>
        </w:rPr>
      </w:pPr>
      <w:r>
        <w:rPr>
          <w:rFonts w:hint="eastAsia" w:asciiTheme="minorEastAsia" w:hAnsiTheme="minorEastAsia"/>
        </w:rPr>
        <w:t>全县河流分属于飞云江、瓯江、鳌江3个水系。飞云江水系流域面积1123.5平方公里，占全县水系流域总面积的87.3%；瓯江水系流域面积144.8平方公里，占11.2%；鳌江水系流域面积19.3平方公里，占1.5%。飞云湖即珊溪水库，面积54.8平方千米，是浙江省第三大水库，也是浙江南部最大的湖泊。飞云江是浙江省八大江河之一，发源于泰顺县与景宁县交界的白云尖西北坡际坑。</w:t>
      </w:r>
    </w:p>
    <w:p>
      <w:pPr>
        <w:spacing w:before="163" w:beforeLines="50"/>
        <w:ind w:firstLine="480"/>
        <w:rPr>
          <w:rFonts w:ascii="宋体" w:hAnsi="宋体"/>
          <w:szCs w:val="21"/>
        </w:rPr>
      </w:pPr>
      <w:r>
        <w:rPr>
          <w:rFonts w:hint="eastAsia" w:asciiTheme="minorEastAsia" w:hAnsiTheme="minorEastAsia"/>
        </w:rPr>
        <w:t>文成县属中亚热带季风湿润气候区，气候温暖，四季分明，雨水充沛。</w:t>
      </w:r>
      <w:r>
        <w:rPr>
          <w:rFonts w:hint="eastAsia" w:ascii="宋体" w:hAnsi="宋体"/>
          <w:szCs w:val="21"/>
        </w:rPr>
        <w:t>全县多年平均降水量为1884.7毫米。全县多年平均气温18℃，气温最高在７月份，最低在１月份，年段差为20.1℃。</w:t>
      </w:r>
    </w:p>
    <w:p>
      <w:pPr>
        <w:spacing w:before="163" w:beforeLines="50"/>
        <w:ind w:firstLine="480"/>
        <w:rPr>
          <w:rFonts w:asciiTheme="minorEastAsia" w:hAnsiTheme="minorEastAsia"/>
        </w:rPr>
      </w:pPr>
      <w:r>
        <w:rPr>
          <w:rFonts w:hint="eastAsia" w:asciiTheme="minorEastAsia" w:hAnsiTheme="minorEastAsia"/>
        </w:rPr>
        <w:t>文成县在浙江省县级城市空气质量排名位列前五名，全年有346天空气质量达到优良等级，可谓是天然“氧吧”。2</w:t>
      </w:r>
      <w:r>
        <w:rPr>
          <w:rFonts w:asciiTheme="minorEastAsia" w:hAnsiTheme="minorEastAsia"/>
        </w:rPr>
        <w:t>016</w:t>
      </w:r>
      <w:r>
        <w:rPr>
          <w:rFonts w:hint="eastAsia" w:asciiTheme="minorEastAsia" w:hAnsiTheme="minorEastAsia"/>
        </w:rPr>
        <w:t>年，“文成森林氧吧小镇”入围浙江省省级特色小镇第二批创建名单。2017年，中国气象学会给文成县颁布了“中国气候养生褔地”的称号。</w:t>
      </w:r>
    </w:p>
    <w:p>
      <w:pPr>
        <w:spacing w:before="97" w:beforeLines="30"/>
        <w:ind w:firstLine="482"/>
        <w:rPr>
          <w:rFonts w:cs="宋体"/>
          <w:b/>
        </w:rPr>
      </w:pPr>
      <w:r>
        <w:rPr>
          <w:rFonts w:cs="宋体"/>
          <w:b/>
        </w:rPr>
        <w:t>4</w:t>
      </w:r>
      <w:r>
        <w:rPr>
          <w:rFonts w:hint="eastAsia" w:cs="宋体"/>
          <w:b/>
        </w:rPr>
        <w:t>、动物、植物</w:t>
      </w:r>
    </w:p>
    <w:p>
      <w:pPr>
        <w:spacing w:before="163" w:beforeLines="50" w:line="480" w:lineRule="exact"/>
        <w:ind w:firstLine="480"/>
        <w:rPr>
          <w:rFonts w:asciiTheme="minorEastAsia" w:hAnsiTheme="minorEastAsia"/>
        </w:rPr>
      </w:pPr>
      <w:r>
        <w:rPr>
          <w:rFonts w:hint="eastAsia" w:asciiTheme="minorEastAsia" w:hAnsiTheme="minorEastAsia"/>
        </w:rPr>
        <w:t>全县有脊柱动物5纲28目69科271种，</w:t>
      </w:r>
      <w:r>
        <w:rPr>
          <w:rFonts w:hint="eastAsia" w:ascii="宋体" w:hAnsi="宋体"/>
          <w:szCs w:val="21"/>
        </w:rPr>
        <w:t>其中列为国家重点保护的珍稀动物36种。一级保护动物有云豹、黑麂、黄腹角雉等3种；白颈长尾雉、穿山甲、豺、大鲵、虎纹蛙、穿山甲、鳖甲、龟板等可入药。</w:t>
      </w:r>
      <w:r>
        <w:rPr>
          <w:rFonts w:hint="eastAsia" w:asciiTheme="minorEastAsia" w:hAnsiTheme="minorEastAsia"/>
        </w:rPr>
        <w:t>列为国家重点保护的珍稀动物36种。一级保护动物有云豹、黑麂、黄腹角雉3种。</w:t>
      </w:r>
    </w:p>
    <w:p>
      <w:pPr>
        <w:spacing w:before="163" w:beforeLines="50" w:line="480" w:lineRule="exact"/>
        <w:ind w:firstLine="480"/>
        <w:rPr>
          <w:rFonts w:asciiTheme="minorEastAsia" w:hAnsiTheme="minorEastAsia"/>
        </w:rPr>
      </w:pPr>
      <w:r>
        <w:rPr>
          <w:rFonts w:hint="eastAsia" w:asciiTheme="minorEastAsia" w:hAnsiTheme="minorEastAsia"/>
        </w:rPr>
        <w:t>全县</w:t>
      </w:r>
      <w:r>
        <w:rPr>
          <w:rFonts w:hint="eastAsia" w:ascii="宋体" w:hAnsi="宋体"/>
          <w:szCs w:val="21"/>
        </w:rPr>
        <w:t>植物种类繁多，据县林业部门进行的木本植物调查和1986年省林业勘察设计院调查并鉴定，全县有木本植物728种。其中野生的652种，引种栽培的76种，共隶属99科306属。属国家保护的珍稀树种20种，其中属国家二级保护的有连香树、钟萼木、福建柏、鹅掌楸、香果树等5种；属国家三级保护的有天竺桂、沉水樟、闽楠、银钟花、南方铁杉、天目木兰、黄山木兰、凹叶厚朴、天女花、花榈木、蛛网萼、紫茎、银鹊树等13种。其中南方红豆杉、福建柏等列入国家重点保护野生植物。</w:t>
      </w:r>
    </w:p>
    <w:p>
      <w:pPr>
        <w:pStyle w:val="4"/>
        <w:spacing w:before="326" w:beforeLines="100"/>
        <w:ind w:firstLine="360"/>
      </w:pPr>
      <w:r>
        <w:rPr>
          <w:rFonts w:hint="eastAsia"/>
        </w:rPr>
        <w:t>（三）历史沿革</w:t>
      </w:r>
    </w:p>
    <w:p>
      <w:pPr>
        <w:spacing w:before="163" w:beforeLines="50"/>
        <w:ind w:firstLine="480"/>
        <w:rPr>
          <w:rFonts w:asciiTheme="minorEastAsia" w:hAnsiTheme="minorEastAsia"/>
        </w:rPr>
      </w:pPr>
      <w:r>
        <w:rPr>
          <w:rFonts w:hint="eastAsia" w:asciiTheme="minorEastAsia" w:hAnsiTheme="minorEastAsia"/>
        </w:rPr>
        <w:t>文成境内文化历史悠久，早在新石器时代已有人类活动。春秋战国时期属瓯越地；秦始皇统一中国后属闽中郡；汉惠帝三年至汉武帝元年为东瓯地；唐昭宗昭天复2年属瑞安县。由于飞云江东接瑞安、西连浙闽边，文成属水上交通的中心区域。所以，文成在唐、宋年代为较盛时期，宋《太平寰宇记》称天下七十二福地，南田居其一（道教字典排名为第六福地）。明开国元勋刘基（字伯温）诞生于此。</w:t>
      </w:r>
    </w:p>
    <w:p>
      <w:pPr>
        <w:spacing w:before="163" w:beforeLines="50"/>
        <w:ind w:firstLine="480"/>
        <w:rPr>
          <w:rFonts w:ascii="宋体" w:hAnsi="宋体"/>
          <w:szCs w:val="21"/>
        </w:rPr>
      </w:pPr>
      <w:r>
        <w:rPr>
          <w:rFonts w:hint="eastAsia" w:ascii="宋体" w:hAnsi="宋体"/>
          <w:szCs w:val="21"/>
        </w:rPr>
        <w:t>民国35年（1946）12月，行政院核准以瑞安、青田、泰顺三县边区析置文成县，</w:t>
      </w:r>
      <w:r>
        <w:rPr>
          <w:rFonts w:hint="eastAsia" w:asciiTheme="minorEastAsia" w:hAnsiTheme="minorEastAsia"/>
        </w:rPr>
        <w:t>以明开国元勋刘基谥号为县名，经纬天地为文、安民立政为成。</w:t>
      </w:r>
      <w:r>
        <w:rPr>
          <w:rFonts w:hint="eastAsia" w:ascii="宋体" w:hAnsi="宋体"/>
          <w:szCs w:val="21"/>
        </w:rPr>
        <w:t>中华人民共和国成立后，文成县先后隶属浙江省第五专区、浙江省温州专区、浙江省温州地区</w:t>
      </w:r>
      <w:r>
        <w:rPr>
          <w:rFonts w:hint="eastAsia" w:asciiTheme="minorEastAsia" w:hAnsiTheme="minorEastAsia"/>
        </w:rPr>
        <w:t>。文成县是浙江省革命老根据地县和重点侨乡县</w:t>
      </w:r>
      <w:r>
        <w:rPr>
          <w:rFonts w:hint="eastAsia" w:ascii="宋体" w:hAnsi="宋体"/>
          <w:szCs w:val="21"/>
        </w:rPr>
        <w:t>。1981年9月，温州地、市合并，实行市管县体制，文成县归属温州市管辖。</w:t>
      </w:r>
    </w:p>
    <w:p>
      <w:pPr>
        <w:spacing w:before="163" w:beforeLines="50"/>
        <w:ind w:firstLine="480"/>
        <w:rPr>
          <w:rFonts w:asciiTheme="minorEastAsia" w:hAnsiTheme="minorEastAsia"/>
        </w:rPr>
      </w:pPr>
      <w:r>
        <w:rPr>
          <w:rFonts w:hint="eastAsia" w:asciiTheme="minorEastAsia" w:hAnsiTheme="minorEastAsia"/>
        </w:rPr>
        <w:t>1992年，中共温州市委副书记陈荣偕、文成县委书记金邦清涉足南田考察百丈漈紫沙土开发，见百丈漈水库与沿途瀑布、奇峰异石及刘基庙，异常惊叹，同声赞誉：“山水瑰丽、人文荟萃，景观优美，无愧于明开国诚意伯刘伯温先生的故里”。于是，原宣传部长徐世征亲率县旅游办、文联、电视台等部门人员历经三个多月的勘查，使百丈漈风景名胜区分别由峡谷景廊、百丈飞瀑、天顶湖、刘基故里、朱阳九峰5大部分组成。</w:t>
      </w:r>
    </w:p>
    <w:p>
      <w:pPr>
        <w:spacing w:before="163" w:beforeLines="50"/>
        <w:ind w:firstLine="480"/>
        <w:rPr>
          <w:rFonts w:asciiTheme="minorEastAsia" w:hAnsiTheme="minorEastAsia"/>
        </w:rPr>
      </w:pPr>
      <w:r>
        <w:rPr>
          <w:rFonts w:hint="eastAsia" w:asciiTheme="minorEastAsia" w:hAnsiTheme="minorEastAsia"/>
        </w:rPr>
        <w:t>1993年，百丈漈风景名胜区由浙江省人民政府批准列为第三批省级风景名胜区，同年风景名胜区总体规划通过评审，县委、县政府为了加强对百丈漈风景名胜区的开发、保护和管理，成立了文成县风景旅游管理局。</w:t>
      </w:r>
    </w:p>
    <w:p>
      <w:pPr>
        <w:spacing w:before="163" w:beforeLines="50"/>
        <w:ind w:firstLine="480"/>
        <w:rPr>
          <w:rFonts w:asciiTheme="minorEastAsia" w:hAnsiTheme="minorEastAsia"/>
        </w:rPr>
      </w:pPr>
      <w:r>
        <w:rPr>
          <w:rFonts w:hint="eastAsia" w:asciiTheme="minorEastAsia" w:hAnsiTheme="minorEastAsia"/>
        </w:rPr>
        <w:t>2001年，朱阳九峰景区建成并对外开放。2003年县委、县政府确定全力打造“生态旅游县”战略，重点建设了岩门大峡谷景区的游步道，修筑改造了石垟林场至铜岭山峡通景公路及景区，黄坦至飞云湖的通景公路，完善了峡谷景廊的配套设施，举办了中国首屇刘基文化暨生态旅游节。</w:t>
      </w:r>
    </w:p>
    <w:p>
      <w:pPr>
        <w:spacing w:before="163" w:beforeLines="50"/>
        <w:ind w:firstLine="480"/>
        <w:rPr>
          <w:rFonts w:asciiTheme="minorEastAsia" w:hAnsiTheme="minorEastAsia"/>
        </w:rPr>
      </w:pPr>
      <w:r>
        <w:rPr>
          <w:rFonts w:hint="eastAsia" w:asciiTheme="minorEastAsia" w:hAnsiTheme="minorEastAsia"/>
        </w:rPr>
        <w:t>2004年，百丈漈－飞云湖风景名胜区被国务院列为国家级风景名胜区。峡谷景廊、双龙景区对外开放。2005年，百丈飞瀑景区引水工程建成放水，恢复了百丈飞瀑雄姿。</w:t>
      </w:r>
    </w:p>
    <w:p>
      <w:pPr>
        <w:spacing w:before="163" w:beforeLines="50"/>
        <w:ind w:firstLine="480"/>
        <w:rPr>
          <w:rFonts w:asciiTheme="minorEastAsia" w:hAnsiTheme="minorEastAsia"/>
        </w:rPr>
      </w:pPr>
      <w:r>
        <w:rPr>
          <w:rFonts w:hint="eastAsia" w:asciiTheme="minorEastAsia" w:hAnsiTheme="minorEastAsia"/>
        </w:rPr>
        <w:t>2010年后，文成旅游进入快速发展期， 开发建设了安福寺、猴王谷、包龙潭、仙人谷等新的旅游区。</w:t>
      </w:r>
    </w:p>
    <w:p>
      <w:pPr>
        <w:spacing w:before="163" w:beforeLines="50"/>
        <w:ind w:firstLine="480"/>
        <w:rPr>
          <w:rFonts w:cs="宋体"/>
        </w:rPr>
      </w:pPr>
      <w:r>
        <w:rPr>
          <w:rFonts w:hint="eastAsia" w:cs="宋体"/>
        </w:rPr>
        <w:t>2016年，经温州市人民政府同意，文成县风景旅游管理局更名为温州市百丈漈-飞云湖风景旅游管理委员会作为风景名胜区管理机构，升格为文成县政府直属的副县级事业单位。</w:t>
      </w:r>
    </w:p>
    <w:p>
      <w:pPr>
        <w:spacing w:before="97" w:beforeLines="30"/>
        <w:ind w:firstLine="480"/>
        <w:rPr>
          <w:rFonts w:cs="宋体"/>
        </w:rPr>
      </w:pPr>
      <w:r>
        <w:rPr>
          <w:rFonts w:hint="eastAsia" w:cs="宋体"/>
        </w:rPr>
        <w:t>2018年底全省机构改革后，管委会更名为温州市百丈漈—飞云湖旅游经济发展中心，其风景名胜区管理职能被弱化。目前，文成县各类自然保护地由文成县自然资源和规划局统一主管，但依然存在条块分割不清，难以对风景区实施有效统一管理。</w:t>
      </w:r>
    </w:p>
    <w:p>
      <w:pPr>
        <w:spacing w:before="97" w:beforeLines="30"/>
        <w:ind w:firstLine="480"/>
        <w:rPr>
          <w:rFonts w:asciiTheme="minorEastAsia" w:hAnsiTheme="minorEastAsia"/>
        </w:rPr>
      </w:pPr>
      <w:r>
        <w:t>2020</w:t>
      </w:r>
      <w:r>
        <w:rPr>
          <w:rFonts w:hint="eastAsia" w:asciiTheme="minorEastAsia" w:hAnsiTheme="minorEastAsia"/>
        </w:rPr>
        <w:t>年，刘伯温故里景区获评国家5A级旅游景区。</w:t>
      </w:r>
    </w:p>
    <w:p>
      <w:pPr>
        <w:spacing w:before="97" w:beforeLines="30"/>
        <w:ind w:firstLine="480"/>
        <w:rPr>
          <w:rFonts w:asciiTheme="minorEastAsia" w:hAnsiTheme="minorEastAsia"/>
        </w:rPr>
      </w:pPr>
      <w:r>
        <w:rPr>
          <w:rFonts w:hint="eastAsia" w:cs="宋体"/>
        </w:rPr>
        <w:t>目前随着我国旅游事业的迅猛发展，</w:t>
      </w:r>
      <w:r>
        <w:rPr>
          <w:rFonts w:hint="eastAsia" w:asciiTheme="minorEastAsia" w:hAnsiTheme="minorEastAsia"/>
        </w:rPr>
        <w:t>文成旅游产品形成了以自然观光、文化旅游、生态休闲度假为主导的多元化的产品体系。</w:t>
      </w:r>
    </w:p>
    <w:p>
      <w:pPr>
        <w:pStyle w:val="4"/>
        <w:spacing w:before="163"/>
        <w:ind w:firstLine="360"/>
      </w:pPr>
      <w:bookmarkStart w:id="2" w:name="_Toc420913689"/>
      <w:r>
        <w:rPr>
          <w:rFonts w:hint="eastAsia"/>
        </w:rPr>
        <w:t>（四）社会经济</w:t>
      </w:r>
      <w:bookmarkEnd w:id="2"/>
    </w:p>
    <w:p>
      <w:pPr>
        <w:spacing w:before="163" w:beforeLines="50"/>
        <w:ind w:firstLine="480"/>
        <w:rPr>
          <w:rFonts w:asciiTheme="minorEastAsia" w:hAnsiTheme="minorEastAsia" w:eastAsiaTheme="minorEastAsia"/>
        </w:rPr>
      </w:pPr>
      <w:bookmarkStart w:id="3" w:name="_Toc440981308"/>
      <w:r>
        <w:rPr>
          <w:rFonts w:hint="eastAsia" w:asciiTheme="minorEastAsia" w:hAnsiTheme="minorEastAsia" w:eastAsiaTheme="minorEastAsia"/>
        </w:rPr>
        <w:t>文成县域共辖12个镇、5个乡,2023年年末县域户籍总人口为40.26万人。</w:t>
      </w:r>
      <w:r>
        <w:rPr>
          <w:rFonts w:asciiTheme="minorEastAsia" w:hAnsiTheme="minorEastAsia" w:eastAsiaTheme="minorEastAsia"/>
        </w:rPr>
        <w:t>20</w:t>
      </w:r>
      <w:r>
        <w:rPr>
          <w:rFonts w:hint="eastAsia" w:asciiTheme="minorEastAsia" w:hAnsiTheme="minorEastAsia" w:eastAsiaTheme="minorEastAsia"/>
        </w:rPr>
        <w:t>23年文成县实现地区生产总值</w:t>
      </w:r>
      <w:r>
        <w:rPr>
          <w:rFonts w:asciiTheme="minorEastAsia" w:hAnsiTheme="minorEastAsia" w:eastAsiaTheme="minorEastAsia"/>
        </w:rPr>
        <w:t>126.6</w:t>
      </w:r>
      <w:r>
        <w:rPr>
          <w:rFonts w:hint="eastAsia" w:asciiTheme="minorEastAsia" w:hAnsiTheme="minorEastAsia" w:eastAsiaTheme="minorEastAsia"/>
        </w:rPr>
        <w:t>亿元，年均增长</w:t>
      </w:r>
      <w:r>
        <w:rPr>
          <w:rFonts w:asciiTheme="minorEastAsia" w:hAnsiTheme="minorEastAsia" w:eastAsiaTheme="minorEastAsia"/>
        </w:rPr>
        <w:t>5.8%</w:t>
      </w:r>
      <w:r>
        <w:rPr>
          <w:rFonts w:eastAsiaTheme="minorEastAsia"/>
        </w:rPr>
        <w:t>‌</w:t>
      </w:r>
      <w:r>
        <w:rPr>
          <w:rFonts w:hint="eastAsia" w:asciiTheme="minorEastAsia" w:hAnsiTheme="minorEastAsia" w:eastAsiaTheme="minorEastAsia"/>
        </w:rPr>
        <w:t>，城镇常住居民人均可支配收入50327元，年均增长5.9</w:t>
      </w:r>
      <w:r>
        <w:rPr>
          <w:rFonts w:asciiTheme="minorEastAsia" w:hAnsiTheme="minorEastAsia" w:eastAsiaTheme="minorEastAsia"/>
        </w:rPr>
        <w:t>%，农村常住居民人均可支配收入</w:t>
      </w:r>
      <w:r>
        <w:rPr>
          <w:rFonts w:hint="eastAsia" w:asciiTheme="minorEastAsia" w:hAnsiTheme="minorEastAsia" w:eastAsiaTheme="minorEastAsia"/>
        </w:rPr>
        <w:t>24400元，年均增长8.1</w:t>
      </w:r>
      <w:r>
        <w:rPr>
          <w:rFonts w:asciiTheme="minorEastAsia" w:hAnsiTheme="minorEastAsia" w:eastAsiaTheme="minorEastAsia"/>
        </w:rPr>
        <w:t>%。</w:t>
      </w:r>
    </w:p>
    <w:p>
      <w:pPr>
        <w:spacing w:before="163" w:beforeLines="50"/>
        <w:ind w:firstLine="480"/>
        <w:rPr>
          <w:rFonts w:cs="宋体" w:asciiTheme="minorEastAsia" w:hAnsiTheme="minorEastAsia" w:eastAsiaTheme="minorEastAsia"/>
        </w:rPr>
      </w:pPr>
      <w:r>
        <w:rPr>
          <w:rFonts w:hint="eastAsia" w:asciiTheme="minorEastAsia" w:hAnsiTheme="minorEastAsia" w:eastAsiaTheme="minorEastAsia"/>
        </w:rPr>
        <w:t>风景区内共涉及</w:t>
      </w:r>
      <w:r>
        <w:rPr>
          <w:rFonts w:hint="eastAsia" w:asciiTheme="minorEastAsia" w:hAnsiTheme="minorEastAsia" w:eastAsiaTheme="minorEastAsia"/>
          <w:szCs w:val="21"/>
        </w:rPr>
        <w:t>大峃镇等</w:t>
      </w:r>
      <w:r>
        <w:rPr>
          <w:rFonts w:hint="eastAsia" w:asciiTheme="minorEastAsia" w:hAnsiTheme="minorEastAsia" w:eastAsiaTheme="minorEastAsia"/>
        </w:rPr>
        <w:t>1</w:t>
      </w:r>
      <w:r>
        <w:rPr>
          <w:rFonts w:asciiTheme="minorEastAsia" w:hAnsiTheme="minorEastAsia" w:eastAsiaTheme="minorEastAsia"/>
        </w:rPr>
        <w:t>0</w:t>
      </w:r>
      <w:r>
        <w:rPr>
          <w:rFonts w:hint="eastAsia" w:asciiTheme="minorEastAsia" w:hAnsiTheme="minorEastAsia" w:eastAsiaTheme="minorEastAsia"/>
        </w:rPr>
        <w:t>个乡镇，66个行政村（不包括在风景区内无村庄建设用地的镇村）</w:t>
      </w:r>
      <w:r>
        <w:rPr>
          <w:rFonts w:hint="eastAsia" w:cs="宋体" w:asciiTheme="minorEastAsia" w:hAnsiTheme="minorEastAsia" w:eastAsiaTheme="minorEastAsia"/>
        </w:rPr>
        <w:t>，其中风景区内涉及居民常住人口总计约1.2万</w:t>
      </w:r>
      <w:r>
        <w:rPr>
          <w:rFonts w:hint="eastAsia" w:asciiTheme="minorEastAsia" w:hAnsiTheme="minorEastAsia" w:eastAsiaTheme="minorEastAsia"/>
        </w:rPr>
        <w:t>。</w:t>
      </w:r>
      <w:r>
        <w:rPr>
          <w:rFonts w:hint="eastAsia" w:cs="宋体" w:asciiTheme="minorEastAsia" w:hAnsiTheme="minorEastAsia" w:eastAsiaTheme="minorEastAsia"/>
        </w:rPr>
        <w:t>风景区内涉及乡镇、村庄整体属于经济欠发达地区，乡镇工业总产值、农林牧副渔总产值等经济指标在我省处于中下游水平，且区内各居民点之间由于区位条件、资源条件等因素，经济收入存在一定差距。</w:t>
      </w:r>
    </w:p>
    <w:p>
      <w:pPr>
        <w:ind w:firstLine="0" w:firstLineChars="0"/>
        <w:jc w:val="center"/>
        <w:rPr>
          <w:rFonts w:ascii="Calibri" w:hAnsi="Calibri"/>
          <w:b/>
          <w:sz w:val="21"/>
          <w:szCs w:val="22"/>
        </w:rPr>
      </w:pPr>
      <w:bookmarkStart w:id="4" w:name="_Hlk175235401"/>
      <w:r>
        <w:rPr>
          <w:rFonts w:hint="eastAsia" w:ascii="Calibri" w:hAnsi="Calibri"/>
          <w:b/>
          <w:sz w:val="21"/>
          <w:szCs w:val="22"/>
        </w:rPr>
        <w:t>表1</w:t>
      </w:r>
      <w:r>
        <w:rPr>
          <w:rFonts w:ascii="Calibri" w:hAnsi="Calibri"/>
          <w:b/>
          <w:sz w:val="21"/>
          <w:szCs w:val="22"/>
        </w:rPr>
        <w:t xml:space="preserve">-1 </w:t>
      </w:r>
      <w:r>
        <w:rPr>
          <w:rFonts w:hint="eastAsia" w:ascii="Calibri" w:hAnsi="Calibri"/>
          <w:b/>
          <w:sz w:val="21"/>
          <w:szCs w:val="22"/>
        </w:rPr>
        <w:t>涉及乡镇社会经济总体情况一览表</w:t>
      </w:r>
    </w:p>
    <w:tbl>
      <w:tblPr>
        <w:tblStyle w:val="42"/>
        <w:tblW w:w="84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903"/>
        <w:gridCol w:w="1171"/>
        <w:gridCol w:w="909"/>
        <w:gridCol w:w="1044"/>
        <w:gridCol w:w="1044"/>
        <w:gridCol w:w="1197"/>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jc w:val="center"/>
        </w:trPr>
        <w:tc>
          <w:tcPr>
            <w:tcW w:w="1195" w:type="dxa"/>
            <w:shd w:val="clear" w:color="auto" w:fill="D8D8D8" w:themeFill="background1" w:themeFillShade="D9"/>
            <w:vAlign w:val="center"/>
          </w:tcPr>
          <w:p>
            <w:pPr>
              <w:spacing w:line="240" w:lineRule="auto"/>
              <w:ind w:firstLine="0" w:firstLineChars="0"/>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乡镇名称</w:t>
            </w:r>
          </w:p>
        </w:tc>
        <w:tc>
          <w:tcPr>
            <w:tcW w:w="903" w:type="dxa"/>
            <w:shd w:val="clear" w:color="auto" w:fill="D8D8D8" w:themeFill="background1" w:themeFillShade="D9"/>
            <w:vAlign w:val="center"/>
          </w:tcPr>
          <w:p>
            <w:pPr>
              <w:spacing w:line="240" w:lineRule="auto"/>
              <w:ind w:firstLine="0" w:firstLineChars="0"/>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总人口</w:t>
            </w:r>
          </w:p>
          <w:p>
            <w:pPr>
              <w:spacing w:line="240" w:lineRule="auto"/>
              <w:ind w:firstLine="0" w:firstLineChars="0"/>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（户籍人口）</w:t>
            </w:r>
          </w:p>
        </w:tc>
        <w:tc>
          <w:tcPr>
            <w:tcW w:w="1171" w:type="dxa"/>
            <w:shd w:val="clear" w:color="auto" w:fill="D8D8D8" w:themeFill="background1" w:themeFillShade="D9"/>
            <w:vAlign w:val="center"/>
          </w:tcPr>
          <w:p>
            <w:pPr>
              <w:spacing w:line="240" w:lineRule="auto"/>
              <w:ind w:firstLine="0" w:firstLineChars="0"/>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总人口</w:t>
            </w:r>
          </w:p>
          <w:p>
            <w:pPr>
              <w:spacing w:line="240" w:lineRule="auto"/>
              <w:ind w:firstLine="0" w:firstLineChars="0"/>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（常住人口）</w:t>
            </w:r>
          </w:p>
        </w:tc>
        <w:tc>
          <w:tcPr>
            <w:tcW w:w="909" w:type="dxa"/>
            <w:shd w:val="clear" w:color="auto" w:fill="D8D8D8" w:themeFill="background1" w:themeFillShade="D9"/>
            <w:vAlign w:val="center"/>
          </w:tcPr>
          <w:p>
            <w:pPr>
              <w:spacing w:line="240" w:lineRule="auto"/>
              <w:ind w:firstLine="0" w:firstLineChars="0"/>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居民人均收入（元）</w:t>
            </w:r>
          </w:p>
        </w:tc>
        <w:tc>
          <w:tcPr>
            <w:tcW w:w="1044" w:type="dxa"/>
            <w:shd w:val="clear" w:color="auto" w:fill="D8D8D8" w:themeFill="background1" w:themeFillShade="D9"/>
            <w:vAlign w:val="center"/>
          </w:tcPr>
          <w:p>
            <w:pPr>
              <w:spacing w:line="240" w:lineRule="auto"/>
              <w:ind w:firstLine="0" w:firstLineChars="0"/>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农民人均收入（元）</w:t>
            </w:r>
          </w:p>
        </w:tc>
        <w:tc>
          <w:tcPr>
            <w:tcW w:w="1044" w:type="dxa"/>
            <w:shd w:val="clear" w:color="auto" w:fill="D8D8D8" w:themeFill="background1" w:themeFillShade="D9"/>
            <w:vAlign w:val="center"/>
          </w:tcPr>
          <w:p>
            <w:pPr>
              <w:spacing w:line="240" w:lineRule="auto"/>
              <w:ind w:firstLine="0" w:firstLineChars="0"/>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乡镇工业总产值（万元）</w:t>
            </w:r>
          </w:p>
        </w:tc>
        <w:tc>
          <w:tcPr>
            <w:tcW w:w="1197" w:type="dxa"/>
            <w:shd w:val="clear" w:color="auto" w:fill="D8D8D8" w:themeFill="background1" w:themeFillShade="D9"/>
            <w:vAlign w:val="center"/>
          </w:tcPr>
          <w:p>
            <w:pPr>
              <w:spacing w:line="240" w:lineRule="auto"/>
              <w:ind w:firstLine="0" w:firstLineChars="0"/>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乡镇农林牧副渔总产值（万元）</w:t>
            </w:r>
          </w:p>
        </w:tc>
        <w:tc>
          <w:tcPr>
            <w:tcW w:w="992" w:type="dxa"/>
            <w:shd w:val="clear" w:color="auto" w:fill="D8D8D8" w:themeFill="background1" w:themeFillShade="D9"/>
            <w:vAlign w:val="center"/>
          </w:tcPr>
          <w:p>
            <w:pPr>
              <w:spacing w:line="240" w:lineRule="auto"/>
              <w:ind w:firstLine="0" w:firstLineChars="0"/>
              <w:jc w:val="cente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乡镇旅游业总产值（万元）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1195"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大峃镇</w:t>
            </w:r>
          </w:p>
        </w:tc>
        <w:tc>
          <w:tcPr>
            <w:tcW w:w="903"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105307</w:t>
            </w:r>
          </w:p>
        </w:tc>
        <w:tc>
          <w:tcPr>
            <w:tcW w:w="1171" w:type="dxa"/>
            <w:vAlign w:val="center"/>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73212</w:t>
            </w:r>
          </w:p>
        </w:tc>
        <w:tc>
          <w:tcPr>
            <w:tcW w:w="909" w:type="dxa"/>
            <w:vAlign w:val="center"/>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41283</w:t>
            </w:r>
          </w:p>
        </w:tc>
        <w:tc>
          <w:tcPr>
            <w:tcW w:w="1044" w:type="dxa"/>
            <w:vAlign w:val="center"/>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19023</w:t>
            </w:r>
          </w:p>
        </w:tc>
        <w:tc>
          <w:tcPr>
            <w:tcW w:w="1044"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52391</w:t>
            </w:r>
          </w:p>
        </w:tc>
        <w:tc>
          <w:tcPr>
            <w:tcW w:w="1197"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22235</w:t>
            </w:r>
          </w:p>
        </w:tc>
        <w:tc>
          <w:tcPr>
            <w:tcW w:w="992"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w:t>
            </w:r>
            <w:r>
              <w:rPr>
                <w:rFonts w:asciiTheme="minorEastAsia" w:hAnsiTheme="minorEastAsia" w:eastAsiaTheme="minorEastAsia"/>
                <w:sz w:val="18"/>
                <w:szCs w:val="18"/>
              </w:rPr>
              <w:t>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1195"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珊溪镇</w:t>
            </w:r>
          </w:p>
        </w:tc>
        <w:tc>
          <w:tcPr>
            <w:tcW w:w="903"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43373</w:t>
            </w:r>
          </w:p>
        </w:tc>
        <w:tc>
          <w:tcPr>
            <w:tcW w:w="1171" w:type="dxa"/>
            <w:vAlign w:val="center"/>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18979</w:t>
            </w:r>
          </w:p>
        </w:tc>
        <w:tc>
          <w:tcPr>
            <w:tcW w:w="909"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w:t>
            </w:r>
            <w:r>
              <w:rPr>
                <w:rFonts w:asciiTheme="minorEastAsia" w:hAnsiTheme="minorEastAsia" w:eastAsiaTheme="minorEastAsia"/>
                <w:sz w:val="18"/>
                <w:szCs w:val="18"/>
              </w:rPr>
              <w:t>674</w:t>
            </w:r>
          </w:p>
        </w:tc>
        <w:tc>
          <w:tcPr>
            <w:tcW w:w="1044"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w:t>
            </w:r>
            <w:r>
              <w:rPr>
                <w:rFonts w:asciiTheme="minorEastAsia" w:hAnsiTheme="minorEastAsia" w:eastAsiaTheme="minorEastAsia"/>
                <w:sz w:val="18"/>
                <w:szCs w:val="18"/>
              </w:rPr>
              <w:t>6190</w:t>
            </w:r>
          </w:p>
        </w:tc>
        <w:tc>
          <w:tcPr>
            <w:tcW w:w="1044"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6663</w:t>
            </w:r>
          </w:p>
        </w:tc>
        <w:tc>
          <w:tcPr>
            <w:tcW w:w="1197"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16668</w:t>
            </w:r>
          </w:p>
        </w:tc>
        <w:tc>
          <w:tcPr>
            <w:tcW w:w="992"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w:t>
            </w:r>
            <w:r>
              <w:rPr>
                <w:rFonts w:asciiTheme="minorEastAsia" w:hAnsiTheme="minorEastAsia" w:eastAsiaTheme="minorEastAsia"/>
                <w:sz w:val="18"/>
                <w:szCs w:val="18"/>
              </w:rPr>
              <w:t>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1195"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玉壶镇</w:t>
            </w:r>
          </w:p>
        </w:tc>
        <w:tc>
          <w:tcPr>
            <w:tcW w:w="903"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52433</w:t>
            </w:r>
          </w:p>
        </w:tc>
        <w:tc>
          <w:tcPr>
            <w:tcW w:w="1171"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w:t>
            </w:r>
            <w:r>
              <w:rPr>
                <w:rFonts w:asciiTheme="minorEastAsia" w:hAnsiTheme="minorEastAsia" w:eastAsiaTheme="minorEastAsia"/>
                <w:sz w:val="18"/>
                <w:szCs w:val="18"/>
              </w:rPr>
              <w:t>6162</w:t>
            </w:r>
          </w:p>
        </w:tc>
        <w:tc>
          <w:tcPr>
            <w:tcW w:w="909" w:type="dxa"/>
            <w:vAlign w:val="center"/>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45511</w:t>
            </w:r>
          </w:p>
        </w:tc>
        <w:tc>
          <w:tcPr>
            <w:tcW w:w="1044" w:type="dxa"/>
            <w:vAlign w:val="center"/>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57810</w:t>
            </w:r>
          </w:p>
        </w:tc>
        <w:tc>
          <w:tcPr>
            <w:tcW w:w="1044"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9201</w:t>
            </w:r>
          </w:p>
        </w:tc>
        <w:tc>
          <w:tcPr>
            <w:tcW w:w="1197"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17099</w:t>
            </w:r>
          </w:p>
        </w:tc>
        <w:tc>
          <w:tcPr>
            <w:tcW w:w="992"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w:t>
            </w:r>
            <w:r>
              <w:rPr>
                <w:rFonts w:asciiTheme="minorEastAsia" w:hAnsiTheme="minorEastAsia" w:eastAsiaTheme="minorEastAsia"/>
                <w:sz w:val="18"/>
                <w:szCs w:val="18"/>
              </w:rPr>
              <w:t>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1195"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南田镇</w:t>
            </w:r>
          </w:p>
        </w:tc>
        <w:tc>
          <w:tcPr>
            <w:tcW w:w="903"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35465</w:t>
            </w:r>
          </w:p>
        </w:tc>
        <w:tc>
          <w:tcPr>
            <w:tcW w:w="1171" w:type="dxa"/>
            <w:vAlign w:val="center"/>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17132</w:t>
            </w:r>
          </w:p>
        </w:tc>
        <w:tc>
          <w:tcPr>
            <w:tcW w:w="909"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w:t>
            </w:r>
            <w:r>
              <w:rPr>
                <w:rFonts w:asciiTheme="minorEastAsia" w:hAnsiTheme="minorEastAsia" w:eastAsiaTheme="minorEastAsia"/>
                <w:sz w:val="18"/>
                <w:szCs w:val="18"/>
              </w:rPr>
              <w:t>1645</w:t>
            </w:r>
          </w:p>
        </w:tc>
        <w:tc>
          <w:tcPr>
            <w:tcW w:w="1044"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w:t>
            </w:r>
            <w:r>
              <w:rPr>
                <w:rFonts w:asciiTheme="minorEastAsia" w:hAnsiTheme="minorEastAsia" w:eastAsiaTheme="minorEastAsia"/>
                <w:sz w:val="18"/>
                <w:szCs w:val="18"/>
              </w:rPr>
              <w:t>7000</w:t>
            </w:r>
          </w:p>
        </w:tc>
        <w:tc>
          <w:tcPr>
            <w:tcW w:w="1044"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w:t>
            </w:r>
            <w:r>
              <w:rPr>
                <w:rFonts w:asciiTheme="minorEastAsia" w:hAnsiTheme="minorEastAsia" w:eastAsiaTheme="minorEastAsia"/>
                <w:sz w:val="18"/>
                <w:szCs w:val="18"/>
              </w:rPr>
              <w:t>4953</w:t>
            </w:r>
          </w:p>
        </w:tc>
        <w:tc>
          <w:tcPr>
            <w:tcW w:w="1197"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18117</w:t>
            </w:r>
          </w:p>
        </w:tc>
        <w:tc>
          <w:tcPr>
            <w:tcW w:w="992"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w:t>
            </w:r>
            <w:r>
              <w:rPr>
                <w:rFonts w:asciiTheme="minorEastAsia" w:hAnsiTheme="minorEastAsia" w:eastAsiaTheme="minorEastAsia"/>
                <w:sz w:val="18"/>
                <w:szCs w:val="18"/>
              </w:rPr>
              <w:t>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1195"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黄坦镇</w:t>
            </w:r>
          </w:p>
        </w:tc>
        <w:tc>
          <w:tcPr>
            <w:tcW w:w="903"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33280</w:t>
            </w:r>
          </w:p>
        </w:tc>
        <w:tc>
          <w:tcPr>
            <w:tcW w:w="1171" w:type="dxa"/>
            <w:vAlign w:val="center"/>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9632</w:t>
            </w:r>
          </w:p>
        </w:tc>
        <w:tc>
          <w:tcPr>
            <w:tcW w:w="909"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w:t>
            </w:r>
            <w:r>
              <w:rPr>
                <w:rFonts w:asciiTheme="minorEastAsia" w:hAnsiTheme="minorEastAsia" w:eastAsiaTheme="minorEastAsia"/>
                <w:sz w:val="18"/>
                <w:szCs w:val="18"/>
              </w:rPr>
              <w:t>9500</w:t>
            </w:r>
          </w:p>
        </w:tc>
        <w:tc>
          <w:tcPr>
            <w:tcW w:w="1044"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w:t>
            </w:r>
            <w:r>
              <w:rPr>
                <w:rFonts w:asciiTheme="minorEastAsia" w:hAnsiTheme="minorEastAsia" w:eastAsiaTheme="minorEastAsia"/>
                <w:sz w:val="18"/>
                <w:szCs w:val="18"/>
              </w:rPr>
              <w:t>5680</w:t>
            </w:r>
          </w:p>
        </w:tc>
        <w:tc>
          <w:tcPr>
            <w:tcW w:w="1044"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8776</w:t>
            </w:r>
          </w:p>
        </w:tc>
        <w:tc>
          <w:tcPr>
            <w:tcW w:w="1197"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24028</w:t>
            </w:r>
          </w:p>
        </w:tc>
        <w:tc>
          <w:tcPr>
            <w:tcW w:w="992"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w:t>
            </w:r>
            <w:r>
              <w:rPr>
                <w:rFonts w:asciiTheme="minorEastAsia" w:hAnsiTheme="minorEastAsia" w:eastAsiaTheme="minorEastAsia"/>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1195"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西坑畲族镇</w:t>
            </w:r>
          </w:p>
        </w:tc>
        <w:tc>
          <w:tcPr>
            <w:tcW w:w="903"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11389</w:t>
            </w:r>
          </w:p>
        </w:tc>
        <w:tc>
          <w:tcPr>
            <w:tcW w:w="1171" w:type="dxa"/>
            <w:vAlign w:val="center"/>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5723</w:t>
            </w:r>
          </w:p>
        </w:tc>
        <w:tc>
          <w:tcPr>
            <w:tcW w:w="909"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w:t>
            </w:r>
            <w:r>
              <w:rPr>
                <w:rFonts w:asciiTheme="minorEastAsia" w:hAnsiTheme="minorEastAsia" w:eastAsiaTheme="minorEastAsia"/>
                <w:sz w:val="18"/>
                <w:szCs w:val="18"/>
              </w:rPr>
              <w:t>2216</w:t>
            </w:r>
          </w:p>
        </w:tc>
        <w:tc>
          <w:tcPr>
            <w:tcW w:w="1044"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w:t>
            </w:r>
            <w:r>
              <w:rPr>
                <w:rFonts w:asciiTheme="minorEastAsia" w:hAnsiTheme="minorEastAsia" w:eastAsiaTheme="minorEastAsia"/>
                <w:sz w:val="18"/>
                <w:szCs w:val="18"/>
              </w:rPr>
              <w:t>0185</w:t>
            </w:r>
          </w:p>
        </w:tc>
        <w:tc>
          <w:tcPr>
            <w:tcW w:w="1044"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4623</w:t>
            </w:r>
          </w:p>
        </w:tc>
        <w:tc>
          <w:tcPr>
            <w:tcW w:w="1197"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9455</w:t>
            </w:r>
          </w:p>
        </w:tc>
        <w:tc>
          <w:tcPr>
            <w:tcW w:w="992" w:type="dxa"/>
            <w:vAlign w:val="center"/>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1195"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百丈漈镇</w:t>
            </w:r>
          </w:p>
        </w:tc>
        <w:tc>
          <w:tcPr>
            <w:tcW w:w="903"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12877</w:t>
            </w:r>
          </w:p>
        </w:tc>
        <w:tc>
          <w:tcPr>
            <w:tcW w:w="1171" w:type="dxa"/>
            <w:vAlign w:val="center"/>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6108</w:t>
            </w:r>
          </w:p>
        </w:tc>
        <w:tc>
          <w:tcPr>
            <w:tcW w:w="909"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w:t>
            </w:r>
            <w:r>
              <w:rPr>
                <w:rFonts w:asciiTheme="minorEastAsia" w:hAnsiTheme="minorEastAsia" w:eastAsiaTheme="minorEastAsia"/>
                <w:sz w:val="18"/>
                <w:szCs w:val="18"/>
              </w:rPr>
              <w:t>4699</w:t>
            </w:r>
          </w:p>
        </w:tc>
        <w:tc>
          <w:tcPr>
            <w:tcW w:w="1044" w:type="dxa"/>
            <w:vAlign w:val="center"/>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28300</w:t>
            </w:r>
          </w:p>
        </w:tc>
        <w:tc>
          <w:tcPr>
            <w:tcW w:w="1044"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132511</w:t>
            </w:r>
          </w:p>
        </w:tc>
        <w:tc>
          <w:tcPr>
            <w:tcW w:w="1197"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6609</w:t>
            </w:r>
          </w:p>
        </w:tc>
        <w:tc>
          <w:tcPr>
            <w:tcW w:w="992" w:type="dxa"/>
            <w:vAlign w:val="center"/>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13995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1195"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巨屿镇</w:t>
            </w:r>
          </w:p>
        </w:tc>
        <w:tc>
          <w:tcPr>
            <w:tcW w:w="903"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22082</w:t>
            </w:r>
          </w:p>
        </w:tc>
        <w:tc>
          <w:tcPr>
            <w:tcW w:w="1171" w:type="dxa"/>
            <w:vAlign w:val="center"/>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12466</w:t>
            </w:r>
          </w:p>
        </w:tc>
        <w:tc>
          <w:tcPr>
            <w:tcW w:w="909"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w:t>
            </w:r>
            <w:r>
              <w:rPr>
                <w:rFonts w:asciiTheme="minorEastAsia" w:hAnsiTheme="minorEastAsia" w:eastAsiaTheme="minorEastAsia"/>
                <w:sz w:val="18"/>
                <w:szCs w:val="18"/>
              </w:rPr>
              <w:t>1254</w:t>
            </w:r>
          </w:p>
        </w:tc>
        <w:tc>
          <w:tcPr>
            <w:tcW w:w="1044" w:type="dxa"/>
            <w:vAlign w:val="center"/>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19456</w:t>
            </w:r>
          </w:p>
        </w:tc>
        <w:tc>
          <w:tcPr>
            <w:tcW w:w="1044"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149281</w:t>
            </w:r>
          </w:p>
        </w:tc>
        <w:tc>
          <w:tcPr>
            <w:tcW w:w="1197"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6617</w:t>
            </w:r>
          </w:p>
        </w:tc>
        <w:tc>
          <w:tcPr>
            <w:tcW w:w="992"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w:t>
            </w:r>
            <w:r>
              <w:rPr>
                <w:rFonts w:asciiTheme="minorEastAsia" w:hAnsiTheme="minorEastAsia" w:eastAsiaTheme="minorEastAsia"/>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1195"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二源镇</w:t>
            </w:r>
          </w:p>
        </w:tc>
        <w:tc>
          <w:tcPr>
            <w:tcW w:w="903"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12289</w:t>
            </w:r>
          </w:p>
        </w:tc>
        <w:tc>
          <w:tcPr>
            <w:tcW w:w="1171" w:type="dxa"/>
            <w:vAlign w:val="center"/>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6331</w:t>
            </w:r>
          </w:p>
        </w:tc>
        <w:tc>
          <w:tcPr>
            <w:tcW w:w="909" w:type="dxa"/>
            <w:vAlign w:val="center"/>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15743</w:t>
            </w:r>
          </w:p>
        </w:tc>
        <w:tc>
          <w:tcPr>
            <w:tcW w:w="1044"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w:t>
            </w:r>
            <w:r>
              <w:rPr>
                <w:rFonts w:asciiTheme="minorEastAsia" w:hAnsiTheme="minorEastAsia" w:eastAsiaTheme="minorEastAsia"/>
                <w:sz w:val="18"/>
                <w:szCs w:val="18"/>
              </w:rPr>
              <w:t>4687</w:t>
            </w:r>
          </w:p>
        </w:tc>
        <w:tc>
          <w:tcPr>
            <w:tcW w:w="1044"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2364</w:t>
            </w:r>
          </w:p>
        </w:tc>
        <w:tc>
          <w:tcPr>
            <w:tcW w:w="1197"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11374</w:t>
            </w:r>
          </w:p>
        </w:tc>
        <w:tc>
          <w:tcPr>
            <w:tcW w:w="992"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w:t>
            </w:r>
            <w:r>
              <w:rPr>
                <w:rFonts w:asciiTheme="minorEastAsia" w:hAnsiTheme="minorEastAsia" w:eastAsiaTheme="minor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1195"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铜铃山镇</w:t>
            </w:r>
          </w:p>
        </w:tc>
        <w:tc>
          <w:tcPr>
            <w:tcW w:w="903"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8197</w:t>
            </w:r>
          </w:p>
        </w:tc>
        <w:tc>
          <w:tcPr>
            <w:tcW w:w="1171" w:type="dxa"/>
            <w:vAlign w:val="center"/>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2122</w:t>
            </w:r>
          </w:p>
        </w:tc>
        <w:tc>
          <w:tcPr>
            <w:tcW w:w="909" w:type="dxa"/>
            <w:vAlign w:val="center"/>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37921</w:t>
            </w:r>
          </w:p>
        </w:tc>
        <w:tc>
          <w:tcPr>
            <w:tcW w:w="1044" w:type="dxa"/>
            <w:vAlign w:val="center"/>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26190</w:t>
            </w:r>
          </w:p>
        </w:tc>
        <w:tc>
          <w:tcPr>
            <w:tcW w:w="1044"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w:t>
            </w:r>
            <w:r>
              <w:rPr>
                <w:rFonts w:asciiTheme="minorEastAsia" w:hAnsiTheme="minorEastAsia" w:eastAsiaTheme="minorEastAsia"/>
                <w:sz w:val="18"/>
                <w:szCs w:val="18"/>
              </w:rPr>
              <w:t>251</w:t>
            </w:r>
          </w:p>
        </w:tc>
        <w:tc>
          <w:tcPr>
            <w:tcW w:w="1197" w:type="dxa"/>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5015</w:t>
            </w:r>
          </w:p>
        </w:tc>
        <w:tc>
          <w:tcPr>
            <w:tcW w:w="992" w:type="dxa"/>
            <w:vAlign w:val="center"/>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28000</w:t>
            </w:r>
          </w:p>
        </w:tc>
      </w:tr>
      <w:bookmarkEnd w:id="4"/>
    </w:tbl>
    <w:p>
      <w:pPr>
        <w:spacing w:before="163" w:beforeLines="50" w:line="240" w:lineRule="auto"/>
        <w:ind w:firstLine="0" w:firstLineChars="0"/>
        <w:rPr>
          <w:rFonts w:asciiTheme="minorEastAsia" w:hAnsiTheme="minorEastAsia"/>
          <w:sz w:val="21"/>
          <w:szCs w:val="21"/>
        </w:rPr>
      </w:pPr>
      <w:bookmarkStart w:id="5" w:name="_Hlk175235371"/>
      <w:r>
        <w:rPr>
          <w:rFonts w:hint="eastAsia" w:asciiTheme="minorEastAsia" w:hAnsiTheme="minorEastAsia"/>
          <w:sz w:val="21"/>
          <w:szCs w:val="21"/>
        </w:rPr>
        <w:t>注解：数据由各乡镇提供，统计口径为2023年。</w:t>
      </w:r>
      <w:bookmarkEnd w:id="5"/>
    </w:p>
    <w:p>
      <w:pPr>
        <w:pStyle w:val="3"/>
        <w:spacing w:before="163" w:beforeLines="50" w:after="0"/>
      </w:pPr>
      <w:bookmarkStart w:id="6" w:name="_Toc176455992"/>
      <w:r>
        <w:rPr>
          <w:rFonts w:hint="eastAsia"/>
        </w:rPr>
        <w:t>二、</w:t>
      </w:r>
      <w:bookmarkEnd w:id="3"/>
      <w:r>
        <w:rPr>
          <w:rFonts w:hint="eastAsia"/>
        </w:rPr>
        <w:t>风景名胜区现状问题与发展分析</w:t>
      </w:r>
      <w:bookmarkEnd w:id="6"/>
    </w:p>
    <w:p>
      <w:pPr>
        <w:pStyle w:val="4"/>
        <w:spacing w:before="163"/>
        <w:ind w:firstLine="360"/>
      </w:pPr>
      <w:r>
        <w:rPr>
          <w:rFonts w:hint="eastAsia"/>
        </w:rPr>
        <w:t>（一）现状问题</w:t>
      </w:r>
    </w:p>
    <w:p>
      <w:pPr>
        <w:spacing w:before="97" w:beforeLines="30"/>
        <w:ind w:firstLine="482"/>
        <w:rPr>
          <w:rFonts w:cs="宋体"/>
          <w:b/>
        </w:rPr>
      </w:pPr>
      <w:r>
        <w:rPr>
          <w:rFonts w:hint="eastAsia" w:cs="宋体"/>
          <w:b/>
        </w:rPr>
        <w:t>1、面积范围广——风景保护与文成社会经济发展的矛盾问题</w:t>
      </w:r>
    </w:p>
    <w:p>
      <w:pPr>
        <w:spacing w:before="97" w:beforeLines="30"/>
        <w:ind w:firstLine="480"/>
        <w:rPr>
          <w:rFonts w:cs="宋体"/>
        </w:rPr>
      </w:pPr>
      <w:r>
        <w:rPr>
          <w:rFonts w:hint="eastAsia" w:cs="宋体"/>
        </w:rPr>
        <w:t>自2004年被列为国家级风景名胜区，总规编制历经三次重大修改却一直未获国务院审批通过，</w:t>
      </w:r>
      <w:r>
        <w:rPr>
          <w:rFonts w:hint="eastAsia" w:cs="宋体"/>
          <w:color w:val="000000"/>
        </w:rPr>
        <w:t>究其原因，主要</w:t>
      </w:r>
      <w:r>
        <w:rPr>
          <w:rFonts w:hint="eastAsia" w:cs="宋体"/>
        </w:rPr>
        <w:t>在于风景区的保护和管理要求一方面涉及文成县近一半国土面积的居民社会生产生活，另一方面也对文成县支柱产业旅游业的快速发展产生一定的制约。对于</w:t>
      </w:r>
      <w:r>
        <w:rPr>
          <w:rFonts w:hint="eastAsia" w:ascii="宋体" w:hAnsi="宋体"/>
          <w:szCs w:val="21"/>
        </w:rPr>
        <w:t>“八山一水一分田”的</w:t>
      </w:r>
      <w:r>
        <w:rPr>
          <w:rFonts w:hint="eastAsia" w:cs="宋体"/>
        </w:rPr>
        <w:t>文成县，建设用地非常有限，如何在保护好风景资源的前提下，为居民社会和产业经济的发展预留弹性空间是现实面临的最大难题。</w:t>
      </w:r>
    </w:p>
    <w:p>
      <w:pPr>
        <w:spacing w:before="97" w:beforeLines="30"/>
        <w:ind w:firstLine="482"/>
        <w:rPr>
          <w:rFonts w:cs="宋体"/>
          <w:b/>
        </w:rPr>
      </w:pPr>
      <w:r>
        <w:rPr>
          <w:rFonts w:hint="eastAsia" w:cs="宋体"/>
          <w:b/>
        </w:rPr>
        <w:t>2、景区分布散——区位及交通对风景区发展的制约问题</w:t>
      </w:r>
    </w:p>
    <w:p>
      <w:pPr>
        <w:spacing w:before="97" w:beforeLines="30"/>
        <w:ind w:firstLine="480"/>
        <w:rPr>
          <w:rFonts w:cs="宋体"/>
        </w:rPr>
      </w:pPr>
      <w:r>
        <w:rPr>
          <w:rFonts w:hint="eastAsia" w:cs="宋体"/>
        </w:rPr>
        <w:t>百丈漈—飞云湖风景名胜区现状风景资源集中分布于百丈飞瀑、朱阳九峰、飞云湖、岩门大峡谷、伯温故里、龙麒源等空间范围内，已初步形成了3大片区和八大景区，但各景区分散、且相对独立，加上县内多山地环境，道路狭窄、多弯，通行能力不高，景区之间、景城之间游赏组织未成体系。</w:t>
      </w:r>
    </w:p>
    <w:p>
      <w:pPr>
        <w:spacing w:before="97" w:beforeLines="30"/>
        <w:ind w:firstLine="482"/>
        <w:rPr>
          <w:rFonts w:cs="宋体"/>
          <w:b/>
        </w:rPr>
      </w:pPr>
      <w:r>
        <w:rPr>
          <w:rFonts w:hint="eastAsia" w:cs="宋体"/>
          <w:b/>
        </w:rPr>
        <w:t>3、配套设施缺——旅游设施对风景区发展的制约问题</w:t>
      </w:r>
    </w:p>
    <w:p>
      <w:pPr>
        <w:spacing w:before="97" w:beforeLines="30"/>
        <w:ind w:firstLine="480"/>
        <w:rPr>
          <w:rFonts w:cs="宋体"/>
        </w:rPr>
      </w:pPr>
      <w:r>
        <w:rPr>
          <w:rFonts w:hint="eastAsia" w:cs="宋体"/>
        </w:rPr>
        <w:t>随着天湖旅游度假区的建设，千禧、开元芳草地、希尔顿、雷迪森等高等级酒店开业运营，文成县旅游接待能力及水平有所提升，但仍然面临着配套设施地域分布不均衡、设施不健全等问题。一方面部分景区基础设施的更新不及时，另一方面景区的开发建设和维护无力，游客量十分有限。如朱阳九峰景区，自2006年因运营资金缺乏关闭；双龙景区因基础设施的损毁，也处于荒废状态。</w:t>
      </w:r>
    </w:p>
    <w:p>
      <w:pPr>
        <w:spacing w:before="97" w:beforeLines="30"/>
        <w:ind w:firstLine="482"/>
        <w:rPr>
          <w:rFonts w:cs="宋体"/>
          <w:b/>
        </w:rPr>
      </w:pPr>
      <w:r>
        <w:rPr>
          <w:rFonts w:hint="eastAsia" w:cs="宋体"/>
          <w:b/>
        </w:rPr>
        <w:t>4、居民社会密——景村交错，景村协调问题</w:t>
      </w:r>
    </w:p>
    <w:p>
      <w:pPr>
        <w:spacing w:before="97" w:beforeLines="30"/>
        <w:ind w:firstLine="480"/>
        <w:rPr>
          <w:rFonts w:cs="宋体"/>
        </w:rPr>
      </w:pPr>
      <w:r>
        <w:rPr>
          <w:rFonts w:hint="eastAsia" w:cs="宋体"/>
        </w:rPr>
        <w:t>风景区涉及</w:t>
      </w:r>
      <w:r>
        <w:t>10大乡镇、66个</w:t>
      </w:r>
      <w:r>
        <w:rPr>
          <w:rFonts w:hint="eastAsia" w:asciiTheme="minorEastAsia" w:hAnsiTheme="minorEastAsia"/>
        </w:rPr>
        <w:t>行政村，尤其是</w:t>
      </w:r>
      <w:r>
        <w:rPr>
          <w:rFonts w:hint="eastAsia" w:cs="宋体"/>
        </w:rPr>
        <w:t>与铜铃山镇区、南田镇区、百丈漈镇区的空间联系紧密且相互交错。如何平衡保护与发展的矛盾，协调景村发展，实现景城融合，是本次规划的重点也是难点。此外，在城景过渡地带对风景资源的保护和城镇建设用地的布局以及建设风貌十分敏感，需进行约束和引导。</w:t>
      </w:r>
    </w:p>
    <w:p>
      <w:pPr>
        <w:pStyle w:val="4"/>
        <w:spacing w:before="163"/>
        <w:ind w:firstLine="360"/>
      </w:pPr>
      <w:r>
        <w:rPr>
          <w:rFonts w:hint="eastAsia"/>
        </w:rPr>
        <w:t>（二）发展分析</w:t>
      </w:r>
    </w:p>
    <w:p>
      <w:pPr>
        <w:spacing w:before="97" w:beforeLines="30"/>
        <w:ind w:firstLine="482"/>
        <w:rPr>
          <w:rFonts w:cs="宋体"/>
          <w:b/>
        </w:rPr>
      </w:pPr>
      <w:r>
        <w:rPr>
          <w:rFonts w:hint="eastAsia" w:cs="宋体"/>
          <w:b/>
        </w:rPr>
        <w:t>1、建成以风景名胜区为特色的文成自然保护地体系</w:t>
      </w:r>
    </w:p>
    <w:p>
      <w:pPr>
        <w:spacing w:before="97" w:beforeLines="30"/>
        <w:ind w:firstLine="480"/>
        <w:rPr>
          <w:rFonts w:cs="宋体"/>
        </w:rPr>
      </w:pPr>
      <w:r>
        <w:rPr>
          <w:rFonts w:hint="eastAsia" w:cs="宋体"/>
        </w:rPr>
        <w:t>随着自然保护地整合优化工作的基本完成，文成县建成了以风景名胜区为特色的自然保护地体系。在此背景下，百丈漈—飞云湖风景名胜区的保护发展和建设管理将迎来新的方向。这对于重新定位和认识风景区的性质和保护要求、实施和管理风景区影响深远。</w:t>
      </w:r>
    </w:p>
    <w:p>
      <w:pPr>
        <w:spacing w:before="97" w:beforeLines="30"/>
        <w:ind w:firstLine="482"/>
        <w:rPr>
          <w:rFonts w:cs="宋体"/>
          <w:b/>
        </w:rPr>
      </w:pPr>
      <w:r>
        <w:rPr>
          <w:rFonts w:hint="eastAsia" w:cs="宋体"/>
          <w:b/>
        </w:rPr>
        <w:t>2、创建浙江省“大花园”“大通道”建设典型示范</w:t>
      </w:r>
    </w:p>
    <w:p>
      <w:pPr>
        <w:spacing w:before="97" w:beforeLines="30"/>
        <w:ind w:firstLine="480"/>
        <w:rPr>
          <w:rFonts w:cs="宋体"/>
          <w:highlight w:val="green"/>
        </w:rPr>
      </w:pPr>
      <w:r>
        <w:rPr>
          <w:rFonts w:hint="eastAsia" w:cs="宋体"/>
        </w:rPr>
        <w:t>文成最大的优势在生态。随着我省“大通道”建设工作的不断推进，文成即将迎来高速高铁时代。在这个过程中如何做到“大花园”建设典型示范？这需要文成县擦亮生态环境这张“金名片”，要准确把握习近平生态文明思想的深刻内涵，积极践行“绿水青山就是金山银山”发展理念，科学处理好风景名胜区的保护与发展关系，使山水与城乡融为一体、自然与文化相得益彰。这也是实现绿色高质量发展的主要载体，是实施“宜游宜居生态县”总战略的有效途径。</w:t>
      </w:r>
    </w:p>
    <w:p>
      <w:pPr>
        <w:spacing w:before="97" w:beforeLines="30"/>
        <w:ind w:firstLine="482"/>
        <w:rPr>
          <w:rFonts w:cs="宋体"/>
          <w:b/>
        </w:rPr>
      </w:pPr>
      <w:r>
        <w:rPr>
          <w:rFonts w:hint="eastAsia" w:cs="宋体"/>
          <w:b/>
        </w:rPr>
        <w:t>3、打造文成国际高山休闲度假旅游目的地、实现“三美文成”目标</w:t>
      </w:r>
    </w:p>
    <w:p>
      <w:pPr>
        <w:spacing w:before="97" w:beforeLines="30"/>
        <w:ind w:firstLine="480"/>
        <w:rPr>
          <w:rFonts w:cs="宋体"/>
        </w:rPr>
      </w:pPr>
      <w:r>
        <w:rPr>
          <w:rFonts w:hint="eastAsia" w:cs="宋体"/>
        </w:rPr>
        <w:t>旅游业是文成经济的第一支柱产业。近年来，文成大力发展文化休闲度假旅游产品，重点提升山水休闲度假旅游产品，建设集文化体验、山水休闲、养生度假、户外运动等功能于一体的具有国际水准、地域特色的浙江最佳休闲度假旅游目的地。未来，依托风景名胜区的品牌资源和生态环境优势，文成县委县政府明确继续围绕“美丽经济、美丽家园、美好生活”三大愿景，以“生态产业化、全域旅游化、城乡一体化”为主线，努力把文成打造成为全国知名的全域旅游示范区、国际旅游目的地和温州迈入全面小康社会标杆城市的山水理想家园。</w:t>
      </w:r>
    </w:p>
    <w:p>
      <w:pPr>
        <w:pStyle w:val="2"/>
        <w:spacing w:before="97"/>
      </w:pPr>
      <w:r>
        <w:br w:type="page"/>
      </w:r>
      <w:bookmarkStart w:id="7" w:name="_Toc176455993"/>
      <w:r>
        <w:rPr>
          <w:rFonts w:hint="eastAsia"/>
        </w:rPr>
        <w:t>第一章 关于规划总则的说明</w:t>
      </w:r>
      <w:bookmarkEnd w:id="7"/>
    </w:p>
    <w:p>
      <w:pPr>
        <w:pStyle w:val="3"/>
        <w:spacing w:before="326"/>
      </w:pPr>
      <w:bookmarkStart w:id="8" w:name="_Toc422145590"/>
      <w:bookmarkEnd w:id="8"/>
      <w:bookmarkStart w:id="9" w:name="_Toc415215437"/>
      <w:bookmarkEnd w:id="9"/>
      <w:bookmarkStart w:id="10" w:name="_Toc422145562"/>
      <w:bookmarkEnd w:id="10"/>
      <w:bookmarkStart w:id="11" w:name="_Toc422146846"/>
      <w:bookmarkEnd w:id="11"/>
      <w:bookmarkStart w:id="12" w:name="_Toc415214433"/>
      <w:bookmarkEnd w:id="12"/>
      <w:bookmarkStart w:id="13" w:name="_Toc415058669"/>
      <w:bookmarkEnd w:id="13"/>
      <w:bookmarkStart w:id="14" w:name="_Toc176455994"/>
      <w:bookmarkStart w:id="15" w:name="_Toc426579244"/>
      <w:r>
        <w:rPr>
          <w:rFonts w:hint="eastAsia"/>
        </w:rPr>
        <w:t>一、规划范围与面积</w:t>
      </w:r>
      <w:bookmarkEnd w:id="14"/>
      <w:bookmarkEnd w:id="15"/>
    </w:p>
    <w:p>
      <w:pPr>
        <w:pStyle w:val="4"/>
        <w:spacing w:before="163"/>
        <w:ind w:firstLine="360"/>
      </w:pPr>
      <w:r>
        <w:rPr>
          <w:rFonts w:hint="eastAsia"/>
        </w:rPr>
        <w:t>（一）风景名胜区范围及面积</w:t>
      </w:r>
    </w:p>
    <w:p>
      <w:pPr>
        <w:spacing w:before="97" w:beforeLines="30"/>
        <w:ind w:firstLine="480"/>
        <w:rPr>
          <w:rFonts w:cs="宋体"/>
        </w:rPr>
      </w:pPr>
      <w:r>
        <w:rPr>
          <w:rFonts w:hint="eastAsia" w:cs="宋体"/>
        </w:rPr>
        <w:t>本次规划百丈漈—飞云湖风景名胜区总面积约53</w:t>
      </w:r>
      <w:r>
        <w:rPr>
          <w:rFonts w:cs="宋体"/>
        </w:rPr>
        <w:t>1.8</w:t>
      </w:r>
      <w:r>
        <w:rPr>
          <w:rFonts w:hint="eastAsia" w:cs="宋体"/>
        </w:rPr>
        <w:t>平方公里，分为百丈漈、铜铃山、飞云湖三大片区</w:t>
      </w:r>
      <w:r>
        <w:rPr>
          <w:rFonts w:hint="eastAsia"/>
        </w:rPr>
        <w:t>，约占文成县域面积的</w:t>
      </w:r>
      <w:r>
        <w:t>41%</w:t>
      </w:r>
      <w:r>
        <w:rPr>
          <w:rFonts w:hint="eastAsia" w:cs="宋体"/>
        </w:rPr>
        <w:t>。</w:t>
      </w:r>
      <w:r>
        <w:rPr>
          <w:rFonts w:hint="eastAsia"/>
        </w:rPr>
        <w:t>风景区范围北、西至文成县域行政边界，南至山华林场、桂山乡行政边界，东至玉壶镇金岩村，形成文成县北、西、南三侧的生态屏障带，地理坐标介于东经1</w:t>
      </w:r>
      <w:r>
        <w:t>19</w:t>
      </w:r>
      <w:r>
        <w:rPr>
          <w:rFonts w:hint="eastAsia"/>
        </w:rPr>
        <w:t>°</w:t>
      </w:r>
      <w:r>
        <w:t>46</w:t>
      </w:r>
      <w:r>
        <w:rPr>
          <w:rFonts w:hint="eastAsia"/>
        </w:rPr>
        <w:t>′</w:t>
      </w:r>
      <w:r>
        <w:t>48</w:t>
      </w:r>
      <w:r>
        <w:rPr>
          <w:rFonts w:hint="eastAsia"/>
        </w:rPr>
        <w:t>″—1</w:t>
      </w:r>
      <w:r>
        <w:t>20</w:t>
      </w:r>
      <w:r>
        <w:rPr>
          <w:rFonts w:hint="eastAsia"/>
        </w:rPr>
        <w:t>°</w:t>
      </w:r>
      <w:r>
        <w:t>11</w:t>
      </w:r>
      <w:r>
        <w:rPr>
          <w:rFonts w:hint="eastAsia"/>
        </w:rPr>
        <w:t>′</w:t>
      </w:r>
      <w:r>
        <w:t>43</w:t>
      </w:r>
      <w:r>
        <w:rPr>
          <w:rFonts w:hint="eastAsia"/>
        </w:rPr>
        <w:t>″，北纬2</w:t>
      </w:r>
      <w:r>
        <w:t>7</w:t>
      </w:r>
      <w:r>
        <w:rPr>
          <w:rFonts w:hint="eastAsia"/>
        </w:rPr>
        <w:t>°</w:t>
      </w:r>
      <w:r>
        <w:t>35</w:t>
      </w:r>
      <w:r>
        <w:rPr>
          <w:rFonts w:hint="eastAsia"/>
        </w:rPr>
        <w:t>′</w:t>
      </w:r>
      <w:r>
        <w:t>34</w:t>
      </w:r>
      <w:r>
        <w:rPr>
          <w:rFonts w:hint="eastAsia"/>
        </w:rPr>
        <w:t>″—2</w:t>
      </w:r>
      <w:r>
        <w:t>7</w:t>
      </w:r>
      <w:r>
        <w:rPr>
          <w:rFonts w:hint="eastAsia"/>
        </w:rPr>
        <w:t>°5</w:t>
      </w:r>
      <w:r>
        <w:t>9</w:t>
      </w:r>
      <w:r>
        <w:rPr>
          <w:rFonts w:hint="eastAsia"/>
        </w:rPr>
        <w:t>′</w:t>
      </w:r>
      <w:r>
        <w:t>16</w:t>
      </w:r>
      <w:r>
        <w:rPr>
          <w:rFonts w:hint="eastAsia"/>
        </w:rPr>
        <w:t>″之间</w:t>
      </w:r>
      <w:r>
        <w:rPr>
          <w:rFonts w:hint="eastAsia" w:cs="宋体"/>
        </w:rPr>
        <w:t>。</w:t>
      </w:r>
    </w:p>
    <w:p>
      <w:pPr>
        <w:pStyle w:val="4"/>
        <w:spacing w:before="163"/>
        <w:ind w:firstLine="360"/>
      </w:pPr>
      <w:r>
        <w:rPr>
          <w:rFonts w:hint="eastAsia"/>
        </w:rPr>
        <w:t>（二）核心景区范围及面积</w:t>
      </w:r>
    </w:p>
    <w:p>
      <w:pPr>
        <w:spacing w:before="97" w:beforeLines="30"/>
        <w:ind w:firstLine="480"/>
      </w:pPr>
      <w:r>
        <w:rPr>
          <w:rFonts w:hint="eastAsia" w:cs="宋体"/>
        </w:rPr>
        <w:t>本次规划百丈漈—飞云湖风景名胜区核心景区面积约</w:t>
      </w:r>
      <w:r>
        <w:rPr>
          <w:rFonts w:hint="eastAsia"/>
        </w:rPr>
        <w:t>9</w:t>
      </w:r>
      <w:r>
        <w:t>1.0</w:t>
      </w:r>
      <w:r>
        <w:rPr>
          <w:rFonts w:hint="eastAsia" w:cs="宋体"/>
        </w:rPr>
        <w:t>平方公里，占风景名胜区总面积17.</w:t>
      </w:r>
      <w:r>
        <w:rPr>
          <w:rFonts w:cs="宋体"/>
        </w:rPr>
        <w:t>1%</w:t>
      </w:r>
      <w:r>
        <w:rPr>
          <w:rFonts w:hint="eastAsia" w:cs="宋体"/>
        </w:rPr>
        <w:t>。核心景区为一级保护区范围，具体包括朱阳九峰景区（2.8平方公里），百丈飞瀑景区（2.6平方公里），龙麒源景区（3.</w:t>
      </w:r>
      <w:r>
        <w:rPr>
          <w:rFonts w:cs="宋体"/>
        </w:rPr>
        <w:t>1</w:t>
      </w:r>
      <w:r>
        <w:rPr>
          <w:rFonts w:hint="eastAsia" w:cs="宋体"/>
        </w:rPr>
        <w:t>平方公里），石垟（27.5平方公里），飞云湖和岩门大峡谷景区（5</w:t>
      </w:r>
      <w:r>
        <w:rPr>
          <w:rFonts w:cs="宋体"/>
        </w:rPr>
        <w:t>5.0</w:t>
      </w:r>
      <w:r>
        <w:rPr>
          <w:rFonts w:hint="eastAsia" w:cs="宋体"/>
        </w:rPr>
        <w:t>平方公里）。</w:t>
      </w:r>
    </w:p>
    <w:p>
      <w:pPr>
        <w:pStyle w:val="3"/>
        <w:spacing w:before="326"/>
      </w:pPr>
      <w:bookmarkStart w:id="16" w:name="_Toc426579245"/>
      <w:bookmarkStart w:id="17" w:name="_Toc176455995"/>
      <w:r>
        <w:rPr>
          <w:rFonts w:hint="eastAsia"/>
        </w:rPr>
        <w:t>二、风景名胜区性质与资源特色</w:t>
      </w:r>
      <w:bookmarkEnd w:id="16"/>
      <w:bookmarkEnd w:id="17"/>
    </w:p>
    <w:p>
      <w:pPr>
        <w:pStyle w:val="4"/>
        <w:spacing w:before="163"/>
        <w:ind w:firstLine="360"/>
      </w:pPr>
      <w:r>
        <w:rPr>
          <w:rFonts w:hint="eastAsia"/>
        </w:rPr>
        <w:t>（一）风景名胜区性质</w:t>
      </w:r>
    </w:p>
    <w:p>
      <w:pPr>
        <w:spacing w:before="97" w:beforeLines="30"/>
        <w:ind w:firstLine="480"/>
        <w:rPr>
          <w:rFonts w:cs="宋体"/>
        </w:rPr>
      </w:pPr>
      <w:r>
        <w:rPr>
          <w:rFonts w:hint="eastAsia" w:cs="宋体"/>
        </w:rPr>
        <w:t>根据百丈漈—飞云湖风景名胜区的资源特色和发展定位，确定其性质为：</w:t>
      </w:r>
    </w:p>
    <w:p>
      <w:pPr>
        <w:spacing w:before="97" w:beforeLines="30"/>
        <w:ind w:firstLine="482"/>
        <w:rPr>
          <w:rFonts w:cs="宋体"/>
          <w:b/>
        </w:rPr>
      </w:pPr>
      <w:r>
        <w:rPr>
          <w:rFonts w:hint="eastAsia" w:cs="宋体"/>
          <w:b/>
        </w:rPr>
        <w:t>百丈漈—飞云湖风景名胜区</w:t>
      </w:r>
      <w:r>
        <w:rPr>
          <w:rFonts w:hint="eastAsia" w:ascii="宋体" w:hAnsi="宋体"/>
          <w:b/>
          <w:szCs w:val="21"/>
        </w:rPr>
        <w:t>集水光山色之大成、融自然人文于一体，</w:t>
      </w:r>
      <w:r>
        <w:rPr>
          <w:rFonts w:hint="eastAsia" w:cs="宋体"/>
          <w:b/>
        </w:rPr>
        <w:t>是以云湖飞瀑、幽谷奇峰、伯温故里、生物多样为主要资源特色，以生态保育、风景游赏、文化体验、休闲度假、科考探险为主要功能的国家级风景名胜区。</w:t>
      </w:r>
    </w:p>
    <w:p>
      <w:pPr>
        <w:pStyle w:val="4"/>
        <w:spacing w:before="163"/>
        <w:ind w:firstLine="360"/>
      </w:pPr>
      <w:r>
        <w:rPr>
          <w:rFonts w:hint="eastAsia"/>
        </w:rPr>
        <w:t>（二）风景名胜资源特征</w:t>
      </w:r>
    </w:p>
    <w:p>
      <w:pPr>
        <w:spacing w:before="97" w:beforeLines="30"/>
        <w:ind w:firstLine="480"/>
        <w:rPr>
          <w:rFonts w:cs="宋体"/>
        </w:rPr>
      </w:pPr>
      <w:r>
        <w:rPr>
          <w:rFonts w:hint="eastAsia" w:ascii="宋体" w:hAnsi="宋体"/>
          <w:szCs w:val="21"/>
        </w:rPr>
        <w:t>文成县以明开国帝师刘基谥号命名，素以“江南天府”、“浙南庐山”闻名天下。百丈漈－飞云湖风景名胜区内瀑高、林深、湖秀、洞幽、崖险、峰雄、滩奇、石怪，向世人展示了其独特魅力。</w:t>
      </w:r>
      <w:r>
        <w:rPr>
          <w:rFonts w:hint="eastAsia" w:cs="宋体"/>
        </w:rPr>
        <w:t>资源特色可用十六个字概括：云湖飞瀑、幽谷奇峰、伯温故里、生物多样。</w:t>
      </w:r>
    </w:p>
    <w:p>
      <w:pPr>
        <w:spacing w:before="97" w:beforeLines="30"/>
        <w:ind w:firstLine="482"/>
        <w:rPr>
          <w:rFonts w:cs="宋体"/>
          <w:b/>
        </w:rPr>
      </w:pPr>
      <w:r>
        <w:rPr>
          <w:rFonts w:cs="宋体"/>
          <w:b/>
        </w:rPr>
        <w:t>1</w:t>
      </w:r>
      <w:r>
        <w:rPr>
          <w:rFonts w:hint="eastAsia" w:cs="宋体"/>
          <w:b/>
        </w:rPr>
        <w:t>、云湖飞瀑</w:t>
      </w:r>
    </w:p>
    <w:p>
      <w:pPr>
        <w:spacing w:before="97" w:beforeLines="30"/>
        <w:ind w:firstLine="480"/>
        <w:rPr>
          <w:rFonts w:cs="宋体"/>
        </w:rPr>
      </w:pPr>
      <w:r>
        <w:rPr>
          <w:rFonts w:hint="eastAsia" w:cs="宋体"/>
        </w:rPr>
        <w:t>百丈漈—飞云湖风景名胜区内水景众多，尤以大湖、高瀑气势磅礴，具有极高的观赏性。瀑布是风景区内丰富的自然景观中最为突出、最具代表性的典型景观。这里的瀑布不仅数量多、规模大、分布广、水量足，且形声各异，足可与名山名瀑媲美而毫不逊色。其中尤以高207米、宽30米的百丈飞瀑最为著名，一条飞瀑分三漈，“一漈百丈高、二漈百丈深、三漈百丈宽”，令人惊叹不已。飞云湖位于飞云江中游，为浙南最大的淡水湖泊，水域面积35.4平方公里，湖湾千处，两面翠被丛生，修竹多姿，险谷奇岩百态，峰峦崎叠，令人叫绝。</w:t>
      </w:r>
    </w:p>
    <w:p>
      <w:pPr>
        <w:spacing w:before="97" w:beforeLines="30"/>
        <w:ind w:firstLine="482"/>
        <w:rPr>
          <w:rFonts w:cs="宋体"/>
          <w:b/>
        </w:rPr>
      </w:pPr>
      <w:r>
        <w:rPr>
          <w:rFonts w:hint="eastAsia" w:cs="宋体"/>
          <w:b/>
        </w:rPr>
        <w:t>2、幽谷奇峰</w:t>
      </w:r>
    </w:p>
    <w:p>
      <w:pPr>
        <w:spacing w:before="97" w:beforeLines="30"/>
        <w:ind w:firstLine="480"/>
        <w:rPr>
          <w:rFonts w:cs="宋体"/>
        </w:rPr>
      </w:pPr>
      <w:r>
        <w:rPr>
          <w:rFonts w:hint="eastAsia" w:cs="宋体"/>
        </w:rPr>
        <w:t>文成多幽深峡谷，而峡谷之间奇峰异石，相映成趣。岩门大峡谷全长约18公里，有神州第一峡之美称，其险、其峻，峰峭林立、古树参天、白石银潭、形状各异、潭碧瀑秀，令人目不暇接。龙麒源景区内的石构景观，也令人称奇；内大如磐石，小至河砾，色彩缤纷；滩石光滑如磨，五颜六色，一年四季，景色各异。朱阳九峰景区九座不同形态的峰岩景观，造型各异、奇趣无穷。</w:t>
      </w:r>
    </w:p>
    <w:p>
      <w:pPr>
        <w:spacing w:before="97" w:beforeLines="30"/>
        <w:ind w:firstLine="482"/>
        <w:rPr>
          <w:rFonts w:cs="宋体"/>
          <w:b/>
        </w:rPr>
      </w:pPr>
      <w:r>
        <w:rPr>
          <w:rFonts w:hint="eastAsia" w:cs="宋体"/>
          <w:b/>
        </w:rPr>
        <w:t>3、伯温故里</w:t>
      </w:r>
    </w:p>
    <w:p>
      <w:pPr>
        <w:spacing w:before="97" w:beforeLines="30"/>
        <w:ind w:firstLine="480"/>
        <w:rPr>
          <w:rFonts w:cs="宋体"/>
        </w:rPr>
      </w:pPr>
      <w:r>
        <w:rPr>
          <w:rFonts w:hint="eastAsia" w:cs="宋体"/>
        </w:rPr>
        <w:t>文成是明代开国元勋刘基（字伯温、谥号文成）的故里，在百丈漈—飞云湖风景名胜区武阳村传统村落内现遗留有刘基故居、武阳书院、</w:t>
      </w:r>
      <w:r>
        <w:rPr>
          <w:rFonts w:hint="eastAsia"/>
        </w:rPr>
        <w:t>故里亭、云来亭、七星落垟、天葬坟、武阳三漈</w:t>
      </w:r>
      <w:r>
        <w:rPr>
          <w:rFonts w:hint="eastAsia" w:cs="宋体"/>
        </w:rPr>
        <w:t>等众多名胜古迹，风景名胜区周边南田镇区西侧保留着刘基庙（墓）是国家级文保单位。文成刘基文化与山水文化、福地文化、畲乡文化、侨乡文化、饮食文化等交互辉映，为百丈漈—飞云湖风景名胜区留下不少遗迹、墨宝，为山水增辉添色。</w:t>
      </w:r>
    </w:p>
    <w:p>
      <w:pPr>
        <w:spacing w:before="97" w:beforeLines="30"/>
        <w:ind w:firstLine="482"/>
        <w:rPr>
          <w:rFonts w:cs="宋体"/>
          <w:b/>
        </w:rPr>
      </w:pPr>
      <w:r>
        <w:rPr>
          <w:rFonts w:hint="eastAsia" w:cs="宋体"/>
          <w:b/>
        </w:rPr>
        <w:t>4、生物多样</w:t>
      </w:r>
    </w:p>
    <w:p>
      <w:pPr>
        <w:spacing w:before="97" w:beforeLines="30"/>
        <w:ind w:firstLine="480"/>
        <w:rPr>
          <w:rFonts w:cs="宋体"/>
        </w:rPr>
      </w:pPr>
      <w:r>
        <w:rPr>
          <w:rFonts w:hint="eastAsia" w:cs="宋体"/>
        </w:rPr>
        <w:t>百丈漈—飞云湖风景名胜区内植物种类繁多，植被丰富、区系复杂，森林覆盖率超过80%。区内整合了原黄鹿山、石垟、金珠、牛栏湾4个省级森林公园，基本覆盖了石垟、金朱、山华等国有林场的大部分区域。区内共有木本植物约99科757种，其中国家保护珍稀树种19种，古树名木</w:t>
      </w:r>
      <w:r>
        <w:rPr>
          <w:rFonts w:cs="宋体"/>
        </w:rPr>
        <w:t>634</w:t>
      </w:r>
      <w:r>
        <w:rPr>
          <w:rFonts w:hint="eastAsia" w:cs="宋体"/>
        </w:rPr>
        <w:t>处；动物资源97科379种，其中国家保护动物20种。是浙南地区重要的野生动植物栖息地。</w:t>
      </w:r>
    </w:p>
    <w:p>
      <w:pPr>
        <w:pStyle w:val="4"/>
        <w:spacing w:before="163"/>
        <w:ind w:firstLine="360"/>
      </w:pPr>
      <w:r>
        <w:rPr>
          <w:rFonts w:hint="eastAsia"/>
        </w:rPr>
        <w:t>（三）风景名胜资源类型与评价</w:t>
      </w:r>
    </w:p>
    <w:p>
      <w:pPr>
        <w:spacing w:before="97" w:beforeLines="30"/>
        <w:ind w:firstLine="480"/>
        <w:rPr>
          <w:rFonts w:cs="宋体"/>
        </w:rPr>
      </w:pPr>
      <w:r>
        <w:rPr>
          <w:rFonts w:hint="eastAsia" w:cs="宋体"/>
        </w:rPr>
        <w:t>规划对风景资源进行了详细调查和整理（详见《百丈漈—飞云湖风景名胜资源普查报告》），以现状景观景物为基础，按利用资源的方式和空间主题的差异，以及景观景物的关联性和完整度进行归并，共形成</w:t>
      </w:r>
      <w:r>
        <w:rPr>
          <w:rFonts w:cs="宋体"/>
        </w:rPr>
        <w:t>136</w:t>
      </w:r>
      <w:r>
        <w:rPr>
          <w:rFonts w:hint="eastAsia" w:cs="宋体"/>
        </w:rPr>
        <w:t>个景源，涉及自然景源和人文景源</w:t>
      </w:r>
      <w:r>
        <w:rPr>
          <w:rFonts w:cs="宋体"/>
        </w:rPr>
        <w:t>2</w:t>
      </w:r>
      <w:r>
        <w:rPr>
          <w:rFonts w:hint="eastAsia" w:cs="宋体"/>
        </w:rPr>
        <w:t>大类，天景、地景、水景、生景、建筑、胜迹等</w:t>
      </w:r>
      <w:r>
        <w:rPr>
          <w:rFonts w:cs="宋体"/>
        </w:rPr>
        <w:t>6</w:t>
      </w:r>
      <w:r>
        <w:rPr>
          <w:rFonts w:hint="eastAsia" w:cs="宋体"/>
        </w:rPr>
        <w:t>中类。</w:t>
      </w:r>
    </w:p>
    <w:p>
      <w:pPr>
        <w:ind w:firstLine="0" w:firstLineChars="0"/>
        <w:jc w:val="center"/>
        <w:rPr>
          <w:rFonts w:ascii="Calibri" w:hAnsi="Calibri"/>
          <w:b/>
          <w:sz w:val="21"/>
          <w:szCs w:val="22"/>
        </w:rPr>
      </w:pPr>
      <w:r>
        <w:rPr>
          <w:rFonts w:hint="eastAsia" w:ascii="Calibri" w:hAnsi="Calibri"/>
          <w:b/>
          <w:sz w:val="21"/>
          <w:szCs w:val="22"/>
        </w:rPr>
        <w:t>表2</w:t>
      </w:r>
      <w:r>
        <w:rPr>
          <w:rFonts w:ascii="Calibri" w:hAnsi="Calibri"/>
          <w:b/>
          <w:sz w:val="21"/>
          <w:szCs w:val="22"/>
        </w:rPr>
        <w:t xml:space="preserve">-1 </w:t>
      </w:r>
      <w:r>
        <w:rPr>
          <w:rFonts w:hint="eastAsia" w:ascii="Calibri" w:hAnsi="Calibri"/>
          <w:b/>
          <w:sz w:val="21"/>
          <w:szCs w:val="22"/>
        </w:rPr>
        <w:t>景源分类统计表</w:t>
      </w:r>
    </w:p>
    <w:tbl>
      <w:tblPr>
        <w:tblStyle w:val="42"/>
        <w:tblW w:w="835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
        <w:gridCol w:w="564"/>
        <w:gridCol w:w="669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tblHeader/>
        </w:trPr>
        <w:tc>
          <w:tcPr>
            <w:tcW w:w="960" w:type="dxa"/>
            <w:gridSpan w:val="2"/>
            <w:shd w:val="clear" w:color="auto" w:fill="E2E2E2"/>
            <w:vAlign w:val="center"/>
          </w:tcPr>
          <w:p>
            <w:pPr>
              <w:snapToGrid w:val="0"/>
              <w:spacing w:line="240" w:lineRule="auto"/>
              <w:ind w:firstLine="0" w:firstLineChars="0"/>
              <w:jc w:val="center"/>
              <w:rPr>
                <w:rFonts w:ascii="Calibri" w:hAnsi="Calibri"/>
                <w:b/>
                <w:sz w:val="18"/>
                <w:szCs w:val="18"/>
              </w:rPr>
            </w:pPr>
            <w:r>
              <w:rPr>
                <w:rFonts w:hint="eastAsia" w:ascii="Calibri" w:hAnsi="Calibri"/>
                <w:b/>
                <w:sz w:val="18"/>
                <w:szCs w:val="18"/>
              </w:rPr>
              <w:t>景源分类</w:t>
            </w:r>
          </w:p>
        </w:tc>
        <w:tc>
          <w:tcPr>
            <w:tcW w:w="6695" w:type="dxa"/>
            <w:shd w:val="clear" w:color="auto" w:fill="E2E2E2"/>
            <w:vAlign w:val="center"/>
          </w:tcPr>
          <w:p>
            <w:pPr>
              <w:snapToGrid w:val="0"/>
              <w:spacing w:line="240" w:lineRule="auto"/>
              <w:ind w:firstLine="0" w:firstLineChars="0"/>
              <w:jc w:val="center"/>
              <w:rPr>
                <w:rFonts w:ascii="Calibri" w:hAnsi="Calibri"/>
                <w:b/>
                <w:sz w:val="18"/>
                <w:szCs w:val="18"/>
              </w:rPr>
            </w:pPr>
            <w:r>
              <w:rPr>
                <w:rFonts w:hint="eastAsia" w:ascii="Calibri" w:hAnsi="Calibri"/>
                <w:b/>
                <w:sz w:val="18"/>
                <w:szCs w:val="18"/>
              </w:rPr>
              <w:t>景源</w:t>
            </w:r>
          </w:p>
        </w:tc>
        <w:tc>
          <w:tcPr>
            <w:tcW w:w="699" w:type="dxa"/>
            <w:shd w:val="clear" w:color="auto" w:fill="E2E2E2"/>
            <w:vAlign w:val="center"/>
          </w:tcPr>
          <w:p>
            <w:pPr>
              <w:snapToGrid w:val="0"/>
              <w:spacing w:line="240" w:lineRule="auto"/>
              <w:ind w:firstLine="0" w:firstLineChars="0"/>
              <w:jc w:val="center"/>
              <w:rPr>
                <w:rFonts w:ascii="Calibri" w:hAnsi="Calibri"/>
                <w:b/>
                <w:sz w:val="18"/>
                <w:szCs w:val="18"/>
              </w:rPr>
            </w:pPr>
            <w:r>
              <w:rPr>
                <w:rFonts w:hint="eastAsia" w:ascii="Calibri" w:hAnsi="Calibri"/>
                <w:b/>
                <w:sz w:val="18"/>
                <w:szCs w:val="18"/>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396" w:type="dxa"/>
            <w:vMerge w:val="restart"/>
            <w:shd w:val="clear" w:color="auto" w:fill="auto"/>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自</w:t>
            </w:r>
          </w:p>
          <w:p>
            <w:pPr>
              <w:snapToGrid w:val="0"/>
              <w:spacing w:line="240" w:lineRule="auto"/>
              <w:ind w:firstLine="0" w:firstLineChars="0"/>
              <w:rPr>
                <w:rFonts w:ascii="Calibri" w:hAnsi="Calibri"/>
                <w:sz w:val="18"/>
                <w:szCs w:val="18"/>
              </w:rPr>
            </w:pPr>
            <w:r>
              <w:rPr>
                <w:rFonts w:hint="eastAsia" w:ascii="Calibri" w:hAnsi="Calibri"/>
                <w:sz w:val="18"/>
                <w:szCs w:val="18"/>
              </w:rPr>
              <w:t>然</w:t>
            </w:r>
          </w:p>
          <w:p>
            <w:pPr>
              <w:snapToGrid w:val="0"/>
              <w:spacing w:line="240" w:lineRule="auto"/>
              <w:ind w:firstLine="0" w:firstLineChars="0"/>
              <w:rPr>
                <w:rFonts w:ascii="Calibri" w:hAnsi="Calibri"/>
                <w:sz w:val="18"/>
                <w:szCs w:val="18"/>
              </w:rPr>
            </w:pPr>
            <w:r>
              <w:rPr>
                <w:rFonts w:hint="eastAsia" w:ascii="Calibri" w:hAnsi="Calibri"/>
                <w:sz w:val="18"/>
                <w:szCs w:val="18"/>
              </w:rPr>
              <w:t>景</w:t>
            </w:r>
          </w:p>
          <w:p>
            <w:pPr>
              <w:snapToGrid w:val="0"/>
              <w:spacing w:line="240" w:lineRule="auto"/>
              <w:ind w:firstLine="0" w:firstLineChars="0"/>
              <w:rPr>
                <w:rFonts w:ascii="Calibri" w:hAnsi="Calibri"/>
                <w:sz w:val="18"/>
                <w:szCs w:val="18"/>
              </w:rPr>
            </w:pPr>
            <w:r>
              <w:rPr>
                <w:rFonts w:hint="eastAsia" w:ascii="Calibri" w:hAnsi="Calibri"/>
                <w:sz w:val="18"/>
                <w:szCs w:val="18"/>
              </w:rPr>
              <w:t>源</w:t>
            </w:r>
          </w:p>
        </w:tc>
        <w:tc>
          <w:tcPr>
            <w:tcW w:w="564" w:type="dxa"/>
            <w:shd w:val="clear" w:color="auto" w:fill="auto"/>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天景</w:t>
            </w:r>
          </w:p>
        </w:tc>
        <w:tc>
          <w:tcPr>
            <w:tcW w:w="6695" w:type="dxa"/>
            <w:shd w:val="clear" w:color="auto" w:fill="auto"/>
            <w:vAlign w:val="center"/>
          </w:tcPr>
          <w:p>
            <w:pPr>
              <w:snapToGrid w:val="0"/>
              <w:spacing w:line="240" w:lineRule="auto"/>
              <w:ind w:firstLine="0" w:firstLineChars="0"/>
              <w:rPr>
                <w:rFonts w:ascii="Calibri" w:hAnsi="Calibri"/>
                <w:sz w:val="18"/>
                <w:szCs w:val="18"/>
              </w:rPr>
            </w:pPr>
            <w:r>
              <w:rPr>
                <w:rFonts w:ascii="Calibri" w:hAnsi="Calibri"/>
                <w:sz w:val="18"/>
                <w:szCs w:val="18"/>
              </w:rPr>
              <w:t>1</w:t>
            </w:r>
            <w:r>
              <w:rPr>
                <w:rFonts w:hint="eastAsia" w:ascii="Calibri" w:hAnsi="Calibri"/>
                <w:sz w:val="18"/>
                <w:szCs w:val="18"/>
              </w:rPr>
              <w:t>）雾凇沆砀</w:t>
            </w:r>
          </w:p>
        </w:tc>
        <w:tc>
          <w:tcPr>
            <w:tcW w:w="699" w:type="dxa"/>
            <w:shd w:val="clear" w:color="auto" w:fill="auto"/>
            <w:vAlign w:val="center"/>
          </w:tcPr>
          <w:p>
            <w:pPr>
              <w:snapToGrid w:val="0"/>
              <w:spacing w:line="240" w:lineRule="auto"/>
              <w:ind w:firstLine="0" w:firstLineChars="0"/>
              <w:jc w:val="center"/>
              <w:rPr>
                <w:rFonts w:ascii="Calibri" w:hAnsi="Calibri"/>
                <w:sz w:val="18"/>
                <w:szCs w:val="18"/>
              </w:rPr>
            </w:pPr>
            <w:r>
              <w:rPr>
                <w:rFonts w:ascii="Calibri" w:hAnsi="Calibri"/>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5" w:hRule="atLeast"/>
        </w:trPr>
        <w:tc>
          <w:tcPr>
            <w:tcW w:w="396" w:type="dxa"/>
            <w:vMerge w:val="continue"/>
            <w:shd w:val="clear" w:color="auto" w:fill="auto"/>
            <w:vAlign w:val="center"/>
          </w:tcPr>
          <w:p>
            <w:pPr>
              <w:snapToGrid w:val="0"/>
              <w:spacing w:line="240" w:lineRule="auto"/>
              <w:ind w:firstLine="0" w:firstLineChars="0"/>
              <w:rPr>
                <w:rFonts w:ascii="Calibri" w:hAnsi="Calibri"/>
                <w:sz w:val="18"/>
                <w:szCs w:val="18"/>
              </w:rPr>
            </w:pPr>
          </w:p>
        </w:tc>
        <w:tc>
          <w:tcPr>
            <w:tcW w:w="564" w:type="dxa"/>
            <w:shd w:val="clear" w:color="auto" w:fill="auto"/>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地景</w:t>
            </w:r>
          </w:p>
        </w:tc>
        <w:tc>
          <w:tcPr>
            <w:tcW w:w="6695" w:type="dxa"/>
            <w:shd w:val="clear" w:color="auto" w:fill="auto"/>
            <w:vAlign w:val="center"/>
          </w:tcPr>
          <w:p>
            <w:pPr>
              <w:numPr>
                <w:ilvl w:val="255"/>
                <w:numId w:val="0"/>
              </w:numPr>
              <w:snapToGrid w:val="0"/>
              <w:spacing w:line="240" w:lineRule="auto"/>
              <w:rPr>
                <w:rFonts w:ascii="Calibri" w:hAnsi="Calibri"/>
                <w:sz w:val="18"/>
                <w:szCs w:val="18"/>
              </w:rPr>
            </w:pPr>
            <w:r>
              <w:rPr>
                <w:rFonts w:ascii="Calibri" w:hAnsi="Calibri"/>
                <w:sz w:val="18"/>
                <w:szCs w:val="18"/>
              </w:rPr>
              <w:t>1</w:t>
            </w:r>
            <w:r>
              <w:rPr>
                <w:rFonts w:hint="eastAsia" w:ascii="Calibri" w:hAnsi="Calibri"/>
                <w:sz w:val="18"/>
                <w:szCs w:val="18"/>
              </w:rPr>
              <w:t>）杨顶峰、</w:t>
            </w:r>
            <w:r>
              <w:rPr>
                <w:rFonts w:ascii="Calibri" w:hAnsi="Calibri"/>
                <w:sz w:val="18"/>
                <w:szCs w:val="18"/>
              </w:rPr>
              <w:t>2</w:t>
            </w:r>
            <w:r>
              <w:rPr>
                <w:rFonts w:hint="eastAsia" w:ascii="Calibri" w:hAnsi="Calibri"/>
                <w:sz w:val="18"/>
                <w:szCs w:val="18"/>
              </w:rPr>
              <w:t>）猴王谷、</w:t>
            </w:r>
            <w:r>
              <w:rPr>
                <w:rFonts w:ascii="Calibri" w:hAnsi="Calibri"/>
                <w:sz w:val="18"/>
                <w:szCs w:val="18"/>
              </w:rPr>
              <w:t>3</w:t>
            </w:r>
            <w:r>
              <w:rPr>
                <w:rFonts w:hint="eastAsia" w:ascii="Calibri" w:hAnsi="Calibri"/>
                <w:sz w:val="18"/>
                <w:szCs w:val="18"/>
              </w:rPr>
              <w:t>）炉西第一壁、</w:t>
            </w:r>
            <w:r>
              <w:rPr>
                <w:rFonts w:ascii="Calibri" w:hAnsi="Calibri"/>
                <w:sz w:val="18"/>
                <w:szCs w:val="18"/>
              </w:rPr>
              <w:t>4</w:t>
            </w:r>
            <w:r>
              <w:rPr>
                <w:rFonts w:hint="eastAsia" w:ascii="Calibri" w:hAnsi="Calibri"/>
                <w:sz w:val="18"/>
                <w:szCs w:val="18"/>
              </w:rPr>
              <w:t>）歧指峰、</w:t>
            </w:r>
            <w:r>
              <w:rPr>
                <w:rFonts w:ascii="Calibri" w:hAnsi="Calibri"/>
                <w:sz w:val="18"/>
                <w:szCs w:val="18"/>
              </w:rPr>
              <w:t>5</w:t>
            </w:r>
            <w:r>
              <w:rPr>
                <w:rFonts w:hint="eastAsia" w:ascii="Calibri" w:hAnsi="Calibri"/>
                <w:sz w:val="18"/>
                <w:szCs w:val="18"/>
              </w:rPr>
              <w:t>）双屏峰、</w:t>
            </w:r>
            <w:r>
              <w:rPr>
                <w:rFonts w:ascii="Calibri" w:hAnsi="Calibri"/>
                <w:sz w:val="18"/>
                <w:szCs w:val="18"/>
              </w:rPr>
              <w:t>6</w:t>
            </w:r>
            <w:r>
              <w:rPr>
                <w:rFonts w:hint="eastAsia" w:ascii="Calibri" w:hAnsi="Calibri"/>
                <w:sz w:val="18"/>
                <w:szCs w:val="18"/>
              </w:rPr>
              <w:t>）将军峰、</w:t>
            </w:r>
            <w:r>
              <w:rPr>
                <w:rFonts w:ascii="Calibri" w:hAnsi="Calibri"/>
                <w:sz w:val="18"/>
                <w:szCs w:val="18"/>
              </w:rPr>
              <w:t>7</w:t>
            </w:r>
            <w:r>
              <w:rPr>
                <w:rFonts w:hint="eastAsia" w:ascii="Calibri" w:hAnsi="Calibri"/>
                <w:sz w:val="18"/>
                <w:szCs w:val="18"/>
              </w:rPr>
              <w:t>）猴头峰、</w:t>
            </w:r>
            <w:r>
              <w:rPr>
                <w:rFonts w:ascii="Calibri" w:hAnsi="Calibri"/>
                <w:sz w:val="18"/>
                <w:szCs w:val="18"/>
              </w:rPr>
              <w:t>8</w:t>
            </w:r>
            <w:r>
              <w:rPr>
                <w:rFonts w:hint="eastAsia" w:ascii="Calibri" w:hAnsi="Calibri"/>
                <w:sz w:val="18"/>
                <w:szCs w:val="18"/>
              </w:rPr>
              <w:t>）大象峰、</w:t>
            </w:r>
            <w:r>
              <w:rPr>
                <w:rFonts w:ascii="Calibri" w:hAnsi="Calibri"/>
                <w:sz w:val="18"/>
                <w:szCs w:val="18"/>
              </w:rPr>
              <w:t>9</w:t>
            </w:r>
            <w:r>
              <w:rPr>
                <w:rFonts w:hint="eastAsia" w:ascii="Calibri" w:hAnsi="Calibri"/>
                <w:sz w:val="18"/>
                <w:szCs w:val="18"/>
              </w:rPr>
              <w:t>）三尖峰、</w:t>
            </w:r>
            <w:r>
              <w:rPr>
                <w:rFonts w:ascii="Calibri" w:hAnsi="Calibri"/>
                <w:sz w:val="18"/>
                <w:szCs w:val="18"/>
              </w:rPr>
              <w:t>10</w:t>
            </w:r>
            <w:r>
              <w:rPr>
                <w:rFonts w:hint="eastAsia" w:ascii="Calibri" w:hAnsi="Calibri"/>
                <w:sz w:val="18"/>
                <w:szCs w:val="18"/>
              </w:rPr>
              <w:t>）骆驼峰、</w:t>
            </w:r>
            <w:r>
              <w:rPr>
                <w:rFonts w:ascii="Calibri" w:hAnsi="Calibri"/>
                <w:sz w:val="18"/>
                <w:szCs w:val="18"/>
              </w:rPr>
              <w:t>11</w:t>
            </w:r>
            <w:r>
              <w:rPr>
                <w:rFonts w:hint="eastAsia" w:ascii="Calibri" w:hAnsi="Calibri"/>
                <w:sz w:val="18"/>
                <w:szCs w:val="18"/>
              </w:rPr>
              <w:t>）龟山、</w:t>
            </w:r>
            <w:r>
              <w:rPr>
                <w:rFonts w:ascii="Calibri" w:hAnsi="Calibri"/>
                <w:sz w:val="18"/>
                <w:szCs w:val="18"/>
              </w:rPr>
              <w:t>12</w:t>
            </w:r>
            <w:r>
              <w:rPr>
                <w:rFonts w:hint="eastAsia" w:ascii="Calibri" w:hAnsi="Calibri"/>
                <w:sz w:val="18"/>
                <w:szCs w:val="18"/>
              </w:rPr>
              <w:t>）蝙蝠山、</w:t>
            </w:r>
            <w:r>
              <w:rPr>
                <w:rFonts w:ascii="Calibri" w:hAnsi="Calibri"/>
                <w:sz w:val="18"/>
                <w:szCs w:val="18"/>
              </w:rPr>
              <w:t>13</w:t>
            </w:r>
            <w:r>
              <w:rPr>
                <w:rFonts w:hint="eastAsia" w:ascii="Calibri" w:hAnsi="Calibri"/>
                <w:sz w:val="18"/>
                <w:szCs w:val="18"/>
              </w:rPr>
              <w:t>）风洞、</w:t>
            </w:r>
            <w:r>
              <w:rPr>
                <w:rFonts w:ascii="Calibri" w:hAnsi="Calibri"/>
                <w:sz w:val="18"/>
                <w:szCs w:val="18"/>
              </w:rPr>
              <w:t>14</w:t>
            </w:r>
            <w:r>
              <w:rPr>
                <w:rFonts w:hint="eastAsia" w:ascii="Calibri" w:hAnsi="Calibri"/>
                <w:sz w:val="18"/>
                <w:szCs w:val="18"/>
              </w:rPr>
              <w:t>）魔岩、</w:t>
            </w:r>
            <w:r>
              <w:rPr>
                <w:rFonts w:ascii="Calibri" w:hAnsi="Calibri"/>
                <w:sz w:val="18"/>
                <w:szCs w:val="18"/>
              </w:rPr>
              <w:t>15</w:t>
            </w:r>
            <w:r>
              <w:rPr>
                <w:rFonts w:hint="eastAsia" w:ascii="Calibri" w:hAnsi="Calibri"/>
                <w:sz w:val="18"/>
                <w:szCs w:val="18"/>
              </w:rPr>
              <w:t>）石林洞、</w:t>
            </w:r>
            <w:r>
              <w:rPr>
                <w:rFonts w:ascii="Calibri" w:hAnsi="Calibri"/>
                <w:sz w:val="18"/>
                <w:szCs w:val="18"/>
              </w:rPr>
              <w:t>16</w:t>
            </w:r>
            <w:r>
              <w:rPr>
                <w:rFonts w:hint="eastAsia" w:ascii="Calibri" w:hAnsi="Calibri"/>
                <w:sz w:val="18"/>
                <w:szCs w:val="18"/>
              </w:rPr>
              <w:t>）红军洞、</w:t>
            </w:r>
            <w:r>
              <w:rPr>
                <w:rFonts w:ascii="Calibri" w:hAnsi="Calibri"/>
                <w:sz w:val="18"/>
                <w:szCs w:val="18"/>
              </w:rPr>
              <w:t>17</w:t>
            </w:r>
            <w:r>
              <w:rPr>
                <w:rFonts w:hint="eastAsia" w:ascii="Calibri" w:hAnsi="Calibri"/>
                <w:sz w:val="18"/>
                <w:szCs w:val="18"/>
              </w:rPr>
              <w:t>）猴王啸天、</w:t>
            </w:r>
            <w:r>
              <w:rPr>
                <w:rFonts w:ascii="Calibri" w:hAnsi="Calibri"/>
                <w:sz w:val="18"/>
                <w:szCs w:val="18"/>
              </w:rPr>
              <w:t>18</w:t>
            </w:r>
            <w:r>
              <w:rPr>
                <w:rFonts w:hint="eastAsia" w:ascii="Calibri" w:hAnsi="Calibri"/>
                <w:sz w:val="18"/>
                <w:szCs w:val="18"/>
              </w:rPr>
              <w:t>）月老山、</w:t>
            </w:r>
            <w:r>
              <w:rPr>
                <w:rFonts w:ascii="Calibri" w:hAnsi="Calibri"/>
                <w:sz w:val="18"/>
                <w:szCs w:val="18"/>
              </w:rPr>
              <w:t>19</w:t>
            </w:r>
            <w:r>
              <w:rPr>
                <w:rFonts w:hint="eastAsia" w:ascii="Calibri" w:hAnsi="Calibri"/>
                <w:sz w:val="18"/>
                <w:szCs w:val="18"/>
              </w:rPr>
              <w:t>）老童生、</w:t>
            </w:r>
            <w:r>
              <w:rPr>
                <w:rFonts w:ascii="Calibri" w:hAnsi="Calibri"/>
                <w:sz w:val="18"/>
                <w:szCs w:val="18"/>
              </w:rPr>
              <w:t>20</w:t>
            </w:r>
            <w:r>
              <w:rPr>
                <w:rFonts w:hint="eastAsia" w:ascii="Calibri" w:hAnsi="Calibri"/>
                <w:sz w:val="18"/>
                <w:szCs w:val="18"/>
              </w:rPr>
              <w:t>）仙人足迹、</w:t>
            </w:r>
            <w:r>
              <w:rPr>
                <w:rFonts w:ascii="Calibri" w:hAnsi="Calibri"/>
                <w:sz w:val="18"/>
                <w:szCs w:val="18"/>
              </w:rPr>
              <w:t>21</w:t>
            </w:r>
            <w:r>
              <w:rPr>
                <w:rFonts w:hint="eastAsia" w:ascii="Calibri" w:hAnsi="Calibri"/>
                <w:sz w:val="18"/>
                <w:szCs w:val="18"/>
              </w:rPr>
              <w:t>）敬客岩、</w:t>
            </w:r>
            <w:r>
              <w:rPr>
                <w:rFonts w:ascii="Calibri" w:hAnsi="Calibri"/>
                <w:sz w:val="18"/>
                <w:szCs w:val="18"/>
              </w:rPr>
              <w:t>22</w:t>
            </w:r>
            <w:r>
              <w:rPr>
                <w:rFonts w:hint="eastAsia" w:ascii="Calibri" w:hAnsi="Calibri"/>
                <w:sz w:val="18"/>
                <w:szCs w:val="18"/>
              </w:rPr>
              <w:t>）龙麒山、</w:t>
            </w:r>
            <w:r>
              <w:rPr>
                <w:rFonts w:ascii="Calibri" w:hAnsi="Calibri"/>
                <w:sz w:val="18"/>
                <w:szCs w:val="18"/>
              </w:rPr>
              <w:t>23</w:t>
            </w:r>
            <w:r>
              <w:rPr>
                <w:rFonts w:hint="eastAsia" w:ascii="Calibri" w:hAnsi="Calibri"/>
                <w:sz w:val="18"/>
                <w:szCs w:val="18"/>
              </w:rPr>
              <w:t>）石圃山、</w:t>
            </w:r>
            <w:r>
              <w:rPr>
                <w:rFonts w:ascii="Calibri" w:hAnsi="Calibri"/>
                <w:sz w:val="18"/>
                <w:szCs w:val="18"/>
              </w:rPr>
              <w:t>24</w:t>
            </w:r>
            <w:r>
              <w:rPr>
                <w:rFonts w:hint="eastAsia" w:ascii="Calibri" w:hAnsi="Calibri"/>
                <w:sz w:val="18"/>
                <w:szCs w:val="18"/>
              </w:rPr>
              <w:t>）寿桃山、</w:t>
            </w:r>
            <w:r>
              <w:rPr>
                <w:rFonts w:ascii="Calibri" w:hAnsi="Calibri"/>
                <w:sz w:val="18"/>
                <w:szCs w:val="18"/>
              </w:rPr>
              <w:t>25</w:t>
            </w:r>
            <w:r>
              <w:rPr>
                <w:rFonts w:hint="eastAsia" w:ascii="Calibri" w:hAnsi="Calibri"/>
                <w:sz w:val="18"/>
                <w:szCs w:val="18"/>
              </w:rPr>
              <w:t>）道士峰、</w:t>
            </w:r>
            <w:r>
              <w:rPr>
                <w:rFonts w:ascii="Calibri" w:hAnsi="Calibri"/>
                <w:sz w:val="18"/>
                <w:szCs w:val="18"/>
              </w:rPr>
              <w:t>26</w:t>
            </w:r>
            <w:r>
              <w:rPr>
                <w:rFonts w:hint="eastAsia" w:ascii="Calibri" w:hAnsi="Calibri"/>
                <w:sz w:val="18"/>
                <w:szCs w:val="18"/>
              </w:rPr>
              <w:t>）观音岩、</w:t>
            </w:r>
            <w:r>
              <w:rPr>
                <w:rFonts w:ascii="Calibri" w:hAnsi="Calibri"/>
                <w:sz w:val="18"/>
                <w:szCs w:val="18"/>
              </w:rPr>
              <w:t>27</w:t>
            </w:r>
            <w:r>
              <w:rPr>
                <w:rFonts w:hint="eastAsia" w:ascii="Calibri" w:hAnsi="Calibri"/>
                <w:sz w:val="18"/>
                <w:szCs w:val="18"/>
              </w:rPr>
              <w:t>）罗汉洞、</w:t>
            </w:r>
            <w:r>
              <w:rPr>
                <w:rFonts w:ascii="Calibri" w:hAnsi="Calibri"/>
                <w:sz w:val="18"/>
                <w:szCs w:val="18"/>
              </w:rPr>
              <w:t>28</w:t>
            </w:r>
            <w:r>
              <w:rPr>
                <w:rFonts w:hint="eastAsia" w:ascii="Calibri" w:hAnsi="Calibri"/>
                <w:sz w:val="18"/>
                <w:szCs w:val="18"/>
              </w:rPr>
              <w:t>）探儿洞、</w:t>
            </w:r>
            <w:r>
              <w:rPr>
                <w:rFonts w:ascii="Calibri" w:hAnsi="Calibri"/>
                <w:sz w:val="18"/>
                <w:szCs w:val="18"/>
              </w:rPr>
              <w:t>29</w:t>
            </w:r>
            <w:r>
              <w:rPr>
                <w:rFonts w:hint="eastAsia" w:ascii="Calibri" w:hAnsi="Calibri"/>
                <w:sz w:val="18"/>
                <w:szCs w:val="18"/>
              </w:rPr>
              <w:t>）月印岩、</w:t>
            </w:r>
            <w:r>
              <w:rPr>
                <w:rFonts w:ascii="Calibri" w:hAnsi="Calibri"/>
                <w:sz w:val="18"/>
                <w:szCs w:val="18"/>
              </w:rPr>
              <w:t>30</w:t>
            </w:r>
            <w:r>
              <w:rPr>
                <w:rFonts w:hint="eastAsia" w:ascii="Calibri" w:hAnsi="Calibri"/>
                <w:sz w:val="18"/>
                <w:szCs w:val="18"/>
              </w:rPr>
              <w:t>）棺材岩、</w:t>
            </w:r>
            <w:r>
              <w:rPr>
                <w:rFonts w:ascii="Calibri" w:hAnsi="Calibri"/>
                <w:sz w:val="18"/>
                <w:szCs w:val="18"/>
              </w:rPr>
              <w:t>31</w:t>
            </w:r>
            <w:r>
              <w:rPr>
                <w:rFonts w:hint="eastAsia" w:ascii="Calibri" w:hAnsi="Calibri"/>
                <w:sz w:val="18"/>
                <w:szCs w:val="18"/>
              </w:rPr>
              <w:t>）河背洞、</w:t>
            </w:r>
            <w:r>
              <w:rPr>
                <w:rFonts w:ascii="Calibri" w:hAnsi="Calibri"/>
                <w:sz w:val="18"/>
                <w:szCs w:val="18"/>
              </w:rPr>
              <w:t>32</w:t>
            </w:r>
            <w:r>
              <w:rPr>
                <w:rFonts w:hint="eastAsia" w:ascii="Calibri" w:hAnsi="Calibri"/>
                <w:sz w:val="18"/>
                <w:szCs w:val="18"/>
              </w:rPr>
              <w:t>）湖壁、</w:t>
            </w:r>
            <w:r>
              <w:rPr>
                <w:rFonts w:ascii="Calibri" w:hAnsi="Calibri"/>
                <w:sz w:val="18"/>
                <w:szCs w:val="18"/>
              </w:rPr>
              <w:t>33</w:t>
            </w:r>
            <w:r>
              <w:rPr>
                <w:rFonts w:hint="eastAsia" w:ascii="Calibri" w:hAnsi="Calibri"/>
                <w:sz w:val="18"/>
                <w:szCs w:val="18"/>
              </w:rPr>
              <w:t>）木鱼岩、</w:t>
            </w:r>
            <w:r>
              <w:rPr>
                <w:rFonts w:ascii="Calibri" w:hAnsi="Calibri"/>
                <w:sz w:val="18"/>
                <w:szCs w:val="18"/>
              </w:rPr>
              <w:t>34</w:t>
            </w:r>
            <w:r>
              <w:rPr>
                <w:rFonts w:hint="eastAsia" w:ascii="Calibri" w:hAnsi="Calibri"/>
                <w:sz w:val="18"/>
                <w:szCs w:val="18"/>
              </w:rPr>
              <w:t>）水洞门、</w:t>
            </w:r>
            <w:r>
              <w:rPr>
                <w:rFonts w:ascii="Calibri" w:hAnsi="Calibri"/>
                <w:sz w:val="18"/>
                <w:szCs w:val="18"/>
              </w:rPr>
              <w:t>35</w:t>
            </w:r>
            <w:r>
              <w:rPr>
                <w:rFonts w:hint="eastAsia" w:ascii="Calibri" w:hAnsi="Calibri"/>
                <w:sz w:val="18"/>
                <w:szCs w:val="18"/>
              </w:rPr>
              <w:t>）擎天柱、</w:t>
            </w:r>
            <w:r>
              <w:rPr>
                <w:rFonts w:ascii="Calibri" w:hAnsi="Calibri"/>
                <w:sz w:val="18"/>
                <w:szCs w:val="18"/>
              </w:rPr>
              <w:t>36</w:t>
            </w:r>
            <w:r>
              <w:rPr>
                <w:rFonts w:hint="eastAsia" w:ascii="Calibri" w:hAnsi="Calibri"/>
                <w:sz w:val="18"/>
                <w:szCs w:val="18"/>
              </w:rPr>
              <w:t>）石牛栏、</w:t>
            </w:r>
            <w:r>
              <w:rPr>
                <w:rFonts w:ascii="Calibri" w:hAnsi="Calibri"/>
                <w:sz w:val="18"/>
                <w:szCs w:val="18"/>
              </w:rPr>
              <w:t>37</w:t>
            </w:r>
            <w:r>
              <w:rPr>
                <w:rFonts w:hint="eastAsia" w:ascii="Calibri" w:hAnsi="Calibri"/>
                <w:sz w:val="18"/>
                <w:szCs w:val="18"/>
              </w:rPr>
              <w:t>）豆腐仙岩、</w:t>
            </w:r>
            <w:r>
              <w:rPr>
                <w:rFonts w:ascii="Calibri" w:hAnsi="Calibri"/>
                <w:sz w:val="18"/>
                <w:szCs w:val="18"/>
              </w:rPr>
              <w:t>38</w:t>
            </w:r>
            <w:r>
              <w:rPr>
                <w:rFonts w:hint="eastAsia" w:ascii="Calibri" w:hAnsi="Calibri"/>
                <w:sz w:val="18"/>
                <w:szCs w:val="18"/>
              </w:rPr>
              <w:t>）炊天饭甑、</w:t>
            </w:r>
            <w:r>
              <w:rPr>
                <w:rFonts w:ascii="Calibri" w:hAnsi="Calibri"/>
                <w:sz w:val="18"/>
                <w:szCs w:val="18"/>
              </w:rPr>
              <w:t>39</w:t>
            </w:r>
            <w:r>
              <w:rPr>
                <w:rFonts w:hint="eastAsia" w:ascii="Calibri" w:hAnsi="Calibri"/>
                <w:sz w:val="18"/>
                <w:szCs w:val="18"/>
              </w:rPr>
              <w:t>）觧板岩、</w:t>
            </w:r>
            <w:r>
              <w:rPr>
                <w:rFonts w:ascii="Calibri" w:hAnsi="Calibri"/>
                <w:sz w:val="18"/>
                <w:szCs w:val="18"/>
              </w:rPr>
              <w:t>40</w:t>
            </w:r>
            <w:r>
              <w:rPr>
                <w:rFonts w:hint="eastAsia" w:ascii="Calibri" w:hAnsi="Calibri"/>
                <w:sz w:val="18"/>
                <w:szCs w:val="18"/>
              </w:rPr>
              <w:t>）幽风密洞、</w:t>
            </w:r>
            <w:r>
              <w:rPr>
                <w:rFonts w:ascii="Calibri" w:hAnsi="Calibri"/>
                <w:sz w:val="18"/>
                <w:szCs w:val="18"/>
              </w:rPr>
              <w:t>41</w:t>
            </w:r>
            <w:r>
              <w:rPr>
                <w:rFonts w:hint="eastAsia" w:ascii="Calibri" w:hAnsi="Calibri"/>
                <w:sz w:val="18"/>
                <w:szCs w:val="18"/>
              </w:rPr>
              <w:t>）抱子岩、</w:t>
            </w:r>
            <w:r>
              <w:rPr>
                <w:rFonts w:ascii="Calibri" w:hAnsi="Calibri"/>
                <w:sz w:val="18"/>
                <w:szCs w:val="18"/>
              </w:rPr>
              <w:t>42</w:t>
            </w:r>
            <w:r>
              <w:rPr>
                <w:rFonts w:hint="eastAsia" w:ascii="Calibri" w:hAnsi="Calibri"/>
                <w:sz w:val="18"/>
                <w:szCs w:val="18"/>
              </w:rPr>
              <w:t>）仙龟山、</w:t>
            </w:r>
            <w:r>
              <w:rPr>
                <w:rFonts w:ascii="Calibri" w:hAnsi="Calibri"/>
                <w:sz w:val="18"/>
                <w:szCs w:val="18"/>
              </w:rPr>
              <w:t>43</w:t>
            </w:r>
            <w:r>
              <w:rPr>
                <w:rFonts w:hint="eastAsia" w:ascii="Calibri" w:hAnsi="Calibri"/>
                <w:sz w:val="18"/>
                <w:szCs w:val="18"/>
              </w:rPr>
              <w:t>）九龙壁、</w:t>
            </w:r>
            <w:r>
              <w:rPr>
                <w:rFonts w:ascii="Calibri" w:hAnsi="Calibri"/>
                <w:sz w:val="18"/>
                <w:szCs w:val="18"/>
              </w:rPr>
              <w:t>44</w:t>
            </w:r>
            <w:r>
              <w:rPr>
                <w:rFonts w:hint="eastAsia" w:ascii="Calibri" w:hAnsi="Calibri"/>
                <w:sz w:val="18"/>
                <w:szCs w:val="18"/>
              </w:rPr>
              <w:t>）通天洞、</w:t>
            </w:r>
            <w:r>
              <w:rPr>
                <w:rFonts w:ascii="Calibri" w:hAnsi="Calibri"/>
                <w:sz w:val="18"/>
                <w:szCs w:val="18"/>
              </w:rPr>
              <w:t>45</w:t>
            </w:r>
            <w:r>
              <w:rPr>
                <w:rFonts w:hint="eastAsia" w:ascii="Calibri" w:hAnsi="Calibri"/>
                <w:sz w:val="18"/>
                <w:szCs w:val="18"/>
              </w:rPr>
              <w:t>）石角崖、</w:t>
            </w:r>
            <w:r>
              <w:rPr>
                <w:rFonts w:ascii="Calibri" w:hAnsi="Calibri"/>
                <w:sz w:val="18"/>
                <w:szCs w:val="18"/>
              </w:rPr>
              <w:t>46</w:t>
            </w:r>
            <w:r>
              <w:rPr>
                <w:rFonts w:hint="eastAsia" w:ascii="Calibri" w:hAnsi="Calibri"/>
                <w:sz w:val="18"/>
                <w:szCs w:val="18"/>
              </w:rPr>
              <w:t>）庵弼岩、</w:t>
            </w:r>
            <w:r>
              <w:rPr>
                <w:rFonts w:ascii="Calibri" w:hAnsi="Calibri"/>
                <w:sz w:val="18"/>
                <w:szCs w:val="18"/>
              </w:rPr>
              <w:t>47</w:t>
            </w:r>
            <w:r>
              <w:rPr>
                <w:rFonts w:hint="eastAsia" w:ascii="Calibri" w:hAnsi="Calibri"/>
                <w:sz w:val="18"/>
                <w:szCs w:val="18"/>
              </w:rPr>
              <w:t>）仙乌岩尖、</w:t>
            </w:r>
            <w:r>
              <w:rPr>
                <w:rFonts w:ascii="Calibri" w:hAnsi="Calibri"/>
                <w:sz w:val="18"/>
                <w:szCs w:val="18"/>
              </w:rPr>
              <w:t>48</w:t>
            </w:r>
            <w:r>
              <w:rPr>
                <w:rFonts w:hint="eastAsia" w:ascii="Calibri" w:hAnsi="Calibri"/>
                <w:sz w:val="18"/>
                <w:szCs w:val="18"/>
              </w:rPr>
              <w:t>）仙人岩、</w:t>
            </w:r>
            <w:r>
              <w:rPr>
                <w:rFonts w:ascii="Calibri" w:hAnsi="Calibri"/>
                <w:sz w:val="18"/>
                <w:szCs w:val="18"/>
              </w:rPr>
              <w:t>49</w:t>
            </w:r>
            <w:r>
              <w:rPr>
                <w:rFonts w:hint="eastAsia" w:ascii="Calibri" w:hAnsi="Calibri"/>
                <w:sz w:val="18"/>
                <w:szCs w:val="18"/>
              </w:rPr>
              <w:t>）猪槽岩、</w:t>
            </w:r>
            <w:r>
              <w:rPr>
                <w:rFonts w:ascii="Calibri" w:hAnsi="Calibri"/>
                <w:sz w:val="18"/>
                <w:szCs w:val="18"/>
              </w:rPr>
              <w:t>50</w:t>
            </w:r>
            <w:r>
              <w:rPr>
                <w:rFonts w:hint="eastAsia" w:ascii="Calibri" w:hAnsi="Calibri"/>
                <w:sz w:val="18"/>
                <w:szCs w:val="18"/>
              </w:rPr>
              <w:t>）石棺崖、</w:t>
            </w:r>
            <w:r>
              <w:rPr>
                <w:rFonts w:ascii="Calibri" w:hAnsi="Calibri"/>
                <w:sz w:val="18"/>
                <w:szCs w:val="18"/>
              </w:rPr>
              <w:t>51</w:t>
            </w:r>
            <w:r>
              <w:rPr>
                <w:rFonts w:hint="eastAsia" w:ascii="Calibri" w:hAnsi="Calibri"/>
                <w:sz w:val="18"/>
                <w:szCs w:val="18"/>
              </w:rPr>
              <w:t>）狮子岩、</w:t>
            </w:r>
            <w:r>
              <w:rPr>
                <w:rFonts w:ascii="Calibri" w:hAnsi="Calibri"/>
                <w:sz w:val="18"/>
                <w:szCs w:val="18"/>
              </w:rPr>
              <w:t>52</w:t>
            </w:r>
            <w:r>
              <w:rPr>
                <w:rFonts w:hint="eastAsia" w:ascii="Calibri" w:hAnsi="Calibri"/>
                <w:sz w:val="18"/>
                <w:szCs w:val="18"/>
              </w:rPr>
              <w:t>）卧狮岩、</w:t>
            </w:r>
            <w:r>
              <w:rPr>
                <w:rFonts w:ascii="Calibri" w:hAnsi="Calibri"/>
                <w:sz w:val="18"/>
                <w:szCs w:val="18"/>
              </w:rPr>
              <w:t>53</w:t>
            </w:r>
            <w:r>
              <w:rPr>
                <w:rFonts w:hint="eastAsia" w:ascii="Calibri" w:hAnsi="Calibri"/>
                <w:sz w:val="18"/>
                <w:szCs w:val="18"/>
              </w:rPr>
              <w:t>）金蟾岩、</w:t>
            </w:r>
            <w:r>
              <w:rPr>
                <w:rFonts w:ascii="Calibri" w:hAnsi="Calibri"/>
                <w:sz w:val="18"/>
                <w:szCs w:val="18"/>
              </w:rPr>
              <w:t>54</w:t>
            </w:r>
            <w:r>
              <w:rPr>
                <w:rFonts w:hint="eastAsia" w:ascii="Calibri" w:hAnsi="Calibri"/>
                <w:sz w:val="18"/>
                <w:szCs w:val="18"/>
              </w:rPr>
              <w:t>）老虎山、</w:t>
            </w:r>
            <w:r>
              <w:rPr>
                <w:rFonts w:ascii="Calibri" w:hAnsi="Calibri"/>
                <w:sz w:val="18"/>
                <w:szCs w:val="18"/>
              </w:rPr>
              <w:t>55</w:t>
            </w:r>
            <w:r>
              <w:rPr>
                <w:rFonts w:hint="eastAsia" w:ascii="Calibri" w:hAnsi="Calibri"/>
                <w:sz w:val="18"/>
                <w:szCs w:val="18"/>
              </w:rPr>
              <w:t>）牛栏湾顶、</w:t>
            </w:r>
            <w:r>
              <w:rPr>
                <w:rFonts w:ascii="Calibri" w:hAnsi="Calibri"/>
                <w:sz w:val="18"/>
                <w:szCs w:val="18"/>
              </w:rPr>
              <w:t>56</w:t>
            </w:r>
            <w:r>
              <w:rPr>
                <w:rFonts w:hint="eastAsia" w:ascii="Calibri" w:hAnsi="Calibri"/>
                <w:sz w:val="18"/>
                <w:szCs w:val="18"/>
              </w:rPr>
              <w:t>）一剑峰、</w:t>
            </w:r>
            <w:r>
              <w:rPr>
                <w:rFonts w:ascii="Calibri" w:hAnsi="Calibri"/>
                <w:sz w:val="18"/>
                <w:szCs w:val="18"/>
              </w:rPr>
              <w:t>57</w:t>
            </w:r>
            <w:r>
              <w:rPr>
                <w:rFonts w:hint="eastAsia" w:ascii="Calibri" w:hAnsi="Calibri"/>
                <w:sz w:val="18"/>
                <w:szCs w:val="18"/>
              </w:rPr>
              <w:t>）玉笙峰、</w:t>
            </w:r>
            <w:r>
              <w:rPr>
                <w:rFonts w:ascii="Calibri" w:hAnsi="Calibri"/>
                <w:sz w:val="18"/>
                <w:szCs w:val="18"/>
              </w:rPr>
              <w:t>58</w:t>
            </w:r>
            <w:r>
              <w:rPr>
                <w:rFonts w:hint="eastAsia" w:ascii="Calibri" w:hAnsi="Calibri"/>
                <w:sz w:val="18"/>
                <w:szCs w:val="18"/>
              </w:rPr>
              <w:t>）西天屏</w:t>
            </w:r>
          </w:p>
        </w:tc>
        <w:tc>
          <w:tcPr>
            <w:tcW w:w="699" w:type="dxa"/>
            <w:shd w:val="clear" w:color="auto" w:fill="auto"/>
            <w:vAlign w:val="center"/>
          </w:tcPr>
          <w:p>
            <w:pPr>
              <w:snapToGrid w:val="0"/>
              <w:spacing w:line="240" w:lineRule="auto"/>
              <w:ind w:firstLine="0" w:firstLineChars="0"/>
              <w:jc w:val="center"/>
              <w:rPr>
                <w:rFonts w:ascii="Calibri" w:hAnsi="Calibri"/>
                <w:sz w:val="18"/>
                <w:szCs w:val="18"/>
              </w:rPr>
            </w:pPr>
            <w:r>
              <w:rPr>
                <w:rFonts w:ascii="Calibri" w:hAnsi="Calibri"/>
                <w:sz w:val="18"/>
                <w:szCs w:val="18"/>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48" w:hRule="atLeast"/>
        </w:trPr>
        <w:tc>
          <w:tcPr>
            <w:tcW w:w="396" w:type="dxa"/>
            <w:vMerge w:val="continue"/>
            <w:shd w:val="clear" w:color="auto" w:fill="auto"/>
            <w:vAlign w:val="center"/>
          </w:tcPr>
          <w:p>
            <w:pPr>
              <w:snapToGrid w:val="0"/>
              <w:spacing w:line="240" w:lineRule="auto"/>
              <w:ind w:firstLine="0" w:firstLineChars="0"/>
              <w:rPr>
                <w:rFonts w:ascii="Calibri" w:hAnsi="Calibri"/>
                <w:sz w:val="18"/>
                <w:szCs w:val="18"/>
              </w:rPr>
            </w:pPr>
          </w:p>
        </w:tc>
        <w:tc>
          <w:tcPr>
            <w:tcW w:w="564" w:type="dxa"/>
            <w:shd w:val="clear" w:color="auto" w:fill="auto"/>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水景</w:t>
            </w:r>
          </w:p>
        </w:tc>
        <w:tc>
          <w:tcPr>
            <w:tcW w:w="6695" w:type="dxa"/>
            <w:shd w:val="clear" w:color="auto" w:fill="auto"/>
            <w:vAlign w:val="center"/>
          </w:tcPr>
          <w:p>
            <w:pPr>
              <w:snapToGrid w:val="0"/>
              <w:spacing w:line="240" w:lineRule="auto"/>
              <w:ind w:firstLine="0" w:firstLineChars="0"/>
              <w:jc w:val="left"/>
              <w:rPr>
                <w:rFonts w:ascii="Calibri" w:hAnsi="Calibri"/>
                <w:sz w:val="18"/>
                <w:szCs w:val="18"/>
              </w:rPr>
            </w:pPr>
            <w:r>
              <w:rPr>
                <w:rFonts w:ascii="Calibri" w:hAnsi="Calibri"/>
                <w:sz w:val="18"/>
                <w:szCs w:val="18"/>
              </w:rPr>
              <w:t>1</w:t>
            </w:r>
            <w:r>
              <w:rPr>
                <w:rFonts w:hint="eastAsia" w:ascii="Calibri" w:hAnsi="Calibri"/>
                <w:sz w:val="18"/>
                <w:szCs w:val="18"/>
              </w:rPr>
              <w:t>）一漈、</w:t>
            </w:r>
            <w:r>
              <w:rPr>
                <w:rFonts w:ascii="Calibri" w:hAnsi="Calibri"/>
                <w:sz w:val="18"/>
                <w:szCs w:val="18"/>
              </w:rPr>
              <w:t>2</w:t>
            </w:r>
            <w:r>
              <w:rPr>
                <w:rFonts w:hint="eastAsia" w:ascii="Calibri" w:hAnsi="Calibri"/>
                <w:sz w:val="18"/>
                <w:szCs w:val="18"/>
              </w:rPr>
              <w:t>）二漈、</w:t>
            </w:r>
            <w:r>
              <w:rPr>
                <w:rFonts w:ascii="Calibri" w:hAnsi="Calibri"/>
                <w:sz w:val="18"/>
                <w:szCs w:val="18"/>
              </w:rPr>
              <w:t>3</w:t>
            </w:r>
            <w:r>
              <w:rPr>
                <w:rFonts w:hint="eastAsia" w:ascii="Calibri" w:hAnsi="Calibri"/>
                <w:sz w:val="18"/>
                <w:szCs w:val="18"/>
              </w:rPr>
              <w:t>）三漈、</w:t>
            </w:r>
            <w:r>
              <w:rPr>
                <w:rFonts w:ascii="Calibri" w:hAnsi="Calibri"/>
                <w:sz w:val="18"/>
                <w:szCs w:val="18"/>
              </w:rPr>
              <w:t>4</w:t>
            </w:r>
            <w:r>
              <w:rPr>
                <w:rFonts w:hint="eastAsia" w:ascii="Calibri" w:hAnsi="Calibri"/>
                <w:sz w:val="18"/>
                <w:szCs w:val="18"/>
              </w:rPr>
              <w:t>）飞云湖、</w:t>
            </w:r>
            <w:r>
              <w:rPr>
                <w:rFonts w:ascii="Calibri" w:hAnsi="Calibri"/>
                <w:sz w:val="18"/>
                <w:szCs w:val="18"/>
              </w:rPr>
              <w:t>5</w:t>
            </w:r>
            <w:r>
              <w:rPr>
                <w:rFonts w:hint="eastAsia" w:ascii="Calibri" w:hAnsi="Calibri"/>
                <w:sz w:val="18"/>
                <w:szCs w:val="18"/>
              </w:rPr>
              <w:t>）三潭三瀑、</w:t>
            </w:r>
            <w:r>
              <w:rPr>
                <w:rFonts w:ascii="Calibri" w:hAnsi="Calibri"/>
                <w:sz w:val="18"/>
                <w:szCs w:val="18"/>
              </w:rPr>
              <w:t>6</w:t>
            </w:r>
            <w:r>
              <w:rPr>
                <w:rFonts w:hint="eastAsia" w:ascii="Calibri" w:hAnsi="Calibri"/>
                <w:sz w:val="18"/>
                <w:szCs w:val="18"/>
              </w:rPr>
              <w:t>）百折瀑、</w:t>
            </w:r>
            <w:r>
              <w:rPr>
                <w:rFonts w:ascii="Calibri" w:hAnsi="Calibri"/>
                <w:sz w:val="18"/>
                <w:szCs w:val="18"/>
              </w:rPr>
              <w:t>7</w:t>
            </w:r>
            <w:r>
              <w:rPr>
                <w:rFonts w:hint="eastAsia" w:ascii="Calibri" w:hAnsi="Calibri"/>
                <w:sz w:val="18"/>
                <w:szCs w:val="18"/>
              </w:rPr>
              <w:t>）龙瀑、</w:t>
            </w:r>
            <w:r>
              <w:rPr>
                <w:rFonts w:ascii="Calibri" w:hAnsi="Calibri"/>
                <w:sz w:val="18"/>
                <w:szCs w:val="18"/>
              </w:rPr>
              <w:t>8</w:t>
            </w:r>
            <w:r>
              <w:rPr>
                <w:rFonts w:hint="eastAsia" w:ascii="Calibri" w:hAnsi="Calibri"/>
                <w:sz w:val="18"/>
                <w:szCs w:val="18"/>
              </w:rPr>
              <w:t>）三重漈、</w:t>
            </w:r>
            <w:r>
              <w:rPr>
                <w:rFonts w:ascii="Calibri" w:hAnsi="Calibri"/>
                <w:sz w:val="18"/>
                <w:szCs w:val="18"/>
              </w:rPr>
              <w:t>9</w:t>
            </w:r>
            <w:r>
              <w:rPr>
                <w:rFonts w:hint="eastAsia" w:ascii="Calibri" w:hAnsi="Calibri"/>
                <w:sz w:val="18"/>
                <w:szCs w:val="18"/>
              </w:rPr>
              <w:t>）龙麒源、</w:t>
            </w:r>
            <w:r>
              <w:rPr>
                <w:rFonts w:ascii="Calibri" w:hAnsi="Calibri"/>
                <w:sz w:val="18"/>
                <w:szCs w:val="18"/>
              </w:rPr>
              <w:t>10</w:t>
            </w:r>
            <w:r>
              <w:rPr>
                <w:rFonts w:hint="eastAsia" w:ascii="Calibri" w:hAnsi="Calibri"/>
                <w:sz w:val="18"/>
                <w:szCs w:val="18"/>
              </w:rPr>
              <w:t>）金壁滩、</w:t>
            </w:r>
            <w:r>
              <w:rPr>
                <w:rFonts w:ascii="Calibri" w:hAnsi="Calibri"/>
                <w:sz w:val="18"/>
                <w:szCs w:val="18"/>
              </w:rPr>
              <w:t>11</w:t>
            </w:r>
            <w:r>
              <w:rPr>
                <w:rFonts w:hint="eastAsia" w:ascii="Calibri" w:hAnsi="Calibri"/>
                <w:sz w:val="18"/>
                <w:szCs w:val="18"/>
              </w:rPr>
              <w:t>）金牛滩、</w:t>
            </w:r>
            <w:r>
              <w:rPr>
                <w:rFonts w:ascii="Calibri" w:hAnsi="Calibri"/>
                <w:sz w:val="18"/>
                <w:szCs w:val="18"/>
              </w:rPr>
              <w:t>12</w:t>
            </w:r>
            <w:r>
              <w:rPr>
                <w:rFonts w:hint="eastAsia" w:ascii="Calibri" w:hAnsi="Calibri"/>
                <w:sz w:val="18"/>
                <w:szCs w:val="18"/>
              </w:rPr>
              <w:t>）金龟潭、</w:t>
            </w:r>
            <w:r>
              <w:rPr>
                <w:rFonts w:ascii="Calibri" w:hAnsi="Calibri"/>
                <w:sz w:val="18"/>
                <w:szCs w:val="18"/>
              </w:rPr>
              <w:t>13</w:t>
            </w:r>
            <w:r>
              <w:rPr>
                <w:rFonts w:hint="eastAsia" w:ascii="Calibri" w:hAnsi="Calibri"/>
                <w:sz w:val="18"/>
                <w:szCs w:val="18"/>
              </w:rPr>
              <w:t>）三叠瀑、</w:t>
            </w:r>
            <w:r>
              <w:rPr>
                <w:rFonts w:ascii="Calibri" w:hAnsi="Calibri"/>
                <w:sz w:val="18"/>
                <w:szCs w:val="18"/>
              </w:rPr>
              <w:t>14</w:t>
            </w:r>
            <w:r>
              <w:rPr>
                <w:rFonts w:hint="eastAsia" w:ascii="Calibri" w:hAnsi="Calibri"/>
                <w:sz w:val="18"/>
                <w:szCs w:val="18"/>
              </w:rPr>
              <w:t>）阴阳瀑、</w:t>
            </w:r>
            <w:r>
              <w:rPr>
                <w:rFonts w:ascii="Calibri" w:hAnsi="Calibri"/>
                <w:sz w:val="18"/>
                <w:szCs w:val="18"/>
              </w:rPr>
              <w:t>15</w:t>
            </w:r>
            <w:r>
              <w:rPr>
                <w:rFonts w:hint="eastAsia" w:ascii="Calibri" w:hAnsi="Calibri"/>
                <w:sz w:val="18"/>
                <w:szCs w:val="18"/>
              </w:rPr>
              <w:t>）三潭三涧、</w:t>
            </w:r>
            <w:r>
              <w:rPr>
                <w:rFonts w:ascii="Calibri" w:hAnsi="Calibri"/>
                <w:sz w:val="18"/>
                <w:szCs w:val="18"/>
              </w:rPr>
              <w:t>16</w:t>
            </w:r>
            <w:r>
              <w:rPr>
                <w:rFonts w:hint="eastAsia" w:ascii="Calibri" w:hAnsi="Calibri"/>
                <w:sz w:val="18"/>
                <w:szCs w:val="18"/>
              </w:rPr>
              <w:t>）九龙潭、</w:t>
            </w:r>
            <w:r>
              <w:rPr>
                <w:rFonts w:ascii="Calibri" w:hAnsi="Calibri"/>
                <w:sz w:val="18"/>
                <w:szCs w:val="18"/>
              </w:rPr>
              <w:t>17</w:t>
            </w:r>
            <w:r>
              <w:rPr>
                <w:rFonts w:hint="eastAsia" w:ascii="Calibri" w:hAnsi="Calibri"/>
                <w:sz w:val="18"/>
                <w:szCs w:val="18"/>
              </w:rPr>
              <w:t>）双龙潭、</w:t>
            </w:r>
            <w:r>
              <w:rPr>
                <w:rFonts w:ascii="Calibri" w:hAnsi="Calibri"/>
                <w:sz w:val="18"/>
                <w:szCs w:val="18"/>
              </w:rPr>
              <w:t>18</w:t>
            </w:r>
            <w:r>
              <w:rPr>
                <w:rFonts w:hint="eastAsia" w:ascii="Calibri" w:hAnsi="Calibri"/>
                <w:sz w:val="18"/>
                <w:szCs w:val="18"/>
              </w:rPr>
              <w:t>）飞翠湖、</w:t>
            </w:r>
            <w:r>
              <w:rPr>
                <w:rFonts w:ascii="Calibri" w:hAnsi="Calibri"/>
                <w:sz w:val="18"/>
                <w:szCs w:val="18"/>
              </w:rPr>
              <w:t>19</w:t>
            </w:r>
            <w:r>
              <w:rPr>
                <w:rFonts w:hint="eastAsia" w:ascii="Calibri" w:hAnsi="Calibri"/>
                <w:sz w:val="18"/>
                <w:szCs w:val="18"/>
              </w:rPr>
              <w:t>）天顶湖、</w:t>
            </w:r>
            <w:r>
              <w:rPr>
                <w:rFonts w:ascii="Calibri" w:hAnsi="Calibri"/>
                <w:sz w:val="18"/>
                <w:szCs w:val="18"/>
              </w:rPr>
              <w:t>20</w:t>
            </w:r>
            <w:r>
              <w:rPr>
                <w:rFonts w:hint="eastAsia" w:ascii="Calibri" w:hAnsi="Calibri"/>
                <w:sz w:val="18"/>
                <w:szCs w:val="18"/>
              </w:rPr>
              <w:t>）天际瀑、</w:t>
            </w:r>
            <w:r>
              <w:rPr>
                <w:rFonts w:ascii="Calibri" w:hAnsi="Calibri"/>
                <w:sz w:val="18"/>
                <w:szCs w:val="18"/>
              </w:rPr>
              <w:t>21</w:t>
            </w:r>
            <w:r>
              <w:rPr>
                <w:rFonts w:hint="eastAsia" w:ascii="Calibri" w:hAnsi="Calibri"/>
                <w:sz w:val="18"/>
                <w:szCs w:val="18"/>
              </w:rPr>
              <w:t>）青龙潭、</w:t>
            </w:r>
            <w:r>
              <w:rPr>
                <w:rFonts w:ascii="Calibri" w:hAnsi="Calibri"/>
                <w:sz w:val="18"/>
                <w:szCs w:val="18"/>
              </w:rPr>
              <w:t>22</w:t>
            </w:r>
            <w:r>
              <w:rPr>
                <w:rFonts w:hint="eastAsia" w:ascii="Calibri" w:hAnsi="Calibri"/>
                <w:sz w:val="18"/>
                <w:szCs w:val="18"/>
              </w:rPr>
              <w:t>）金石滩、</w:t>
            </w:r>
            <w:r>
              <w:rPr>
                <w:rFonts w:ascii="Calibri" w:hAnsi="Calibri"/>
                <w:sz w:val="18"/>
                <w:szCs w:val="18"/>
              </w:rPr>
              <w:t>23</w:t>
            </w:r>
            <w:r>
              <w:rPr>
                <w:rFonts w:hint="eastAsia" w:ascii="Calibri" w:hAnsi="Calibri"/>
                <w:sz w:val="18"/>
                <w:szCs w:val="18"/>
              </w:rPr>
              <w:t>）七瀑东飞、</w:t>
            </w:r>
            <w:r>
              <w:rPr>
                <w:rFonts w:ascii="Calibri" w:hAnsi="Calibri"/>
                <w:sz w:val="18"/>
                <w:szCs w:val="18"/>
              </w:rPr>
              <w:t>24</w:t>
            </w:r>
            <w:r>
              <w:rPr>
                <w:rFonts w:hint="eastAsia" w:ascii="Calibri" w:hAnsi="Calibri"/>
                <w:sz w:val="18"/>
                <w:szCs w:val="18"/>
              </w:rPr>
              <w:t>）清溪暗流、</w:t>
            </w:r>
            <w:r>
              <w:rPr>
                <w:rFonts w:ascii="Calibri" w:hAnsi="Calibri"/>
                <w:sz w:val="18"/>
                <w:szCs w:val="18"/>
              </w:rPr>
              <w:t>25</w:t>
            </w:r>
            <w:r>
              <w:rPr>
                <w:rFonts w:hint="eastAsia" w:ascii="Calibri" w:hAnsi="Calibri"/>
                <w:sz w:val="18"/>
                <w:szCs w:val="18"/>
              </w:rPr>
              <w:t>）擎天瀑、</w:t>
            </w:r>
          </w:p>
          <w:p>
            <w:pPr>
              <w:snapToGrid w:val="0"/>
              <w:spacing w:line="240" w:lineRule="auto"/>
              <w:ind w:firstLine="0" w:firstLineChars="0"/>
              <w:jc w:val="left"/>
              <w:rPr>
                <w:rFonts w:ascii="Calibri" w:hAnsi="Calibri"/>
                <w:sz w:val="18"/>
                <w:szCs w:val="18"/>
              </w:rPr>
            </w:pPr>
            <w:r>
              <w:rPr>
                <w:rFonts w:ascii="Calibri" w:hAnsi="Calibri"/>
                <w:sz w:val="18"/>
                <w:szCs w:val="18"/>
              </w:rPr>
              <w:t>26</w:t>
            </w:r>
            <w:r>
              <w:rPr>
                <w:rFonts w:hint="eastAsia" w:ascii="Calibri" w:hAnsi="Calibri"/>
                <w:sz w:val="18"/>
                <w:szCs w:val="18"/>
              </w:rPr>
              <w:t>）青石滩、</w:t>
            </w:r>
            <w:r>
              <w:rPr>
                <w:rFonts w:ascii="Calibri" w:hAnsi="Calibri"/>
                <w:sz w:val="18"/>
                <w:szCs w:val="18"/>
              </w:rPr>
              <w:t>27</w:t>
            </w:r>
            <w:r>
              <w:rPr>
                <w:rFonts w:hint="eastAsia" w:ascii="Calibri" w:hAnsi="Calibri"/>
                <w:sz w:val="18"/>
                <w:szCs w:val="18"/>
              </w:rPr>
              <w:t>）仙叠瀑、</w:t>
            </w:r>
            <w:r>
              <w:rPr>
                <w:rFonts w:ascii="Calibri" w:hAnsi="Calibri"/>
                <w:sz w:val="18"/>
                <w:szCs w:val="18"/>
              </w:rPr>
              <w:t>28</w:t>
            </w:r>
            <w:r>
              <w:rPr>
                <w:rFonts w:hint="eastAsia" w:ascii="Calibri" w:hAnsi="Calibri"/>
                <w:sz w:val="18"/>
                <w:szCs w:val="18"/>
              </w:rPr>
              <w:t>）金龙叠瀑、</w:t>
            </w:r>
            <w:r>
              <w:rPr>
                <w:rFonts w:ascii="Calibri" w:hAnsi="Calibri"/>
                <w:sz w:val="18"/>
                <w:szCs w:val="18"/>
              </w:rPr>
              <w:t>29</w:t>
            </w:r>
            <w:r>
              <w:rPr>
                <w:rFonts w:hint="eastAsia" w:ascii="Calibri" w:hAnsi="Calibri"/>
                <w:sz w:val="18"/>
                <w:szCs w:val="18"/>
              </w:rPr>
              <w:t>）临湖瀑、</w:t>
            </w:r>
            <w:r>
              <w:rPr>
                <w:rFonts w:ascii="Calibri" w:hAnsi="Calibri"/>
                <w:sz w:val="18"/>
                <w:szCs w:val="18"/>
              </w:rPr>
              <w:t>30</w:t>
            </w:r>
            <w:r>
              <w:rPr>
                <w:rFonts w:hint="eastAsia" w:ascii="Calibri" w:hAnsi="Calibri"/>
                <w:sz w:val="18"/>
                <w:szCs w:val="18"/>
              </w:rPr>
              <w:t>）曲流清溪、</w:t>
            </w:r>
            <w:r>
              <w:rPr>
                <w:rFonts w:ascii="Calibri" w:hAnsi="Calibri"/>
                <w:sz w:val="18"/>
                <w:szCs w:val="18"/>
              </w:rPr>
              <w:t>31</w:t>
            </w:r>
            <w:r>
              <w:rPr>
                <w:rFonts w:hint="eastAsia" w:ascii="Calibri" w:hAnsi="Calibri"/>
                <w:sz w:val="18"/>
                <w:szCs w:val="18"/>
              </w:rPr>
              <w:t>）双龙瀑、</w:t>
            </w:r>
            <w:r>
              <w:rPr>
                <w:rFonts w:ascii="Calibri" w:hAnsi="Calibri"/>
                <w:sz w:val="18"/>
                <w:szCs w:val="18"/>
              </w:rPr>
              <w:t>32</w:t>
            </w:r>
            <w:r>
              <w:rPr>
                <w:rFonts w:hint="eastAsia" w:ascii="Calibri" w:hAnsi="Calibri"/>
                <w:sz w:val="18"/>
                <w:szCs w:val="18"/>
              </w:rPr>
              <w:t>）龙井、</w:t>
            </w:r>
            <w:r>
              <w:rPr>
                <w:rFonts w:ascii="Calibri" w:hAnsi="Calibri"/>
                <w:sz w:val="18"/>
                <w:szCs w:val="18"/>
              </w:rPr>
              <w:t>33</w:t>
            </w:r>
            <w:r>
              <w:rPr>
                <w:rFonts w:hint="eastAsia" w:ascii="Calibri" w:hAnsi="Calibri"/>
                <w:sz w:val="18"/>
                <w:szCs w:val="18"/>
              </w:rPr>
              <w:t>）飞龙湖、</w:t>
            </w:r>
            <w:r>
              <w:rPr>
                <w:rFonts w:ascii="Calibri" w:hAnsi="Calibri"/>
                <w:sz w:val="18"/>
                <w:szCs w:val="18"/>
              </w:rPr>
              <w:t>34</w:t>
            </w:r>
            <w:r>
              <w:rPr>
                <w:rFonts w:hint="eastAsia" w:ascii="Calibri" w:hAnsi="Calibri"/>
                <w:sz w:val="18"/>
                <w:szCs w:val="18"/>
              </w:rPr>
              <w:t>）白水沄坑、</w:t>
            </w:r>
            <w:r>
              <w:rPr>
                <w:rFonts w:ascii="Calibri" w:hAnsi="Calibri"/>
                <w:sz w:val="18"/>
                <w:szCs w:val="18"/>
              </w:rPr>
              <w:t>35</w:t>
            </w:r>
            <w:r>
              <w:rPr>
                <w:rFonts w:hint="eastAsia" w:ascii="Calibri" w:hAnsi="Calibri"/>
                <w:sz w:val="18"/>
                <w:szCs w:val="18"/>
              </w:rPr>
              <w:t>）水帘玉璧、</w:t>
            </w:r>
            <w:r>
              <w:rPr>
                <w:rFonts w:ascii="Calibri" w:hAnsi="Calibri"/>
                <w:sz w:val="18"/>
                <w:szCs w:val="18"/>
              </w:rPr>
              <w:t>36</w:t>
            </w:r>
            <w:r>
              <w:rPr>
                <w:rFonts w:hint="eastAsia" w:ascii="Calibri" w:hAnsi="Calibri"/>
                <w:sz w:val="18"/>
                <w:szCs w:val="18"/>
              </w:rPr>
              <w:t>）牛角潭、</w:t>
            </w:r>
            <w:r>
              <w:rPr>
                <w:rFonts w:ascii="Calibri" w:hAnsi="Calibri"/>
                <w:sz w:val="18"/>
                <w:szCs w:val="18"/>
              </w:rPr>
              <w:t>37</w:t>
            </w:r>
            <w:r>
              <w:rPr>
                <w:rFonts w:hint="eastAsia" w:ascii="Calibri" w:hAnsi="Calibri"/>
                <w:sz w:val="18"/>
                <w:szCs w:val="18"/>
              </w:rPr>
              <w:t>）曲流奇坦、</w:t>
            </w:r>
            <w:r>
              <w:rPr>
                <w:rFonts w:ascii="Calibri" w:hAnsi="Calibri"/>
                <w:sz w:val="18"/>
                <w:szCs w:val="18"/>
              </w:rPr>
              <w:t>38</w:t>
            </w:r>
            <w:r>
              <w:rPr>
                <w:rFonts w:hint="eastAsia" w:ascii="Calibri" w:hAnsi="Calibri"/>
                <w:sz w:val="18"/>
                <w:szCs w:val="18"/>
              </w:rPr>
              <w:t>）龙凤瀑、</w:t>
            </w:r>
            <w:r>
              <w:rPr>
                <w:rFonts w:ascii="Calibri" w:hAnsi="Calibri"/>
                <w:sz w:val="18"/>
                <w:szCs w:val="18"/>
              </w:rPr>
              <w:t>39</w:t>
            </w:r>
            <w:r>
              <w:rPr>
                <w:rFonts w:hint="eastAsia" w:ascii="Calibri" w:hAnsi="Calibri"/>
                <w:sz w:val="18"/>
                <w:szCs w:val="18"/>
              </w:rPr>
              <w:t>）吴王塘、</w:t>
            </w:r>
            <w:r>
              <w:rPr>
                <w:rFonts w:ascii="Calibri" w:hAnsi="Calibri"/>
                <w:sz w:val="18"/>
                <w:szCs w:val="18"/>
              </w:rPr>
              <w:t>40</w:t>
            </w:r>
            <w:r>
              <w:rPr>
                <w:rFonts w:hint="eastAsia" w:ascii="Calibri" w:hAnsi="Calibri"/>
                <w:sz w:val="18"/>
                <w:szCs w:val="18"/>
              </w:rPr>
              <w:t>）九龟塘、</w:t>
            </w:r>
            <w:r>
              <w:rPr>
                <w:rFonts w:ascii="Calibri" w:hAnsi="Calibri"/>
                <w:sz w:val="18"/>
                <w:szCs w:val="18"/>
              </w:rPr>
              <w:t>41</w:t>
            </w:r>
            <w:r>
              <w:rPr>
                <w:rFonts w:hint="eastAsia" w:ascii="Calibri" w:hAnsi="Calibri"/>
                <w:sz w:val="18"/>
                <w:szCs w:val="18"/>
              </w:rPr>
              <w:t>）烟雨瀑、</w:t>
            </w:r>
            <w:r>
              <w:rPr>
                <w:rFonts w:ascii="Calibri" w:hAnsi="Calibri"/>
                <w:sz w:val="18"/>
                <w:szCs w:val="18"/>
              </w:rPr>
              <w:t>42</w:t>
            </w:r>
            <w:r>
              <w:rPr>
                <w:rFonts w:hint="eastAsia" w:ascii="Calibri" w:hAnsi="Calibri"/>
                <w:sz w:val="18"/>
                <w:szCs w:val="18"/>
              </w:rPr>
              <w:t>）听雨潭、</w:t>
            </w:r>
            <w:r>
              <w:rPr>
                <w:rFonts w:ascii="Calibri" w:hAnsi="Calibri"/>
                <w:sz w:val="18"/>
                <w:szCs w:val="18"/>
              </w:rPr>
              <w:t>43</w:t>
            </w:r>
            <w:r>
              <w:rPr>
                <w:rFonts w:hint="eastAsia" w:ascii="Calibri" w:hAnsi="Calibri"/>
                <w:sz w:val="18"/>
                <w:szCs w:val="18"/>
              </w:rPr>
              <w:t>）清潭曲流、</w:t>
            </w:r>
            <w:r>
              <w:rPr>
                <w:rFonts w:ascii="Calibri" w:hAnsi="Calibri"/>
                <w:sz w:val="18"/>
                <w:szCs w:val="18"/>
              </w:rPr>
              <w:t>44</w:t>
            </w:r>
            <w:r>
              <w:rPr>
                <w:rFonts w:hint="eastAsia" w:ascii="Calibri" w:hAnsi="Calibri"/>
                <w:sz w:val="18"/>
                <w:szCs w:val="18"/>
              </w:rPr>
              <w:t>）青龙吐珠、</w:t>
            </w:r>
            <w:r>
              <w:rPr>
                <w:rFonts w:ascii="Calibri" w:hAnsi="Calibri"/>
                <w:sz w:val="18"/>
                <w:szCs w:val="18"/>
              </w:rPr>
              <w:t>45</w:t>
            </w:r>
            <w:r>
              <w:rPr>
                <w:rFonts w:hint="eastAsia" w:ascii="Calibri" w:hAnsi="Calibri"/>
                <w:sz w:val="18"/>
                <w:szCs w:val="18"/>
              </w:rPr>
              <w:t>）葫芦潭、</w:t>
            </w:r>
            <w:r>
              <w:rPr>
                <w:rFonts w:ascii="Calibri" w:hAnsi="Calibri"/>
                <w:sz w:val="18"/>
                <w:szCs w:val="18"/>
              </w:rPr>
              <w:t>46</w:t>
            </w:r>
            <w:r>
              <w:rPr>
                <w:rFonts w:hint="eastAsia" w:ascii="Calibri" w:hAnsi="Calibri"/>
                <w:sz w:val="18"/>
                <w:szCs w:val="18"/>
              </w:rPr>
              <w:t>）银龙瀑</w:t>
            </w:r>
          </w:p>
        </w:tc>
        <w:tc>
          <w:tcPr>
            <w:tcW w:w="699" w:type="dxa"/>
            <w:shd w:val="clear" w:color="auto" w:fill="auto"/>
            <w:vAlign w:val="center"/>
          </w:tcPr>
          <w:p>
            <w:pPr>
              <w:snapToGrid w:val="0"/>
              <w:spacing w:line="240" w:lineRule="auto"/>
              <w:ind w:firstLine="0" w:firstLineChars="0"/>
              <w:jc w:val="center"/>
              <w:rPr>
                <w:rFonts w:ascii="Calibri" w:hAnsi="Calibri"/>
                <w:sz w:val="18"/>
                <w:szCs w:val="18"/>
              </w:rPr>
            </w:pPr>
            <w:r>
              <w:rPr>
                <w:rFonts w:ascii="Calibri" w:hAnsi="Calibri"/>
                <w:sz w:val="18"/>
                <w:szCs w:val="18"/>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trPr>
        <w:tc>
          <w:tcPr>
            <w:tcW w:w="396" w:type="dxa"/>
            <w:vMerge w:val="continue"/>
            <w:shd w:val="clear" w:color="auto" w:fill="auto"/>
            <w:vAlign w:val="center"/>
          </w:tcPr>
          <w:p>
            <w:pPr>
              <w:snapToGrid w:val="0"/>
              <w:spacing w:line="240" w:lineRule="auto"/>
              <w:ind w:firstLine="0" w:firstLineChars="0"/>
              <w:rPr>
                <w:rFonts w:ascii="Calibri" w:hAnsi="Calibri"/>
                <w:sz w:val="18"/>
                <w:szCs w:val="18"/>
              </w:rPr>
            </w:pPr>
          </w:p>
        </w:tc>
        <w:tc>
          <w:tcPr>
            <w:tcW w:w="564" w:type="dxa"/>
            <w:shd w:val="clear" w:color="auto" w:fill="auto"/>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生景</w:t>
            </w:r>
          </w:p>
        </w:tc>
        <w:tc>
          <w:tcPr>
            <w:tcW w:w="6695" w:type="dxa"/>
            <w:shd w:val="clear" w:color="auto" w:fill="auto"/>
            <w:vAlign w:val="center"/>
          </w:tcPr>
          <w:p>
            <w:pPr>
              <w:snapToGrid w:val="0"/>
              <w:spacing w:line="240" w:lineRule="auto"/>
              <w:ind w:firstLine="0" w:firstLineChars="0"/>
              <w:rPr>
                <w:rFonts w:ascii="Calibri" w:hAnsi="Calibri"/>
                <w:sz w:val="18"/>
                <w:szCs w:val="18"/>
              </w:rPr>
            </w:pPr>
            <w:r>
              <w:rPr>
                <w:rFonts w:ascii="Calibri" w:hAnsi="Calibri"/>
                <w:sz w:val="18"/>
                <w:szCs w:val="18"/>
              </w:rPr>
              <w:t>1</w:t>
            </w:r>
            <w:r>
              <w:rPr>
                <w:rFonts w:hint="eastAsia" w:ascii="Calibri" w:hAnsi="Calibri"/>
                <w:sz w:val="18"/>
                <w:szCs w:val="18"/>
              </w:rPr>
              <w:t>）枫香片林、</w:t>
            </w:r>
            <w:r>
              <w:rPr>
                <w:rFonts w:ascii="Calibri" w:hAnsi="Calibri"/>
                <w:sz w:val="18"/>
                <w:szCs w:val="18"/>
              </w:rPr>
              <w:t>2</w:t>
            </w:r>
            <w:r>
              <w:rPr>
                <w:rFonts w:hint="eastAsia" w:ascii="Calibri" w:hAnsi="Calibri"/>
                <w:sz w:val="18"/>
                <w:szCs w:val="18"/>
              </w:rPr>
              <w:t>）石垟林场、</w:t>
            </w:r>
            <w:r>
              <w:rPr>
                <w:rFonts w:ascii="Calibri" w:hAnsi="Calibri"/>
                <w:sz w:val="18"/>
                <w:szCs w:val="18"/>
              </w:rPr>
              <w:t>3</w:t>
            </w:r>
            <w:r>
              <w:rPr>
                <w:rFonts w:hint="eastAsia" w:ascii="Calibri" w:hAnsi="Calibri"/>
                <w:sz w:val="18"/>
                <w:szCs w:val="18"/>
              </w:rPr>
              <w:t>）栲树群、</w:t>
            </w:r>
            <w:r>
              <w:rPr>
                <w:rFonts w:ascii="Calibri" w:hAnsi="Calibri"/>
                <w:sz w:val="18"/>
                <w:szCs w:val="18"/>
              </w:rPr>
              <w:t>4</w:t>
            </w:r>
            <w:r>
              <w:rPr>
                <w:rFonts w:hint="eastAsia" w:ascii="Calibri" w:hAnsi="Calibri"/>
                <w:sz w:val="18"/>
                <w:szCs w:val="18"/>
              </w:rPr>
              <w:t>）金朱林场、</w:t>
            </w:r>
            <w:r>
              <w:rPr>
                <w:rFonts w:ascii="Calibri" w:hAnsi="Calibri"/>
                <w:sz w:val="18"/>
                <w:szCs w:val="18"/>
              </w:rPr>
              <w:t>5</w:t>
            </w:r>
            <w:r>
              <w:rPr>
                <w:rFonts w:hint="eastAsia" w:ascii="Calibri" w:hAnsi="Calibri"/>
                <w:sz w:val="18"/>
                <w:szCs w:val="18"/>
              </w:rPr>
              <w:t>）山华林场、</w:t>
            </w:r>
            <w:r>
              <w:rPr>
                <w:rFonts w:ascii="Calibri" w:hAnsi="Calibri"/>
                <w:sz w:val="18"/>
                <w:szCs w:val="18"/>
              </w:rPr>
              <w:t>6</w:t>
            </w:r>
            <w:r>
              <w:rPr>
                <w:rFonts w:hint="eastAsia" w:ascii="Calibri" w:hAnsi="Calibri"/>
                <w:sz w:val="18"/>
                <w:szCs w:val="18"/>
              </w:rPr>
              <w:t>）五叶奇枫、</w:t>
            </w:r>
            <w:r>
              <w:rPr>
                <w:rFonts w:ascii="Calibri" w:hAnsi="Calibri"/>
                <w:sz w:val="18"/>
                <w:szCs w:val="18"/>
              </w:rPr>
              <w:t>7</w:t>
            </w:r>
            <w:r>
              <w:rPr>
                <w:rFonts w:hint="eastAsia" w:ascii="Calibri" w:hAnsi="Calibri"/>
                <w:sz w:val="18"/>
                <w:szCs w:val="18"/>
              </w:rPr>
              <w:t>）红枫古道、</w:t>
            </w:r>
            <w:r>
              <w:rPr>
                <w:rFonts w:ascii="Calibri" w:hAnsi="Calibri"/>
                <w:sz w:val="18"/>
                <w:szCs w:val="18"/>
              </w:rPr>
              <w:t>8</w:t>
            </w:r>
            <w:r>
              <w:rPr>
                <w:rFonts w:hint="eastAsia" w:ascii="Calibri" w:hAnsi="Calibri"/>
                <w:sz w:val="18"/>
                <w:szCs w:val="18"/>
              </w:rPr>
              <w:t>）柳杉绿海</w:t>
            </w:r>
          </w:p>
        </w:tc>
        <w:tc>
          <w:tcPr>
            <w:tcW w:w="699" w:type="dxa"/>
            <w:shd w:val="clear" w:color="auto" w:fill="auto"/>
            <w:vAlign w:val="center"/>
          </w:tcPr>
          <w:p>
            <w:pPr>
              <w:snapToGrid w:val="0"/>
              <w:spacing w:line="240" w:lineRule="auto"/>
              <w:ind w:firstLine="0" w:firstLineChars="0"/>
              <w:jc w:val="center"/>
              <w:rPr>
                <w:rFonts w:ascii="Calibri" w:hAnsi="Calibri"/>
                <w:sz w:val="18"/>
                <w:szCs w:val="18"/>
              </w:rPr>
            </w:pPr>
            <w:r>
              <w:rPr>
                <w:rFonts w:ascii="Calibri" w:hAnsi="Calibri"/>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3" w:hRule="atLeast"/>
        </w:trPr>
        <w:tc>
          <w:tcPr>
            <w:tcW w:w="396" w:type="dxa"/>
            <w:vMerge w:val="restart"/>
            <w:shd w:val="clear" w:color="auto" w:fill="auto"/>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人</w:t>
            </w:r>
          </w:p>
          <w:p>
            <w:pPr>
              <w:snapToGrid w:val="0"/>
              <w:spacing w:line="240" w:lineRule="auto"/>
              <w:ind w:firstLine="0" w:firstLineChars="0"/>
              <w:rPr>
                <w:rFonts w:ascii="Calibri" w:hAnsi="Calibri"/>
                <w:sz w:val="18"/>
                <w:szCs w:val="18"/>
              </w:rPr>
            </w:pPr>
            <w:r>
              <w:rPr>
                <w:rFonts w:hint="eastAsia" w:ascii="Calibri" w:hAnsi="Calibri"/>
                <w:sz w:val="18"/>
                <w:szCs w:val="18"/>
              </w:rPr>
              <w:t>文</w:t>
            </w:r>
          </w:p>
          <w:p>
            <w:pPr>
              <w:snapToGrid w:val="0"/>
              <w:spacing w:line="240" w:lineRule="auto"/>
              <w:ind w:firstLine="0" w:firstLineChars="0"/>
              <w:rPr>
                <w:rFonts w:ascii="Calibri" w:hAnsi="Calibri"/>
                <w:sz w:val="18"/>
                <w:szCs w:val="18"/>
              </w:rPr>
            </w:pPr>
            <w:r>
              <w:rPr>
                <w:rFonts w:hint="eastAsia" w:ascii="Calibri" w:hAnsi="Calibri"/>
                <w:sz w:val="18"/>
                <w:szCs w:val="18"/>
              </w:rPr>
              <w:t>景</w:t>
            </w:r>
          </w:p>
          <w:p>
            <w:pPr>
              <w:snapToGrid w:val="0"/>
              <w:spacing w:line="240" w:lineRule="auto"/>
              <w:ind w:firstLine="0" w:firstLineChars="0"/>
              <w:rPr>
                <w:rFonts w:ascii="Calibri" w:hAnsi="Calibri"/>
                <w:sz w:val="18"/>
                <w:szCs w:val="18"/>
              </w:rPr>
            </w:pPr>
            <w:r>
              <w:rPr>
                <w:rFonts w:hint="eastAsia" w:ascii="Calibri" w:hAnsi="Calibri"/>
                <w:sz w:val="18"/>
                <w:szCs w:val="18"/>
              </w:rPr>
              <w:t>源</w:t>
            </w:r>
          </w:p>
        </w:tc>
        <w:tc>
          <w:tcPr>
            <w:tcW w:w="564" w:type="dxa"/>
            <w:shd w:val="clear" w:color="auto" w:fill="auto"/>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建筑</w:t>
            </w:r>
          </w:p>
        </w:tc>
        <w:tc>
          <w:tcPr>
            <w:tcW w:w="6695" w:type="dxa"/>
            <w:shd w:val="clear" w:color="auto" w:fill="auto"/>
            <w:vAlign w:val="center"/>
          </w:tcPr>
          <w:p>
            <w:pPr>
              <w:snapToGrid w:val="0"/>
              <w:spacing w:line="240" w:lineRule="auto"/>
              <w:ind w:firstLine="0" w:firstLineChars="0"/>
              <w:rPr>
                <w:rFonts w:ascii="Calibri" w:hAnsi="Calibri"/>
                <w:sz w:val="18"/>
                <w:szCs w:val="18"/>
              </w:rPr>
            </w:pPr>
            <w:r>
              <w:rPr>
                <w:rFonts w:ascii="Calibri" w:hAnsi="Calibri"/>
                <w:sz w:val="18"/>
                <w:szCs w:val="18"/>
              </w:rPr>
              <w:t>1</w:t>
            </w:r>
            <w:r>
              <w:rPr>
                <w:rFonts w:hint="eastAsia" w:ascii="Calibri" w:hAnsi="Calibri"/>
                <w:sz w:val="18"/>
                <w:szCs w:val="18"/>
              </w:rPr>
              <w:t>）刘基故居、</w:t>
            </w:r>
            <w:r>
              <w:rPr>
                <w:rFonts w:ascii="Calibri" w:hAnsi="Calibri"/>
                <w:sz w:val="18"/>
                <w:szCs w:val="18"/>
              </w:rPr>
              <w:t>2</w:t>
            </w:r>
            <w:r>
              <w:rPr>
                <w:rFonts w:hint="eastAsia" w:ascii="Calibri" w:hAnsi="Calibri"/>
                <w:sz w:val="18"/>
                <w:szCs w:val="18"/>
              </w:rPr>
              <w:t>）武阳村传统村落、</w:t>
            </w:r>
            <w:r>
              <w:rPr>
                <w:rFonts w:ascii="Calibri" w:hAnsi="Calibri"/>
                <w:sz w:val="18"/>
                <w:szCs w:val="18"/>
              </w:rPr>
              <w:t>3</w:t>
            </w:r>
            <w:r>
              <w:rPr>
                <w:rFonts w:hint="eastAsia" w:ascii="Calibri" w:hAnsi="Calibri"/>
                <w:sz w:val="18"/>
                <w:szCs w:val="18"/>
              </w:rPr>
              <w:t>）下庄村传统村落、</w:t>
            </w:r>
            <w:r>
              <w:rPr>
                <w:rFonts w:ascii="Calibri" w:hAnsi="Calibri"/>
                <w:sz w:val="18"/>
                <w:szCs w:val="18"/>
              </w:rPr>
              <w:t>4</w:t>
            </w:r>
            <w:r>
              <w:rPr>
                <w:rFonts w:hint="eastAsia" w:ascii="Calibri" w:hAnsi="Calibri"/>
                <w:sz w:val="18"/>
                <w:szCs w:val="18"/>
              </w:rPr>
              <w:t>）明星寺、</w:t>
            </w:r>
            <w:r>
              <w:rPr>
                <w:rFonts w:ascii="Calibri" w:hAnsi="Calibri"/>
                <w:sz w:val="18"/>
                <w:szCs w:val="18"/>
              </w:rPr>
              <w:t>5</w:t>
            </w:r>
            <w:r>
              <w:rPr>
                <w:rFonts w:hint="eastAsia" w:ascii="Calibri" w:hAnsi="Calibri"/>
                <w:sz w:val="18"/>
                <w:szCs w:val="18"/>
              </w:rPr>
              <w:t>）陶真寨、</w:t>
            </w:r>
            <w:r>
              <w:rPr>
                <w:rFonts w:ascii="Calibri" w:hAnsi="Calibri"/>
                <w:sz w:val="18"/>
                <w:szCs w:val="18"/>
              </w:rPr>
              <w:t>6</w:t>
            </w:r>
            <w:r>
              <w:rPr>
                <w:rFonts w:hint="eastAsia" w:ascii="Calibri" w:hAnsi="Calibri"/>
                <w:sz w:val="18"/>
                <w:szCs w:val="18"/>
              </w:rPr>
              <w:t>）月老庙、</w:t>
            </w:r>
            <w:r>
              <w:rPr>
                <w:rFonts w:ascii="Calibri" w:hAnsi="Calibri"/>
                <w:sz w:val="18"/>
                <w:szCs w:val="18"/>
              </w:rPr>
              <w:t>7</w:t>
            </w:r>
            <w:r>
              <w:rPr>
                <w:rFonts w:hint="eastAsia" w:ascii="Calibri" w:hAnsi="Calibri"/>
                <w:sz w:val="18"/>
                <w:szCs w:val="18"/>
              </w:rPr>
              <w:t>）金竹寨、</w:t>
            </w:r>
            <w:r>
              <w:rPr>
                <w:rFonts w:ascii="Calibri" w:hAnsi="Calibri"/>
                <w:sz w:val="18"/>
                <w:szCs w:val="18"/>
              </w:rPr>
              <w:t>8</w:t>
            </w:r>
            <w:r>
              <w:rPr>
                <w:rFonts w:hint="eastAsia" w:ascii="Calibri" w:hAnsi="Calibri"/>
                <w:sz w:val="18"/>
                <w:szCs w:val="18"/>
              </w:rPr>
              <w:t>）马氏天仙殿、</w:t>
            </w:r>
            <w:r>
              <w:rPr>
                <w:rFonts w:ascii="Calibri" w:hAnsi="Calibri"/>
                <w:sz w:val="18"/>
                <w:szCs w:val="18"/>
              </w:rPr>
              <w:t>9</w:t>
            </w:r>
            <w:r>
              <w:rPr>
                <w:rFonts w:hint="eastAsia" w:ascii="Calibri" w:hAnsi="Calibri"/>
                <w:sz w:val="18"/>
                <w:szCs w:val="18"/>
              </w:rPr>
              <w:t>）朱氏祠堂、</w:t>
            </w:r>
            <w:r>
              <w:rPr>
                <w:rFonts w:ascii="Calibri" w:hAnsi="Calibri"/>
                <w:sz w:val="18"/>
                <w:szCs w:val="18"/>
              </w:rPr>
              <w:t>10</w:t>
            </w:r>
            <w:r>
              <w:rPr>
                <w:rFonts w:hint="eastAsia" w:ascii="Calibri" w:hAnsi="Calibri"/>
                <w:sz w:val="18"/>
                <w:szCs w:val="18"/>
              </w:rPr>
              <w:t>）胡泰清故居、</w:t>
            </w:r>
            <w:r>
              <w:rPr>
                <w:rFonts w:ascii="Calibri" w:hAnsi="Calibri"/>
                <w:sz w:val="18"/>
                <w:szCs w:val="18"/>
              </w:rPr>
              <w:t>11</w:t>
            </w:r>
            <w:r>
              <w:rPr>
                <w:rFonts w:hint="eastAsia" w:ascii="Calibri" w:hAnsi="Calibri"/>
                <w:sz w:val="18"/>
                <w:szCs w:val="18"/>
              </w:rPr>
              <w:t>）茗垟地主殿、</w:t>
            </w:r>
            <w:r>
              <w:rPr>
                <w:rFonts w:ascii="Calibri" w:hAnsi="Calibri"/>
                <w:sz w:val="18"/>
                <w:szCs w:val="18"/>
              </w:rPr>
              <w:t>12</w:t>
            </w:r>
            <w:r>
              <w:rPr>
                <w:rFonts w:hint="eastAsia" w:ascii="Calibri" w:hAnsi="Calibri"/>
                <w:sz w:val="18"/>
                <w:szCs w:val="18"/>
              </w:rPr>
              <w:t>）马氏娘娘宫、</w:t>
            </w:r>
            <w:r>
              <w:rPr>
                <w:rFonts w:ascii="Calibri" w:hAnsi="Calibri"/>
                <w:sz w:val="18"/>
                <w:szCs w:val="18"/>
              </w:rPr>
              <w:t>13</w:t>
            </w:r>
            <w:r>
              <w:rPr>
                <w:rFonts w:hint="eastAsia" w:ascii="Calibri" w:hAnsi="Calibri"/>
                <w:sz w:val="18"/>
                <w:szCs w:val="18"/>
              </w:rPr>
              <w:t>）下山村郑世鸿宅、</w:t>
            </w:r>
            <w:r>
              <w:rPr>
                <w:rFonts w:ascii="Calibri" w:hAnsi="Calibri"/>
                <w:sz w:val="18"/>
                <w:szCs w:val="18"/>
              </w:rPr>
              <w:t>14</w:t>
            </w:r>
            <w:r>
              <w:rPr>
                <w:rFonts w:hint="eastAsia" w:ascii="Calibri" w:hAnsi="Calibri"/>
                <w:sz w:val="18"/>
                <w:szCs w:val="18"/>
              </w:rPr>
              <w:t>）金山节孝坊、</w:t>
            </w:r>
            <w:r>
              <w:rPr>
                <w:rFonts w:ascii="Calibri" w:hAnsi="Calibri"/>
                <w:sz w:val="18"/>
                <w:szCs w:val="18"/>
              </w:rPr>
              <w:t>15</w:t>
            </w:r>
            <w:r>
              <w:rPr>
                <w:rFonts w:hint="eastAsia" w:ascii="Calibri" w:hAnsi="Calibri"/>
                <w:sz w:val="18"/>
                <w:szCs w:val="18"/>
              </w:rPr>
              <w:t>）陈山墓道坊、</w:t>
            </w:r>
            <w:r>
              <w:rPr>
                <w:rFonts w:ascii="Calibri" w:hAnsi="Calibri"/>
                <w:sz w:val="18"/>
                <w:szCs w:val="18"/>
              </w:rPr>
              <w:t>16</w:t>
            </w:r>
            <w:r>
              <w:rPr>
                <w:rFonts w:hint="eastAsia" w:ascii="Calibri" w:hAnsi="Calibri"/>
                <w:sz w:val="18"/>
                <w:szCs w:val="18"/>
              </w:rPr>
              <w:t>）鸽坞寨、</w:t>
            </w:r>
            <w:r>
              <w:rPr>
                <w:rFonts w:ascii="Calibri" w:hAnsi="Calibri"/>
                <w:sz w:val="18"/>
                <w:szCs w:val="18"/>
              </w:rPr>
              <w:t>17</w:t>
            </w:r>
            <w:r>
              <w:rPr>
                <w:rFonts w:hint="eastAsia" w:ascii="Calibri" w:hAnsi="Calibri"/>
                <w:sz w:val="18"/>
                <w:szCs w:val="18"/>
              </w:rPr>
              <w:t>）九台寺</w:t>
            </w:r>
          </w:p>
        </w:tc>
        <w:tc>
          <w:tcPr>
            <w:tcW w:w="699" w:type="dxa"/>
            <w:shd w:val="clear" w:color="auto" w:fill="auto"/>
            <w:vAlign w:val="center"/>
          </w:tcPr>
          <w:p>
            <w:pPr>
              <w:snapToGrid w:val="0"/>
              <w:spacing w:line="240" w:lineRule="auto"/>
              <w:ind w:firstLine="0" w:firstLineChars="0"/>
              <w:jc w:val="center"/>
              <w:rPr>
                <w:rFonts w:ascii="Calibri" w:hAnsi="Calibri"/>
                <w:sz w:val="18"/>
                <w:szCs w:val="18"/>
              </w:rPr>
            </w:pPr>
            <w:r>
              <w:rPr>
                <w:rFonts w:ascii="Calibri" w:hAnsi="Calibri"/>
                <w:sz w:val="18"/>
                <w:szCs w:val="18"/>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trPr>
        <w:tc>
          <w:tcPr>
            <w:tcW w:w="396" w:type="dxa"/>
            <w:vMerge w:val="continue"/>
            <w:shd w:val="clear" w:color="auto" w:fill="auto"/>
            <w:vAlign w:val="center"/>
          </w:tcPr>
          <w:p>
            <w:pPr>
              <w:snapToGrid w:val="0"/>
              <w:spacing w:line="240" w:lineRule="auto"/>
              <w:ind w:firstLine="0" w:firstLineChars="0"/>
              <w:rPr>
                <w:rFonts w:ascii="Calibri" w:hAnsi="Calibri"/>
                <w:sz w:val="18"/>
                <w:szCs w:val="18"/>
              </w:rPr>
            </w:pPr>
          </w:p>
        </w:tc>
        <w:tc>
          <w:tcPr>
            <w:tcW w:w="564" w:type="dxa"/>
            <w:shd w:val="clear" w:color="auto" w:fill="auto"/>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胜迹</w:t>
            </w:r>
          </w:p>
        </w:tc>
        <w:tc>
          <w:tcPr>
            <w:tcW w:w="6695" w:type="dxa"/>
            <w:shd w:val="clear" w:color="auto" w:fill="auto"/>
            <w:vAlign w:val="center"/>
          </w:tcPr>
          <w:p>
            <w:pPr>
              <w:snapToGrid w:val="0"/>
              <w:spacing w:line="240" w:lineRule="auto"/>
              <w:ind w:firstLine="0" w:firstLineChars="0"/>
              <w:rPr>
                <w:rFonts w:ascii="Calibri" w:hAnsi="Calibri"/>
                <w:sz w:val="18"/>
                <w:szCs w:val="18"/>
              </w:rPr>
            </w:pPr>
            <w:r>
              <w:rPr>
                <w:rFonts w:ascii="Calibri" w:hAnsi="Calibri"/>
                <w:sz w:val="18"/>
                <w:szCs w:val="18"/>
              </w:rPr>
              <w:t>1</w:t>
            </w:r>
            <w:r>
              <w:rPr>
                <w:rFonts w:hint="eastAsia" w:ascii="Calibri" w:hAnsi="Calibri"/>
                <w:sz w:val="18"/>
                <w:szCs w:val="18"/>
              </w:rPr>
              <w:t>）岭根古道、</w:t>
            </w:r>
            <w:r>
              <w:rPr>
                <w:rFonts w:ascii="Calibri" w:hAnsi="Calibri"/>
                <w:sz w:val="18"/>
                <w:szCs w:val="18"/>
              </w:rPr>
              <w:t>2</w:t>
            </w:r>
            <w:r>
              <w:rPr>
                <w:rFonts w:hint="eastAsia" w:ascii="Calibri" w:hAnsi="Calibri"/>
                <w:sz w:val="18"/>
                <w:szCs w:val="18"/>
              </w:rPr>
              <w:t>）双龙石窟、</w:t>
            </w:r>
            <w:r>
              <w:rPr>
                <w:rFonts w:ascii="Calibri" w:hAnsi="Calibri"/>
                <w:sz w:val="18"/>
                <w:szCs w:val="18"/>
              </w:rPr>
              <w:t>3</w:t>
            </w:r>
            <w:r>
              <w:rPr>
                <w:rFonts w:hint="eastAsia" w:ascii="Calibri" w:hAnsi="Calibri"/>
                <w:sz w:val="18"/>
                <w:szCs w:val="18"/>
              </w:rPr>
              <w:t>）石门古采铁遗址、</w:t>
            </w:r>
            <w:r>
              <w:rPr>
                <w:rFonts w:ascii="Calibri" w:hAnsi="Calibri"/>
                <w:sz w:val="18"/>
                <w:szCs w:val="18"/>
              </w:rPr>
              <w:t>4</w:t>
            </w:r>
            <w:r>
              <w:rPr>
                <w:rFonts w:hint="eastAsia" w:ascii="Calibri" w:hAnsi="Calibri"/>
                <w:sz w:val="18"/>
                <w:szCs w:val="18"/>
              </w:rPr>
              <w:t>）松根碉堡、</w:t>
            </w:r>
            <w:r>
              <w:rPr>
                <w:rFonts w:ascii="Calibri" w:hAnsi="Calibri"/>
                <w:sz w:val="18"/>
                <w:szCs w:val="18"/>
              </w:rPr>
              <w:t>5</w:t>
            </w:r>
            <w:r>
              <w:rPr>
                <w:rFonts w:hint="eastAsia" w:ascii="Calibri" w:hAnsi="Calibri"/>
                <w:sz w:val="18"/>
                <w:szCs w:val="18"/>
              </w:rPr>
              <w:t>）吴鸿祯墓、</w:t>
            </w:r>
            <w:r>
              <w:rPr>
                <w:rFonts w:ascii="Calibri" w:hAnsi="Calibri"/>
                <w:sz w:val="18"/>
                <w:szCs w:val="18"/>
              </w:rPr>
              <w:t>6</w:t>
            </w:r>
            <w:r>
              <w:rPr>
                <w:rFonts w:hint="eastAsia" w:ascii="Calibri" w:hAnsi="Calibri"/>
                <w:sz w:val="18"/>
                <w:szCs w:val="18"/>
              </w:rPr>
              <w:t>）宋窑遗址</w:t>
            </w:r>
          </w:p>
        </w:tc>
        <w:tc>
          <w:tcPr>
            <w:tcW w:w="699" w:type="dxa"/>
            <w:shd w:val="clear" w:color="auto" w:fill="auto"/>
            <w:vAlign w:val="center"/>
          </w:tcPr>
          <w:p>
            <w:pPr>
              <w:snapToGrid w:val="0"/>
              <w:spacing w:line="240" w:lineRule="auto"/>
              <w:ind w:firstLine="0" w:firstLineChars="0"/>
              <w:jc w:val="center"/>
              <w:rPr>
                <w:rFonts w:ascii="Calibri" w:hAnsi="Calibri"/>
                <w:sz w:val="18"/>
                <w:szCs w:val="18"/>
              </w:rPr>
            </w:pPr>
            <w:r>
              <w:rPr>
                <w:rFonts w:ascii="Calibri" w:hAnsi="Calibri"/>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 w:hRule="atLeast"/>
        </w:trPr>
        <w:tc>
          <w:tcPr>
            <w:tcW w:w="7655" w:type="dxa"/>
            <w:gridSpan w:val="3"/>
            <w:shd w:val="clear" w:color="auto" w:fill="auto"/>
            <w:vAlign w:val="center"/>
          </w:tcPr>
          <w:p>
            <w:pPr>
              <w:snapToGrid w:val="0"/>
              <w:spacing w:line="240" w:lineRule="auto"/>
              <w:ind w:firstLine="0" w:firstLineChars="0"/>
              <w:jc w:val="center"/>
              <w:rPr>
                <w:rFonts w:ascii="Calibri" w:hAnsi="Calibri"/>
                <w:b/>
                <w:sz w:val="18"/>
                <w:szCs w:val="18"/>
              </w:rPr>
            </w:pPr>
            <w:r>
              <w:rPr>
                <w:rFonts w:hint="eastAsia" w:ascii="Calibri" w:hAnsi="Calibri"/>
                <w:b/>
                <w:sz w:val="18"/>
                <w:szCs w:val="18"/>
              </w:rPr>
              <w:t>合计</w:t>
            </w:r>
          </w:p>
        </w:tc>
        <w:tc>
          <w:tcPr>
            <w:tcW w:w="699" w:type="dxa"/>
            <w:shd w:val="clear" w:color="auto" w:fill="auto"/>
            <w:vAlign w:val="center"/>
          </w:tcPr>
          <w:p>
            <w:pPr>
              <w:snapToGrid w:val="0"/>
              <w:spacing w:line="240" w:lineRule="auto"/>
              <w:ind w:firstLine="0" w:firstLineChars="0"/>
              <w:jc w:val="center"/>
              <w:rPr>
                <w:rFonts w:ascii="Calibri" w:hAnsi="Calibri"/>
                <w:b/>
                <w:sz w:val="18"/>
                <w:szCs w:val="18"/>
              </w:rPr>
            </w:pPr>
            <w:r>
              <w:rPr>
                <w:rFonts w:ascii="Calibri" w:hAnsi="Calibri"/>
                <w:b/>
                <w:sz w:val="18"/>
                <w:szCs w:val="18"/>
              </w:rPr>
              <w:t>136</w:t>
            </w:r>
          </w:p>
        </w:tc>
      </w:tr>
    </w:tbl>
    <w:p>
      <w:pPr>
        <w:spacing w:before="97" w:beforeLines="30"/>
        <w:ind w:firstLine="480"/>
        <w:rPr>
          <w:szCs w:val="20"/>
        </w:rPr>
      </w:pPr>
      <w:r>
        <w:rPr>
          <w:rFonts w:hint="eastAsia" w:cs="宋体"/>
        </w:rPr>
        <w:t>规划根据《风景名胜区总体规划标准》（</w:t>
      </w:r>
      <w:r>
        <w:rPr>
          <w:rFonts w:cs="宋体"/>
        </w:rPr>
        <w:t>GB/T 50298-2018</w:t>
      </w:r>
      <w:r>
        <w:rPr>
          <w:rFonts w:hint="eastAsia" w:cs="宋体"/>
        </w:rPr>
        <w:t>），</w:t>
      </w:r>
      <w:r>
        <w:rPr>
          <w:rFonts w:hint="eastAsia"/>
        </w:rPr>
        <w:t>基于现场踏勘和资源普查报告，</w:t>
      </w:r>
      <w:r>
        <w:rPr>
          <w:rFonts w:hint="eastAsia"/>
          <w:szCs w:val="20"/>
        </w:rPr>
        <w:t>从</w:t>
      </w:r>
      <w:r>
        <w:rPr>
          <w:rFonts w:hint="eastAsia" w:cs="宋体"/>
        </w:rPr>
        <w:t>景源价值、环境水平、利用条件和规模范围</w:t>
      </w:r>
      <w:r>
        <w:rPr>
          <w:rFonts w:hint="eastAsia"/>
          <w:szCs w:val="20"/>
        </w:rPr>
        <w:t>四个方面</w:t>
      </w:r>
      <w:r>
        <w:rPr>
          <w:rFonts w:hint="eastAsia"/>
        </w:rPr>
        <w:t>对</w:t>
      </w:r>
      <w:r>
        <w:rPr>
          <w:szCs w:val="20"/>
        </w:rPr>
        <w:t>136</w:t>
      </w:r>
      <w:r>
        <w:rPr>
          <w:rFonts w:hint="eastAsia"/>
          <w:szCs w:val="20"/>
        </w:rPr>
        <w:t>处景</w:t>
      </w:r>
      <w:r>
        <w:rPr>
          <w:rFonts w:hint="eastAsia"/>
        </w:rPr>
        <w:t>源</w:t>
      </w:r>
      <w:r>
        <w:rPr>
          <w:rFonts w:hint="eastAsia"/>
          <w:szCs w:val="20"/>
        </w:rPr>
        <w:t>进行量化评价，评价结果：一级景</w:t>
      </w:r>
      <w:r>
        <w:rPr>
          <w:rFonts w:hint="eastAsia"/>
        </w:rPr>
        <w:t>源</w:t>
      </w:r>
      <w:r>
        <w:rPr>
          <w:szCs w:val="20"/>
        </w:rPr>
        <w:t>12</w:t>
      </w:r>
      <w:r>
        <w:rPr>
          <w:rFonts w:hint="eastAsia"/>
          <w:szCs w:val="20"/>
        </w:rPr>
        <w:t>处，二级景</w:t>
      </w:r>
      <w:r>
        <w:rPr>
          <w:rFonts w:hint="eastAsia"/>
        </w:rPr>
        <w:t>源</w:t>
      </w:r>
      <w:r>
        <w:t>26</w:t>
      </w:r>
      <w:r>
        <w:rPr>
          <w:rFonts w:hint="eastAsia"/>
          <w:szCs w:val="20"/>
        </w:rPr>
        <w:t>处，三级景</w:t>
      </w:r>
      <w:r>
        <w:rPr>
          <w:rFonts w:hint="eastAsia"/>
        </w:rPr>
        <w:t>源</w:t>
      </w:r>
      <w:r>
        <w:rPr>
          <w:szCs w:val="20"/>
        </w:rPr>
        <w:t>50</w:t>
      </w:r>
      <w:r>
        <w:rPr>
          <w:rFonts w:hint="eastAsia"/>
          <w:szCs w:val="20"/>
        </w:rPr>
        <w:t>处，四级景源</w:t>
      </w:r>
      <w:r>
        <w:rPr>
          <w:szCs w:val="20"/>
        </w:rPr>
        <w:t>48</w:t>
      </w:r>
      <w:r>
        <w:rPr>
          <w:rFonts w:hint="eastAsia"/>
          <w:szCs w:val="20"/>
        </w:rPr>
        <w:t>处。</w:t>
      </w:r>
    </w:p>
    <w:p>
      <w:pPr>
        <w:spacing w:before="97" w:beforeLines="30" w:line="312" w:lineRule="auto"/>
        <w:ind w:firstLine="480"/>
        <w:rPr>
          <w:rFonts w:ascii="楷体" w:hAnsi="楷体" w:eastAsia="楷体" w:cs="宋体"/>
        </w:rPr>
      </w:pPr>
      <w:r>
        <w:rPr>
          <w:rFonts w:hint="eastAsia" w:ascii="楷体" w:hAnsi="楷体" w:eastAsia="楷体" w:cs="宋体"/>
        </w:rPr>
        <w:t>一级景源：景感度很强，景观奇特，环境质量很高或文化价值突出，或有很高的科学价值，并在空间上相对独立，在全国范围内乃至世界范围内具有吸引力的景源。</w:t>
      </w:r>
    </w:p>
    <w:p>
      <w:pPr>
        <w:spacing w:before="97" w:beforeLines="30" w:line="312" w:lineRule="auto"/>
        <w:ind w:firstLine="480"/>
        <w:rPr>
          <w:rFonts w:ascii="楷体" w:hAnsi="楷体" w:eastAsia="楷体" w:cs="宋体"/>
        </w:rPr>
      </w:pPr>
      <w:r>
        <w:rPr>
          <w:rFonts w:hint="eastAsia" w:ascii="楷体" w:hAnsi="楷体" w:eastAsia="楷体" w:cs="宋体"/>
        </w:rPr>
        <w:t>二级景源：景感度强，景观效果佳，环境质量好，或具有较重要的文化价值，或有较高的科学价值，并在省内外有一定吸引力的景源。</w:t>
      </w:r>
    </w:p>
    <w:p>
      <w:pPr>
        <w:spacing w:before="97" w:beforeLines="30" w:line="312" w:lineRule="auto"/>
        <w:ind w:firstLine="480"/>
        <w:rPr>
          <w:rFonts w:ascii="楷体" w:hAnsi="楷体" w:eastAsia="楷体" w:cs="宋体"/>
        </w:rPr>
      </w:pPr>
      <w:r>
        <w:rPr>
          <w:rFonts w:hint="eastAsia" w:ascii="楷体" w:hAnsi="楷体" w:eastAsia="楷体" w:cs="宋体"/>
        </w:rPr>
        <w:t>三级景源：景感度和景观效果一般，环境质量较好，或有一定的文化价值和科学价值，并在市域范围内具有吸引力的景源。</w:t>
      </w:r>
    </w:p>
    <w:p>
      <w:pPr>
        <w:spacing w:before="97" w:beforeLines="30" w:line="312" w:lineRule="auto"/>
        <w:ind w:firstLine="480"/>
        <w:rPr>
          <w:rFonts w:ascii="楷体" w:hAnsi="楷体" w:eastAsia="楷体" w:cs="宋体"/>
        </w:rPr>
      </w:pPr>
      <w:r>
        <w:rPr>
          <w:rFonts w:hint="eastAsia" w:ascii="楷体" w:hAnsi="楷体" w:eastAsia="楷体" w:cs="宋体"/>
        </w:rPr>
        <w:t>四级景源：有一定景观效果的其它所有景源。</w:t>
      </w:r>
    </w:p>
    <w:p>
      <w:pPr>
        <w:spacing w:before="163" w:beforeLines="50"/>
        <w:ind w:firstLine="480"/>
        <w:rPr>
          <w:rFonts w:cs="宋体"/>
        </w:rPr>
      </w:pPr>
      <w:r>
        <w:rPr>
          <w:rFonts w:hint="eastAsia" w:cs="宋体"/>
        </w:rPr>
        <w:t>从</w:t>
      </w:r>
      <w:r>
        <w:rPr>
          <w:rFonts w:hint="eastAsia" w:cs="宋体"/>
          <w:b/>
          <w:bCs/>
        </w:rPr>
        <w:t>资源类型</w:t>
      </w:r>
      <w:r>
        <w:rPr>
          <w:rFonts w:hint="eastAsia" w:cs="宋体"/>
        </w:rPr>
        <w:t>上看，以自然资源为主，其中地景、水景两类景源数量占比最大、风景价值最为突出，尤以峡谷、奇峰、瀑布、湖泊等为代表。人文资源占比较小，以刘基文化等为代表。</w:t>
      </w:r>
    </w:p>
    <w:p>
      <w:pPr>
        <w:spacing w:before="97" w:beforeLines="30"/>
        <w:ind w:firstLine="480"/>
        <w:rPr>
          <w:rFonts w:cs="宋体"/>
        </w:rPr>
      </w:pPr>
      <w:r>
        <w:rPr>
          <w:rFonts w:hint="eastAsia" w:cs="宋体"/>
        </w:rPr>
        <w:t>从</w:t>
      </w:r>
      <w:r>
        <w:rPr>
          <w:rFonts w:hint="eastAsia" w:cs="宋体"/>
          <w:b/>
        </w:rPr>
        <w:t>资源级别</w:t>
      </w:r>
      <w:r>
        <w:rPr>
          <w:rFonts w:hint="eastAsia" w:cs="宋体"/>
        </w:rPr>
        <w:t>上看，风景区没有特级景源，一、二级景源占比</w:t>
      </w:r>
      <w:r>
        <w:rPr>
          <w:rFonts w:cs="宋体"/>
        </w:rPr>
        <w:t>28%</w:t>
      </w:r>
      <w:r>
        <w:rPr>
          <w:rFonts w:hint="eastAsia" w:cs="宋体"/>
        </w:rPr>
        <w:t>，三、四级景源占比</w:t>
      </w:r>
      <w:r>
        <w:rPr>
          <w:rFonts w:cs="宋体"/>
        </w:rPr>
        <w:t>72%</w:t>
      </w:r>
      <w:r>
        <w:rPr>
          <w:rFonts w:hint="eastAsia" w:cs="宋体"/>
        </w:rPr>
        <w:t>，景源级别分布呈现出“头小脚大”的格局。</w:t>
      </w:r>
    </w:p>
    <w:p>
      <w:pPr>
        <w:spacing w:before="97" w:beforeLines="30"/>
        <w:ind w:firstLine="480"/>
        <w:rPr>
          <w:rFonts w:cs="宋体"/>
        </w:rPr>
      </w:pPr>
      <w:r>
        <w:rPr>
          <w:rFonts w:hint="eastAsia" w:cs="宋体"/>
        </w:rPr>
        <w:t>从</w:t>
      </w:r>
      <w:r>
        <w:rPr>
          <w:rFonts w:hint="eastAsia" w:cs="宋体"/>
          <w:b/>
        </w:rPr>
        <w:t>空间分布</w:t>
      </w:r>
      <w:r>
        <w:rPr>
          <w:rFonts w:hint="eastAsia" w:cs="宋体"/>
        </w:rPr>
        <w:t>看，景观价值较高一二级景点集中分布在百丈漈、峡谷景廊、飞云湖、朱阳九峰、伯温故里和龙麒源等区域。</w:t>
      </w:r>
    </w:p>
    <w:p>
      <w:pPr>
        <w:ind w:firstLine="0" w:firstLineChars="0"/>
        <w:jc w:val="center"/>
        <w:rPr>
          <w:rFonts w:ascii="Calibri" w:hAnsi="Calibri"/>
          <w:b/>
          <w:sz w:val="21"/>
          <w:szCs w:val="21"/>
        </w:rPr>
      </w:pPr>
      <w:r>
        <w:rPr>
          <w:rFonts w:hint="eastAsia" w:ascii="Calibri" w:hAnsi="Calibri"/>
          <w:b/>
          <w:sz w:val="21"/>
          <w:szCs w:val="21"/>
        </w:rPr>
        <w:t>表2</w:t>
      </w:r>
      <w:r>
        <w:rPr>
          <w:rFonts w:ascii="Calibri" w:hAnsi="Calibri"/>
          <w:b/>
          <w:sz w:val="21"/>
          <w:szCs w:val="21"/>
        </w:rPr>
        <w:t xml:space="preserve">-2 </w:t>
      </w:r>
      <w:r>
        <w:rPr>
          <w:rFonts w:hint="eastAsia" w:ascii="Calibri" w:hAnsi="Calibri"/>
          <w:b/>
          <w:sz w:val="21"/>
          <w:szCs w:val="21"/>
        </w:rPr>
        <w:t>景源分级统计表</w:t>
      </w:r>
    </w:p>
    <w:tbl>
      <w:tblPr>
        <w:tblStyle w:val="42"/>
        <w:tblW w:w="8556"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
        <w:gridCol w:w="396"/>
        <w:gridCol w:w="913"/>
        <w:gridCol w:w="1759"/>
        <w:gridCol w:w="2340"/>
        <w:gridCol w:w="2067"/>
        <w:gridCol w:w="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blHeader/>
        </w:trPr>
        <w:tc>
          <w:tcPr>
            <w:tcW w:w="792" w:type="dxa"/>
            <w:gridSpan w:val="2"/>
            <w:vMerge w:val="restart"/>
            <w:shd w:val="clear" w:color="auto" w:fill="E2E2E2"/>
            <w:vAlign w:val="center"/>
          </w:tcPr>
          <w:p>
            <w:pPr>
              <w:snapToGrid w:val="0"/>
              <w:spacing w:line="240" w:lineRule="auto"/>
              <w:ind w:firstLine="0" w:firstLineChars="0"/>
              <w:jc w:val="center"/>
              <w:rPr>
                <w:rFonts w:ascii="Calibri" w:hAnsi="Calibri"/>
                <w:b/>
                <w:sz w:val="18"/>
                <w:szCs w:val="18"/>
              </w:rPr>
            </w:pPr>
            <w:r>
              <w:rPr>
                <w:rFonts w:hint="eastAsia" w:ascii="Calibri" w:hAnsi="Calibri"/>
                <w:b/>
                <w:sz w:val="18"/>
                <w:szCs w:val="18"/>
              </w:rPr>
              <w:t>景源</w:t>
            </w:r>
          </w:p>
          <w:p>
            <w:pPr>
              <w:snapToGrid w:val="0"/>
              <w:spacing w:line="240" w:lineRule="auto"/>
              <w:ind w:firstLine="0" w:firstLineChars="0"/>
              <w:jc w:val="center"/>
              <w:rPr>
                <w:rFonts w:ascii="Calibri" w:hAnsi="Calibri"/>
                <w:b/>
                <w:sz w:val="18"/>
                <w:szCs w:val="18"/>
              </w:rPr>
            </w:pPr>
            <w:r>
              <w:rPr>
                <w:rFonts w:hint="eastAsia" w:ascii="Calibri" w:hAnsi="Calibri"/>
                <w:b/>
                <w:sz w:val="18"/>
                <w:szCs w:val="18"/>
              </w:rPr>
              <w:t>分类</w:t>
            </w:r>
          </w:p>
        </w:tc>
        <w:tc>
          <w:tcPr>
            <w:tcW w:w="7079" w:type="dxa"/>
            <w:gridSpan w:val="4"/>
            <w:shd w:val="clear" w:color="auto" w:fill="E2E2E2"/>
            <w:vAlign w:val="center"/>
          </w:tcPr>
          <w:p>
            <w:pPr>
              <w:snapToGrid w:val="0"/>
              <w:spacing w:line="240" w:lineRule="auto"/>
              <w:ind w:firstLine="0" w:firstLineChars="0"/>
              <w:jc w:val="center"/>
              <w:rPr>
                <w:rFonts w:ascii="Calibri" w:hAnsi="Calibri"/>
                <w:b/>
                <w:sz w:val="18"/>
                <w:szCs w:val="18"/>
              </w:rPr>
            </w:pPr>
            <w:r>
              <w:rPr>
                <w:rFonts w:hint="eastAsia" w:ascii="Calibri" w:hAnsi="Calibri"/>
                <w:b/>
                <w:sz w:val="18"/>
                <w:szCs w:val="18"/>
              </w:rPr>
              <w:t>级别</w:t>
            </w:r>
          </w:p>
        </w:tc>
        <w:tc>
          <w:tcPr>
            <w:tcW w:w="685" w:type="dxa"/>
            <w:vMerge w:val="restart"/>
            <w:shd w:val="clear" w:color="auto" w:fill="E2E2E2"/>
            <w:vAlign w:val="center"/>
          </w:tcPr>
          <w:p>
            <w:pPr>
              <w:snapToGrid w:val="0"/>
              <w:spacing w:line="240" w:lineRule="auto"/>
              <w:ind w:firstLine="0" w:firstLineChars="0"/>
              <w:jc w:val="center"/>
              <w:rPr>
                <w:rFonts w:ascii="Calibri" w:hAnsi="Calibri"/>
                <w:bCs/>
                <w:sz w:val="18"/>
                <w:szCs w:val="18"/>
              </w:rPr>
            </w:pPr>
            <w:r>
              <w:rPr>
                <w:rFonts w:hint="eastAsia" w:ascii="Calibri" w:hAnsi="Calibri"/>
                <w:b/>
                <w:sz w:val="18"/>
                <w:szCs w:val="18"/>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trPr>
        <w:tc>
          <w:tcPr>
            <w:tcW w:w="792" w:type="dxa"/>
            <w:gridSpan w:val="2"/>
            <w:vMerge w:val="continue"/>
            <w:shd w:val="clear" w:color="auto" w:fill="E2E2E2"/>
            <w:vAlign w:val="center"/>
          </w:tcPr>
          <w:p>
            <w:pPr>
              <w:snapToGrid w:val="0"/>
              <w:spacing w:line="240" w:lineRule="auto"/>
              <w:ind w:firstLine="0" w:firstLineChars="0"/>
              <w:jc w:val="center"/>
              <w:rPr>
                <w:rFonts w:ascii="Calibri" w:hAnsi="Calibri"/>
                <w:b/>
                <w:sz w:val="18"/>
                <w:szCs w:val="18"/>
              </w:rPr>
            </w:pPr>
          </w:p>
        </w:tc>
        <w:tc>
          <w:tcPr>
            <w:tcW w:w="913" w:type="dxa"/>
            <w:shd w:val="clear" w:color="auto" w:fill="E2E2E2"/>
            <w:vAlign w:val="center"/>
          </w:tcPr>
          <w:p>
            <w:pPr>
              <w:snapToGrid w:val="0"/>
              <w:spacing w:line="240" w:lineRule="auto"/>
              <w:ind w:firstLine="0" w:firstLineChars="0"/>
              <w:jc w:val="center"/>
              <w:rPr>
                <w:rFonts w:ascii="Calibri" w:hAnsi="Calibri"/>
                <w:b/>
                <w:sz w:val="18"/>
                <w:szCs w:val="18"/>
              </w:rPr>
            </w:pPr>
            <w:r>
              <w:rPr>
                <w:rFonts w:hint="eastAsia" w:ascii="Calibri" w:hAnsi="Calibri"/>
                <w:b/>
                <w:sz w:val="18"/>
                <w:szCs w:val="18"/>
              </w:rPr>
              <w:t>一级</w:t>
            </w:r>
          </w:p>
        </w:tc>
        <w:tc>
          <w:tcPr>
            <w:tcW w:w="1759" w:type="dxa"/>
            <w:shd w:val="clear" w:color="auto" w:fill="E2E2E2"/>
            <w:vAlign w:val="center"/>
          </w:tcPr>
          <w:p>
            <w:pPr>
              <w:snapToGrid w:val="0"/>
              <w:spacing w:line="240" w:lineRule="auto"/>
              <w:ind w:firstLine="0" w:firstLineChars="0"/>
              <w:jc w:val="center"/>
              <w:rPr>
                <w:rFonts w:ascii="Calibri" w:hAnsi="Calibri"/>
                <w:b/>
                <w:sz w:val="18"/>
                <w:szCs w:val="18"/>
              </w:rPr>
            </w:pPr>
            <w:r>
              <w:rPr>
                <w:rFonts w:hint="eastAsia" w:ascii="Calibri" w:hAnsi="Calibri"/>
                <w:b/>
                <w:sz w:val="18"/>
                <w:szCs w:val="18"/>
              </w:rPr>
              <w:t>二级</w:t>
            </w:r>
          </w:p>
        </w:tc>
        <w:tc>
          <w:tcPr>
            <w:tcW w:w="2340" w:type="dxa"/>
            <w:shd w:val="clear" w:color="auto" w:fill="E2E2E2"/>
            <w:vAlign w:val="center"/>
          </w:tcPr>
          <w:p>
            <w:pPr>
              <w:snapToGrid w:val="0"/>
              <w:spacing w:line="240" w:lineRule="auto"/>
              <w:ind w:firstLine="0" w:firstLineChars="0"/>
              <w:jc w:val="center"/>
              <w:rPr>
                <w:rFonts w:ascii="Calibri" w:hAnsi="Calibri"/>
                <w:b/>
                <w:sz w:val="18"/>
                <w:szCs w:val="18"/>
              </w:rPr>
            </w:pPr>
            <w:r>
              <w:rPr>
                <w:rFonts w:hint="eastAsia" w:ascii="Calibri" w:hAnsi="Calibri"/>
                <w:b/>
                <w:sz w:val="18"/>
                <w:szCs w:val="18"/>
              </w:rPr>
              <w:t>三级</w:t>
            </w:r>
          </w:p>
        </w:tc>
        <w:tc>
          <w:tcPr>
            <w:tcW w:w="2067" w:type="dxa"/>
            <w:shd w:val="clear" w:color="auto" w:fill="E2E2E2"/>
            <w:vAlign w:val="center"/>
          </w:tcPr>
          <w:p>
            <w:pPr>
              <w:snapToGrid w:val="0"/>
              <w:spacing w:line="240" w:lineRule="auto"/>
              <w:ind w:firstLine="0" w:firstLineChars="0"/>
              <w:jc w:val="center"/>
              <w:rPr>
                <w:rFonts w:ascii="Calibri" w:hAnsi="Calibri"/>
                <w:b/>
                <w:sz w:val="18"/>
                <w:szCs w:val="18"/>
              </w:rPr>
            </w:pPr>
            <w:r>
              <w:rPr>
                <w:rFonts w:hint="eastAsia" w:ascii="Calibri" w:hAnsi="Calibri"/>
                <w:b/>
                <w:sz w:val="18"/>
                <w:szCs w:val="18"/>
              </w:rPr>
              <w:t>四级</w:t>
            </w:r>
          </w:p>
        </w:tc>
        <w:tc>
          <w:tcPr>
            <w:tcW w:w="685" w:type="dxa"/>
            <w:vMerge w:val="continue"/>
            <w:shd w:val="clear" w:color="auto" w:fill="E2E2E2"/>
            <w:vAlign w:val="center"/>
          </w:tcPr>
          <w:p>
            <w:pPr>
              <w:snapToGrid w:val="0"/>
              <w:spacing w:line="240" w:lineRule="auto"/>
              <w:ind w:firstLine="0" w:firstLineChars="0"/>
              <w:jc w:val="center"/>
              <w:rPr>
                <w:rFonts w:ascii="Calibri" w:hAnsi="Calibri"/>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trPr>
        <w:tc>
          <w:tcPr>
            <w:tcW w:w="396" w:type="dxa"/>
            <w:vMerge w:val="restart"/>
            <w:shd w:val="clear" w:color="auto" w:fill="auto"/>
            <w:vAlign w:val="center"/>
          </w:tcPr>
          <w:p>
            <w:pPr>
              <w:snapToGrid w:val="0"/>
              <w:spacing w:line="240" w:lineRule="auto"/>
              <w:ind w:firstLine="0" w:firstLineChars="0"/>
              <w:jc w:val="center"/>
              <w:rPr>
                <w:rFonts w:ascii="Calibri" w:hAnsi="Calibri"/>
                <w:sz w:val="18"/>
                <w:szCs w:val="18"/>
              </w:rPr>
            </w:pPr>
            <w:r>
              <w:rPr>
                <w:rFonts w:hint="eastAsia" w:ascii="Calibri" w:hAnsi="Calibri"/>
                <w:sz w:val="18"/>
                <w:szCs w:val="18"/>
              </w:rPr>
              <w:t>自</w:t>
            </w:r>
          </w:p>
          <w:p>
            <w:pPr>
              <w:snapToGrid w:val="0"/>
              <w:spacing w:line="240" w:lineRule="auto"/>
              <w:ind w:firstLine="0" w:firstLineChars="0"/>
              <w:jc w:val="center"/>
              <w:rPr>
                <w:rFonts w:ascii="Calibri" w:hAnsi="Calibri"/>
                <w:sz w:val="18"/>
                <w:szCs w:val="18"/>
              </w:rPr>
            </w:pPr>
            <w:r>
              <w:rPr>
                <w:rFonts w:hint="eastAsia" w:ascii="Calibri" w:hAnsi="Calibri"/>
                <w:sz w:val="18"/>
                <w:szCs w:val="18"/>
              </w:rPr>
              <w:t>然</w:t>
            </w:r>
          </w:p>
          <w:p>
            <w:pPr>
              <w:snapToGrid w:val="0"/>
              <w:spacing w:line="240" w:lineRule="auto"/>
              <w:ind w:firstLine="0" w:firstLineChars="0"/>
              <w:jc w:val="center"/>
              <w:rPr>
                <w:rFonts w:ascii="Calibri" w:hAnsi="Calibri"/>
                <w:sz w:val="18"/>
                <w:szCs w:val="18"/>
              </w:rPr>
            </w:pPr>
            <w:r>
              <w:rPr>
                <w:rFonts w:hint="eastAsia" w:ascii="Calibri" w:hAnsi="Calibri"/>
                <w:sz w:val="18"/>
                <w:szCs w:val="18"/>
              </w:rPr>
              <w:t>景</w:t>
            </w:r>
          </w:p>
          <w:p>
            <w:pPr>
              <w:snapToGrid w:val="0"/>
              <w:spacing w:line="240" w:lineRule="auto"/>
              <w:ind w:firstLine="0" w:firstLineChars="0"/>
              <w:jc w:val="center"/>
              <w:rPr>
                <w:rFonts w:ascii="Calibri" w:hAnsi="Calibri"/>
                <w:sz w:val="18"/>
                <w:szCs w:val="18"/>
              </w:rPr>
            </w:pPr>
            <w:r>
              <w:rPr>
                <w:rFonts w:hint="eastAsia" w:ascii="Calibri" w:hAnsi="Calibri"/>
                <w:sz w:val="18"/>
                <w:szCs w:val="18"/>
              </w:rPr>
              <w:t>源</w:t>
            </w:r>
          </w:p>
        </w:tc>
        <w:tc>
          <w:tcPr>
            <w:tcW w:w="396" w:type="dxa"/>
            <w:shd w:val="clear" w:color="auto" w:fill="auto"/>
            <w:vAlign w:val="center"/>
          </w:tcPr>
          <w:p>
            <w:pPr>
              <w:snapToGrid w:val="0"/>
              <w:spacing w:line="240" w:lineRule="auto"/>
              <w:ind w:firstLine="0" w:firstLineChars="0"/>
              <w:jc w:val="center"/>
              <w:rPr>
                <w:rFonts w:ascii="Calibri" w:hAnsi="Calibri"/>
                <w:sz w:val="18"/>
                <w:szCs w:val="18"/>
              </w:rPr>
            </w:pPr>
            <w:r>
              <w:rPr>
                <w:rFonts w:hint="eastAsia" w:ascii="Calibri" w:hAnsi="Calibri"/>
                <w:sz w:val="18"/>
                <w:szCs w:val="18"/>
              </w:rPr>
              <w:t>天景</w:t>
            </w:r>
          </w:p>
        </w:tc>
        <w:tc>
          <w:tcPr>
            <w:tcW w:w="913" w:type="dxa"/>
            <w:shd w:val="clear" w:color="auto" w:fill="auto"/>
            <w:vAlign w:val="center"/>
          </w:tcPr>
          <w:p>
            <w:pPr>
              <w:snapToGrid w:val="0"/>
              <w:spacing w:line="240" w:lineRule="auto"/>
              <w:ind w:firstLine="0" w:firstLineChars="0"/>
              <w:jc w:val="center"/>
              <w:rPr>
                <w:rFonts w:ascii="Calibri" w:hAnsi="Calibri"/>
                <w:sz w:val="18"/>
                <w:szCs w:val="18"/>
              </w:rPr>
            </w:pPr>
          </w:p>
        </w:tc>
        <w:tc>
          <w:tcPr>
            <w:tcW w:w="1759" w:type="dxa"/>
            <w:shd w:val="clear" w:color="auto" w:fill="auto"/>
            <w:vAlign w:val="center"/>
          </w:tcPr>
          <w:p>
            <w:pPr>
              <w:snapToGrid w:val="0"/>
              <w:spacing w:line="240" w:lineRule="auto"/>
              <w:ind w:firstLine="0" w:firstLineChars="0"/>
              <w:jc w:val="center"/>
              <w:rPr>
                <w:rFonts w:ascii="Calibri" w:hAnsi="Calibri"/>
                <w:sz w:val="18"/>
                <w:szCs w:val="18"/>
              </w:rPr>
            </w:pPr>
          </w:p>
        </w:tc>
        <w:tc>
          <w:tcPr>
            <w:tcW w:w="2340" w:type="dxa"/>
            <w:shd w:val="clear" w:color="auto" w:fill="auto"/>
            <w:vAlign w:val="center"/>
          </w:tcPr>
          <w:p>
            <w:pPr>
              <w:snapToGrid w:val="0"/>
              <w:spacing w:line="240" w:lineRule="auto"/>
              <w:ind w:firstLine="0" w:firstLineChars="0"/>
              <w:jc w:val="center"/>
              <w:rPr>
                <w:rFonts w:ascii="Calibri" w:hAnsi="Calibri"/>
                <w:sz w:val="18"/>
                <w:szCs w:val="18"/>
              </w:rPr>
            </w:pPr>
          </w:p>
        </w:tc>
        <w:tc>
          <w:tcPr>
            <w:tcW w:w="2067" w:type="dxa"/>
            <w:shd w:val="clear" w:color="auto" w:fill="auto"/>
            <w:vAlign w:val="center"/>
          </w:tcPr>
          <w:p>
            <w:pPr>
              <w:snapToGrid w:val="0"/>
              <w:spacing w:line="240" w:lineRule="auto"/>
              <w:ind w:firstLine="0" w:firstLineChars="0"/>
              <w:jc w:val="center"/>
              <w:rPr>
                <w:rFonts w:ascii="Calibri" w:hAnsi="Calibri"/>
                <w:sz w:val="18"/>
                <w:szCs w:val="18"/>
              </w:rPr>
            </w:pPr>
            <w:r>
              <w:rPr>
                <w:rFonts w:hint="eastAsia" w:ascii="Calibri" w:hAnsi="Calibri"/>
                <w:sz w:val="18"/>
                <w:szCs w:val="18"/>
              </w:rPr>
              <w:t>雾凇沆砀</w:t>
            </w:r>
          </w:p>
        </w:tc>
        <w:tc>
          <w:tcPr>
            <w:tcW w:w="685" w:type="dxa"/>
            <w:shd w:val="clear" w:color="auto" w:fill="auto"/>
            <w:vAlign w:val="center"/>
          </w:tcPr>
          <w:p>
            <w:pPr>
              <w:snapToGrid w:val="0"/>
              <w:spacing w:line="240" w:lineRule="auto"/>
              <w:ind w:firstLine="0" w:firstLineChars="0"/>
              <w:jc w:val="center"/>
              <w:rPr>
                <w:rFonts w:ascii="Calibri" w:hAnsi="Calibri"/>
                <w:b/>
                <w:sz w:val="18"/>
                <w:szCs w:val="18"/>
              </w:rPr>
            </w:pPr>
            <w:r>
              <w:rPr>
                <w:rFonts w:ascii="Calibri" w:hAnsi="Calibri"/>
                <w:b/>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96" w:type="dxa"/>
            <w:vMerge w:val="continue"/>
            <w:shd w:val="clear" w:color="auto" w:fill="auto"/>
            <w:vAlign w:val="center"/>
          </w:tcPr>
          <w:p>
            <w:pPr>
              <w:snapToGrid w:val="0"/>
              <w:spacing w:line="240" w:lineRule="auto"/>
              <w:ind w:firstLine="0" w:firstLineChars="0"/>
              <w:jc w:val="center"/>
              <w:rPr>
                <w:rFonts w:ascii="Calibri" w:hAnsi="Calibri"/>
                <w:sz w:val="18"/>
                <w:szCs w:val="18"/>
              </w:rPr>
            </w:pPr>
          </w:p>
        </w:tc>
        <w:tc>
          <w:tcPr>
            <w:tcW w:w="396" w:type="dxa"/>
            <w:shd w:val="clear" w:color="auto" w:fill="auto"/>
            <w:vAlign w:val="center"/>
          </w:tcPr>
          <w:p>
            <w:pPr>
              <w:snapToGrid w:val="0"/>
              <w:spacing w:line="240" w:lineRule="auto"/>
              <w:ind w:firstLine="0" w:firstLineChars="0"/>
              <w:jc w:val="center"/>
              <w:rPr>
                <w:rFonts w:ascii="Calibri" w:hAnsi="Calibri"/>
                <w:sz w:val="18"/>
                <w:szCs w:val="18"/>
              </w:rPr>
            </w:pPr>
            <w:r>
              <w:rPr>
                <w:rFonts w:hint="eastAsia" w:ascii="Calibri" w:hAnsi="Calibri"/>
                <w:sz w:val="18"/>
                <w:szCs w:val="18"/>
              </w:rPr>
              <w:t>地景</w:t>
            </w:r>
          </w:p>
        </w:tc>
        <w:tc>
          <w:tcPr>
            <w:tcW w:w="913" w:type="dxa"/>
            <w:shd w:val="clear" w:color="auto" w:fill="auto"/>
            <w:vAlign w:val="center"/>
          </w:tcPr>
          <w:p>
            <w:pPr>
              <w:snapToGrid w:val="0"/>
              <w:spacing w:line="240" w:lineRule="auto"/>
              <w:ind w:firstLine="0" w:firstLineChars="0"/>
              <w:jc w:val="center"/>
              <w:rPr>
                <w:rFonts w:ascii="Calibri" w:hAnsi="Calibri"/>
                <w:sz w:val="18"/>
                <w:szCs w:val="18"/>
              </w:rPr>
            </w:pPr>
            <w:r>
              <w:rPr>
                <w:rFonts w:hint="eastAsia" w:ascii="Calibri" w:hAnsi="Calibri"/>
                <w:sz w:val="18"/>
                <w:szCs w:val="18"/>
              </w:rPr>
              <w:t>一剑峰、玉笙峰、西天屏</w:t>
            </w:r>
          </w:p>
        </w:tc>
        <w:tc>
          <w:tcPr>
            <w:tcW w:w="1759" w:type="dxa"/>
            <w:shd w:val="clear" w:color="auto" w:fill="auto"/>
            <w:vAlign w:val="center"/>
          </w:tcPr>
          <w:p>
            <w:pPr>
              <w:snapToGrid w:val="0"/>
              <w:spacing w:line="240" w:lineRule="auto"/>
              <w:ind w:firstLine="0" w:firstLineChars="0"/>
              <w:jc w:val="center"/>
              <w:rPr>
                <w:rFonts w:ascii="Calibri" w:hAnsi="Calibri"/>
                <w:sz w:val="18"/>
                <w:szCs w:val="18"/>
              </w:rPr>
            </w:pPr>
            <w:r>
              <w:rPr>
                <w:rFonts w:hint="eastAsia" w:ascii="Calibri" w:hAnsi="Calibri"/>
                <w:sz w:val="18"/>
                <w:szCs w:val="18"/>
              </w:rPr>
              <w:t>杨顶峰、猴王谷、炉西第一壁、歧指峰、双屏峰、将军峰、猴头峰、大象峰、三尖峰、骆驼峰、龟山、蝙蝠山、风洞、魔岩、石林洞、红军洞</w:t>
            </w:r>
          </w:p>
        </w:tc>
        <w:tc>
          <w:tcPr>
            <w:tcW w:w="2340" w:type="dxa"/>
            <w:shd w:val="clear" w:color="auto" w:fill="auto"/>
            <w:vAlign w:val="center"/>
          </w:tcPr>
          <w:p>
            <w:pPr>
              <w:snapToGrid w:val="0"/>
              <w:spacing w:line="240" w:lineRule="auto"/>
              <w:ind w:firstLine="0" w:firstLineChars="0"/>
              <w:jc w:val="center"/>
              <w:rPr>
                <w:rFonts w:ascii="Calibri" w:hAnsi="Calibri"/>
                <w:sz w:val="18"/>
                <w:szCs w:val="18"/>
              </w:rPr>
            </w:pPr>
            <w:r>
              <w:rPr>
                <w:rFonts w:hint="eastAsia" w:ascii="Calibri" w:hAnsi="Calibri"/>
                <w:sz w:val="18"/>
                <w:szCs w:val="18"/>
              </w:rPr>
              <w:t>猴王啸天、月老山、老童生、仙人足迹、敬客岩、龙麒山、石圃山、寿桃山、道士峰、观音岩、罗汉洞、探儿洞、月印岩、棺材岩、河背洞、湖壁、木鱼岩、水洞门、擎天柱、石牛栏</w:t>
            </w:r>
          </w:p>
        </w:tc>
        <w:tc>
          <w:tcPr>
            <w:tcW w:w="2067" w:type="dxa"/>
            <w:shd w:val="clear" w:color="auto" w:fill="auto"/>
            <w:vAlign w:val="center"/>
          </w:tcPr>
          <w:p>
            <w:pPr>
              <w:snapToGrid w:val="0"/>
              <w:spacing w:line="240" w:lineRule="auto"/>
              <w:ind w:firstLine="0" w:firstLineChars="0"/>
              <w:jc w:val="center"/>
              <w:rPr>
                <w:rFonts w:ascii="Calibri" w:hAnsi="Calibri"/>
                <w:sz w:val="18"/>
                <w:szCs w:val="18"/>
              </w:rPr>
            </w:pPr>
            <w:r>
              <w:rPr>
                <w:rFonts w:hint="eastAsia" w:ascii="Calibri" w:hAnsi="Calibri"/>
                <w:sz w:val="18"/>
                <w:szCs w:val="18"/>
              </w:rPr>
              <w:t>豆腐仙岩、炊天饭甑、觧板岩、幽风密洞、抱子岩、仙龟山、九龙壁、通天洞、石角崖、庵弼岩、仙乌岩尖、</w:t>
            </w:r>
          </w:p>
          <w:p>
            <w:pPr>
              <w:snapToGrid w:val="0"/>
              <w:spacing w:line="240" w:lineRule="auto"/>
              <w:ind w:firstLine="0" w:firstLineChars="0"/>
              <w:jc w:val="center"/>
              <w:rPr>
                <w:rFonts w:ascii="Calibri" w:hAnsi="Calibri"/>
                <w:sz w:val="18"/>
                <w:szCs w:val="18"/>
              </w:rPr>
            </w:pPr>
            <w:r>
              <w:rPr>
                <w:rFonts w:hint="eastAsia" w:ascii="Calibri" w:hAnsi="Calibri"/>
                <w:sz w:val="18"/>
                <w:szCs w:val="18"/>
              </w:rPr>
              <w:t>仙人岩、猪槽岩、石棺崖、狮子岩、幽风密洞、卧狮岩、金蟾岩、老虎山、牛栏湾顶</w:t>
            </w:r>
          </w:p>
        </w:tc>
        <w:tc>
          <w:tcPr>
            <w:tcW w:w="685" w:type="dxa"/>
            <w:shd w:val="clear" w:color="auto" w:fill="auto"/>
            <w:vAlign w:val="center"/>
          </w:tcPr>
          <w:p>
            <w:pPr>
              <w:snapToGrid w:val="0"/>
              <w:spacing w:line="240" w:lineRule="auto"/>
              <w:ind w:firstLine="0" w:firstLineChars="0"/>
              <w:jc w:val="center"/>
              <w:rPr>
                <w:rFonts w:ascii="Calibri" w:hAnsi="Calibri"/>
                <w:b/>
                <w:sz w:val="18"/>
                <w:szCs w:val="18"/>
              </w:rPr>
            </w:pPr>
            <w:r>
              <w:rPr>
                <w:rFonts w:ascii="Calibri" w:hAnsi="Calibri"/>
                <w:b/>
                <w:sz w:val="18"/>
                <w:szCs w:val="18"/>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8" w:hRule="atLeast"/>
        </w:trPr>
        <w:tc>
          <w:tcPr>
            <w:tcW w:w="396" w:type="dxa"/>
            <w:vMerge w:val="continue"/>
            <w:shd w:val="clear" w:color="auto" w:fill="auto"/>
            <w:vAlign w:val="center"/>
          </w:tcPr>
          <w:p>
            <w:pPr>
              <w:snapToGrid w:val="0"/>
              <w:spacing w:line="240" w:lineRule="auto"/>
              <w:ind w:firstLine="0" w:firstLineChars="0"/>
              <w:jc w:val="center"/>
              <w:rPr>
                <w:rFonts w:ascii="Calibri" w:hAnsi="Calibri"/>
                <w:sz w:val="18"/>
                <w:szCs w:val="18"/>
              </w:rPr>
            </w:pPr>
          </w:p>
        </w:tc>
        <w:tc>
          <w:tcPr>
            <w:tcW w:w="396" w:type="dxa"/>
            <w:shd w:val="clear" w:color="auto" w:fill="auto"/>
            <w:vAlign w:val="center"/>
          </w:tcPr>
          <w:p>
            <w:pPr>
              <w:snapToGrid w:val="0"/>
              <w:spacing w:line="240" w:lineRule="auto"/>
              <w:ind w:firstLine="0" w:firstLineChars="0"/>
              <w:jc w:val="center"/>
              <w:rPr>
                <w:rFonts w:ascii="Calibri" w:hAnsi="Calibri"/>
                <w:sz w:val="18"/>
                <w:szCs w:val="18"/>
              </w:rPr>
            </w:pPr>
            <w:r>
              <w:rPr>
                <w:rFonts w:hint="eastAsia" w:ascii="Calibri" w:hAnsi="Calibri"/>
                <w:sz w:val="18"/>
                <w:szCs w:val="18"/>
              </w:rPr>
              <w:t>水景</w:t>
            </w:r>
          </w:p>
        </w:tc>
        <w:tc>
          <w:tcPr>
            <w:tcW w:w="913" w:type="dxa"/>
            <w:shd w:val="clear" w:color="auto" w:fill="auto"/>
            <w:vAlign w:val="center"/>
          </w:tcPr>
          <w:p>
            <w:pPr>
              <w:snapToGrid w:val="0"/>
              <w:spacing w:line="240" w:lineRule="auto"/>
              <w:ind w:firstLine="0" w:firstLineChars="0"/>
              <w:jc w:val="center"/>
              <w:rPr>
                <w:rFonts w:ascii="Calibri" w:hAnsi="Calibri"/>
                <w:sz w:val="18"/>
                <w:szCs w:val="18"/>
              </w:rPr>
            </w:pPr>
            <w:r>
              <w:rPr>
                <w:rFonts w:hint="eastAsia" w:ascii="Calibri" w:hAnsi="Calibri"/>
                <w:sz w:val="18"/>
                <w:szCs w:val="18"/>
              </w:rPr>
              <w:t>百折瀑、</w:t>
            </w:r>
          </w:p>
          <w:p>
            <w:pPr>
              <w:snapToGrid w:val="0"/>
              <w:spacing w:line="240" w:lineRule="auto"/>
              <w:ind w:firstLine="0" w:firstLineChars="0"/>
              <w:jc w:val="center"/>
              <w:rPr>
                <w:rFonts w:ascii="Calibri" w:hAnsi="Calibri"/>
                <w:sz w:val="18"/>
                <w:szCs w:val="18"/>
              </w:rPr>
            </w:pPr>
            <w:r>
              <w:rPr>
                <w:rFonts w:hint="eastAsia" w:ascii="Calibri" w:hAnsi="Calibri"/>
                <w:sz w:val="18"/>
                <w:szCs w:val="18"/>
              </w:rPr>
              <w:t>龙瀑、</w:t>
            </w:r>
          </w:p>
          <w:p>
            <w:pPr>
              <w:snapToGrid w:val="0"/>
              <w:spacing w:line="240" w:lineRule="auto"/>
              <w:ind w:firstLine="0" w:firstLineChars="0"/>
              <w:jc w:val="center"/>
              <w:rPr>
                <w:rFonts w:ascii="Calibri" w:hAnsi="Calibri"/>
                <w:sz w:val="18"/>
                <w:szCs w:val="18"/>
              </w:rPr>
            </w:pPr>
            <w:r>
              <w:rPr>
                <w:rFonts w:hint="eastAsia" w:ascii="Calibri" w:hAnsi="Calibri"/>
                <w:sz w:val="18"/>
                <w:szCs w:val="18"/>
              </w:rPr>
              <w:t>三潭三瀑、一漈、二漈、飞云湖、三重漈</w:t>
            </w:r>
          </w:p>
        </w:tc>
        <w:tc>
          <w:tcPr>
            <w:tcW w:w="1759" w:type="dxa"/>
            <w:shd w:val="clear" w:color="auto" w:fill="auto"/>
            <w:vAlign w:val="center"/>
          </w:tcPr>
          <w:p>
            <w:pPr>
              <w:snapToGrid w:val="0"/>
              <w:spacing w:line="240" w:lineRule="auto"/>
              <w:ind w:firstLine="0" w:firstLineChars="0"/>
              <w:jc w:val="center"/>
              <w:rPr>
                <w:rFonts w:ascii="Calibri" w:hAnsi="Calibri"/>
                <w:sz w:val="18"/>
                <w:szCs w:val="18"/>
              </w:rPr>
            </w:pPr>
            <w:r>
              <w:rPr>
                <w:rFonts w:hint="eastAsia" w:ascii="Calibri" w:hAnsi="Calibri"/>
                <w:sz w:val="18"/>
                <w:szCs w:val="18"/>
              </w:rPr>
              <w:t>龙麒源、金壁滩、三漈、金牛滩、金龟潭、三叠瀑、阴阳瀑</w:t>
            </w:r>
          </w:p>
        </w:tc>
        <w:tc>
          <w:tcPr>
            <w:tcW w:w="2340" w:type="dxa"/>
            <w:shd w:val="clear" w:color="auto" w:fill="auto"/>
            <w:vAlign w:val="center"/>
          </w:tcPr>
          <w:p>
            <w:pPr>
              <w:snapToGrid w:val="0"/>
              <w:spacing w:line="240" w:lineRule="auto"/>
              <w:ind w:firstLine="0" w:firstLineChars="0"/>
              <w:jc w:val="center"/>
              <w:rPr>
                <w:rFonts w:ascii="Calibri" w:hAnsi="Calibri"/>
                <w:sz w:val="18"/>
                <w:szCs w:val="18"/>
              </w:rPr>
            </w:pPr>
            <w:r>
              <w:rPr>
                <w:rFonts w:hint="eastAsia" w:ascii="Calibri" w:hAnsi="Calibri"/>
                <w:sz w:val="18"/>
                <w:szCs w:val="18"/>
              </w:rPr>
              <w:t>三潭三涧、九龙潭、双龙潭、飞翠湖、天顶湖、天际瀑、青龙潭、金石滩、七瀑东飞、清溪暗流、擎天瀑、青石滩、仙叠瀑、金龙叠瀑、临湖瀑、曲流清溪、双龙瀑、龙井、飞龙湖、白水沄坑</w:t>
            </w:r>
          </w:p>
        </w:tc>
        <w:tc>
          <w:tcPr>
            <w:tcW w:w="2067" w:type="dxa"/>
            <w:shd w:val="clear" w:color="auto" w:fill="auto"/>
            <w:vAlign w:val="center"/>
          </w:tcPr>
          <w:p>
            <w:pPr>
              <w:snapToGrid w:val="0"/>
              <w:spacing w:line="240" w:lineRule="auto"/>
              <w:ind w:firstLine="0" w:firstLineChars="0"/>
              <w:jc w:val="center"/>
              <w:rPr>
                <w:rFonts w:ascii="Calibri" w:hAnsi="Calibri"/>
                <w:sz w:val="18"/>
                <w:szCs w:val="18"/>
              </w:rPr>
            </w:pPr>
            <w:r>
              <w:rPr>
                <w:rFonts w:hint="eastAsia" w:ascii="Calibri" w:hAnsi="Calibri"/>
                <w:sz w:val="18"/>
                <w:szCs w:val="18"/>
              </w:rPr>
              <w:t>水帘玉璧、牛角潭、曲流奇坦、龙凤瀑、吴王塘、九龟塘、烟雨瀑、听雨潭、清潭曲流、青龙吐珠、葫芦潭、银龙瀑</w:t>
            </w:r>
          </w:p>
        </w:tc>
        <w:tc>
          <w:tcPr>
            <w:tcW w:w="685" w:type="dxa"/>
            <w:shd w:val="clear" w:color="auto" w:fill="auto"/>
            <w:vAlign w:val="center"/>
          </w:tcPr>
          <w:p>
            <w:pPr>
              <w:snapToGrid w:val="0"/>
              <w:spacing w:line="240" w:lineRule="auto"/>
              <w:ind w:firstLine="0" w:firstLineChars="0"/>
              <w:jc w:val="center"/>
              <w:rPr>
                <w:rFonts w:ascii="Calibri" w:hAnsi="Calibri"/>
                <w:bCs/>
                <w:sz w:val="18"/>
                <w:szCs w:val="18"/>
              </w:rPr>
            </w:pPr>
            <w:r>
              <w:rPr>
                <w:rFonts w:ascii="Calibri" w:hAnsi="Calibri"/>
                <w:b/>
                <w:sz w:val="18"/>
                <w:szCs w:val="18"/>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trPr>
        <w:tc>
          <w:tcPr>
            <w:tcW w:w="396" w:type="dxa"/>
            <w:vMerge w:val="continue"/>
            <w:shd w:val="clear" w:color="auto" w:fill="auto"/>
            <w:vAlign w:val="center"/>
          </w:tcPr>
          <w:p>
            <w:pPr>
              <w:snapToGrid w:val="0"/>
              <w:spacing w:line="240" w:lineRule="auto"/>
              <w:ind w:firstLine="0" w:firstLineChars="0"/>
              <w:jc w:val="center"/>
              <w:rPr>
                <w:rFonts w:ascii="Calibri" w:hAnsi="Calibri"/>
                <w:sz w:val="18"/>
                <w:szCs w:val="18"/>
              </w:rPr>
            </w:pPr>
          </w:p>
        </w:tc>
        <w:tc>
          <w:tcPr>
            <w:tcW w:w="396" w:type="dxa"/>
            <w:shd w:val="clear" w:color="auto" w:fill="auto"/>
            <w:vAlign w:val="center"/>
          </w:tcPr>
          <w:p>
            <w:pPr>
              <w:snapToGrid w:val="0"/>
              <w:spacing w:line="240" w:lineRule="auto"/>
              <w:ind w:firstLine="0" w:firstLineChars="0"/>
              <w:jc w:val="center"/>
              <w:rPr>
                <w:rFonts w:ascii="Calibri" w:hAnsi="Calibri"/>
                <w:sz w:val="18"/>
                <w:szCs w:val="18"/>
              </w:rPr>
            </w:pPr>
            <w:r>
              <w:rPr>
                <w:rFonts w:hint="eastAsia" w:ascii="Calibri" w:hAnsi="Calibri"/>
                <w:sz w:val="18"/>
                <w:szCs w:val="18"/>
              </w:rPr>
              <w:t>生景</w:t>
            </w:r>
          </w:p>
        </w:tc>
        <w:tc>
          <w:tcPr>
            <w:tcW w:w="913" w:type="dxa"/>
            <w:shd w:val="clear" w:color="auto" w:fill="auto"/>
            <w:vAlign w:val="center"/>
          </w:tcPr>
          <w:p>
            <w:pPr>
              <w:snapToGrid w:val="0"/>
              <w:spacing w:line="240" w:lineRule="auto"/>
              <w:ind w:firstLine="0" w:firstLineChars="0"/>
              <w:jc w:val="center"/>
              <w:rPr>
                <w:rFonts w:ascii="Calibri" w:hAnsi="Calibri"/>
                <w:sz w:val="18"/>
                <w:szCs w:val="18"/>
              </w:rPr>
            </w:pPr>
            <w:r>
              <w:rPr>
                <w:rFonts w:hint="eastAsia" w:ascii="Calibri" w:hAnsi="Calibri"/>
                <w:sz w:val="18"/>
                <w:szCs w:val="18"/>
              </w:rPr>
              <w:t>红枫古道</w:t>
            </w:r>
          </w:p>
        </w:tc>
        <w:tc>
          <w:tcPr>
            <w:tcW w:w="1759" w:type="dxa"/>
            <w:shd w:val="clear" w:color="auto" w:fill="auto"/>
            <w:vAlign w:val="center"/>
          </w:tcPr>
          <w:p>
            <w:pPr>
              <w:snapToGrid w:val="0"/>
              <w:spacing w:line="240" w:lineRule="auto"/>
              <w:ind w:firstLine="0" w:firstLineChars="0"/>
              <w:jc w:val="center"/>
              <w:rPr>
                <w:rFonts w:ascii="Calibri" w:hAnsi="Calibri"/>
                <w:sz w:val="18"/>
                <w:szCs w:val="18"/>
              </w:rPr>
            </w:pPr>
          </w:p>
        </w:tc>
        <w:tc>
          <w:tcPr>
            <w:tcW w:w="2340" w:type="dxa"/>
            <w:shd w:val="clear" w:color="auto" w:fill="auto"/>
            <w:vAlign w:val="center"/>
          </w:tcPr>
          <w:p>
            <w:pPr>
              <w:snapToGrid w:val="0"/>
              <w:spacing w:line="240" w:lineRule="auto"/>
              <w:ind w:firstLine="0" w:firstLineChars="0"/>
              <w:jc w:val="center"/>
              <w:rPr>
                <w:rFonts w:ascii="Calibri" w:hAnsi="Calibri"/>
                <w:sz w:val="18"/>
                <w:szCs w:val="18"/>
              </w:rPr>
            </w:pPr>
            <w:r>
              <w:rPr>
                <w:rFonts w:hint="eastAsia" w:ascii="Calibri" w:hAnsi="Calibri"/>
                <w:sz w:val="18"/>
                <w:szCs w:val="18"/>
              </w:rPr>
              <w:t>枫香片林、石垟林场、栲树群、金朱林场、山华林场、五叶奇枫</w:t>
            </w:r>
          </w:p>
        </w:tc>
        <w:tc>
          <w:tcPr>
            <w:tcW w:w="2067" w:type="dxa"/>
            <w:shd w:val="clear" w:color="auto" w:fill="auto"/>
            <w:vAlign w:val="center"/>
          </w:tcPr>
          <w:p>
            <w:pPr>
              <w:snapToGrid w:val="0"/>
              <w:spacing w:line="240" w:lineRule="auto"/>
              <w:ind w:firstLine="0" w:firstLineChars="0"/>
              <w:jc w:val="center"/>
              <w:rPr>
                <w:rFonts w:ascii="Calibri" w:hAnsi="Calibri"/>
                <w:sz w:val="18"/>
                <w:szCs w:val="18"/>
              </w:rPr>
            </w:pPr>
            <w:r>
              <w:rPr>
                <w:rFonts w:hint="eastAsia" w:ascii="Calibri" w:hAnsi="Calibri"/>
                <w:sz w:val="18"/>
                <w:szCs w:val="18"/>
              </w:rPr>
              <w:t>柳杉绿海</w:t>
            </w:r>
          </w:p>
        </w:tc>
        <w:tc>
          <w:tcPr>
            <w:tcW w:w="685" w:type="dxa"/>
            <w:shd w:val="clear" w:color="auto" w:fill="auto"/>
            <w:vAlign w:val="center"/>
          </w:tcPr>
          <w:p>
            <w:pPr>
              <w:snapToGrid w:val="0"/>
              <w:spacing w:line="240" w:lineRule="auto"/>
              <w:ind w:firstLine="0" w:firstLineChars="0"/>
              <w:jc w:val="center"/>
              <w:rPr>
                <w:rFonts w:ascii="Calibri" w:hAnsi="Calibri"/>
                <w:bCs/>
                <w:sz w:val="18"/>
                <w:szCs w:val="18"/>
              </w:rPr>
            </w:pPr>
            <w:r>
              <w:rPr>
                <w:rFonts w:ascii="Calibri" w:hAnsi="Calibri"/>
                <w:b/>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396" w:type="dxa"/>
            <w:vMerge w:val="restart"/>
            <w:shd w:val="clear" w:color="auto" w:fill="auto"/>
            <w:vAlign w:val="center"/>
          </w:tcPr>
          <w:p>
            <w:pPr>
              <w:snapToGrid w:val="0"/>
              <w:spacing w:line="240" w:lineRule="auto"/>
              <w:ind w:firstLine="0" w:firstLineChars="0"/>
              <w:jc w:val="center"/>
              <w:rPr>
                <w:rFonts w:ascii="Calibri" w:hAnsi="Calibri"/>
                <w:sz w:val="18"/>
                <w:szCs w:val="18"/>
              </w:rPr>
            </w:pPr>
            <w:r>
              <w:rPr>
                <w:rFonts w:hint="eastAsia" w:ascii="Calibri" w:hAnsi="Calibri"/>
                <w:sz w:val="18"/>
                <w:szCs w:val="18"/>
              </w:rPr>
              <w:t>人</w:t>
            </w:r>
          </w:p>
          <w:p>
            <w:pPr>
              <w:snapToGrid w:val="0"/>
              <w:spacing w:line="240" w:lineRule="auto"/>
              <w:ind w:firstLine="0" w:firstLineChars="0"/>
              <w:jc w:val="center"/>
              <w:rPr>
                <w:rFonts w:ascii="Calibri" w:hAnsi="Calibri"/>
                <w:sz w:val="18"/>
                <w:szCs w:val="18"/>
              </w:rPr>
            </w:pPr>
            <w:r>
              <w:rPr>
                <w:rFonts w:hint="eastAsia" w:ascii="Calibri" w:hAnsi="Calibri"/>
                <w:sz w:val="18"/>
                <w:szCs w:val="18"/>
              </w:rPr>
              <w:t>文</w:t>
            </w:r>
          </w:p>
          <w:p>
            <w:pPr>
              <w:snapToGrid w:val="0"/>
              <w:spacing w:line="240" w:lineRule="auto"/>
              <w:ind w:firstLine="0" w:firstLineChars="0"/>
              <w:jc w:val="center"/>
              <w:rPr>
                <w:rFonts w:ascii="Calibri" w:hAnsi="Calibri"/>
                <w:sz w:val="18"/>
                <w:szCs w:val="18"/>
              </w:rPr>
            </w:pPr>
            <w:r>
              <w:rPr>
                <w:rFonts w:hint="eastAsia" w:ascii="Calibri" w:hAnsi="Calibri"/>
                <w:sz w:val="18"/>
                <w:szCs w:val="18"/>
              </w:rPr>
              <w:t>景</w:t>
            </w:r>
          </w:p>
          <w:p>
            <w:pPr>
              <w:snapToGrid w:val="0"/>
              <w:spacing w:line="240" w:lineRule="auto"/>
              <w:ind w:firstLine="0" w:firstLineChars="0"/>
              <w:jc w:val="center"/>
              <w:rPr>
                <w:rFonts w:ascii="Calibri" w:hAnsi="Calibri"/>
                <w:sz w:val="18"/>
                <w:szCs w:val="18"/>
              </w:rPr>
            </w:pPr>
            <w:r>
              <w:rPr>
                <w:rFonts w:hint="eastAsia" w:ascii="Calibri" w:hAnsi="Calibri"/>
                <w:sz w:val="18"/>
                <w:szCs w:val="18"/>
              </w:rPr>
              <w:t>源</w:t>
            </w:r>
          </w:p>
        </w:tc>
        <w:tc>
          <w:tcPr>
            <w:tcW w:w="396" w:type="dxa"/>
            <w:shd w:val="clear" w:color="auto" w:fill="auto"/>
            <w:vAlign w:val="center"/>
          </w:tcPr>
          <w:p>
            <w:pPr>
              <w:snapToGrid w:val="0"/>
              <w:spacing w:line="240" w:lineRule="auto"/>
              <w:ind w:firstLine="0" w:firstLineChars="0"/>
              <w:jc w:val="center"/>
              <w:rPr>
                <w:rFonts w:ascii="Calibri" w:hAnsi="Calibri"/>
                <w:sz w:val="18"/>
                <w:szCs w:val="18"/>
              </w:rPr>
            </w:pPr>
            <w:r>
              <w:rPr>
                <w:rFonts w:hint="eastAsia" w:ascii="Calibri" w:hAnsi="Calibri"/>
                <w:sz w:val="18"/>
                <w:szCs w:val="18"/>
              </w:rPr>
              <w:t>建筑</w:t>
            </w:r>
          </w:p>
        </w:tc>
        <w:tc>
          <w:tcPr>
            <w:tcW w:w="913" w:type="dxa"/>
            <w:shd w:val="clear" w:color="auto" w:fill="auto"/>
            <w:vAlign w:val="center"/>
          </w:tcPr>
          <w:p>
            <w:pPr>
              <w:snapToGrid w:val="0"/>
              <w:spacing w:line="240" w:lineRule="auto"/>
              <w:ind w:firstLine="0" w:firstLineChars="0"/>
              <w:jc w:val="center"/>
              <w:rPr>
                <w:rFonts w:ascii="Calibri" w:hAnsi="Calibri"/>
                <w:sz w:val="18"/>
                <w:szCs w:val="18"/>
              </w:rPr>
            </w:pPr>
            <w:r>
              <w:rPr>
                <w:rFonts w:hint="eastAsia" w:ascii="Calibri" w:hAnsi="Calibri"/>
                <w:sz w:val="18"/>
                <w:szCs w:val="18"/>
              </w:rPr>
              <w:t>刘基故居</w:t>
            </w:r>
          </w:p>
        </w:tc>
        <w:tc>
          <w:tcPr>
            <w:tcW w:w="1759" w:type="dxa"/>
            <w:shd w:val="clear" w:color="auto" w:fill="auto"/>
            <w:vAlign w:val="center"/>
          </w:tcPr>
          <w:p>
            <w:pPr>
              <w:snapToGrid w:val="0"/>
              <w:spacing w:line="240" w:lineRule="auto"/>
              <w:ind w:firstLine="0" w:firstLineChars="0"/>
              <w:jc w:val="center"/>
              <w:rPr>
                <w:rFonts w:ascii="Calibri" w:hAnsi="Calibri"/>
                <w:sz w:val="18"/>
                <w:szCs w:val="18"/>
              </w:rPr>
            </w:pPr>
            <w:r>
              <w:rPr>
                <w:rFonts w:hint="eastAsia" w:ascii="Calibri" w:hAnsi="Calibri"/>
                <w:sz w:val="18"/>
                <w:szCs w:val="18"/>
              </w:rPr>
              <w:t>武阳村传统村落、下庄村传统村落</w:t>
            </w:r>
          </w:p>
        </w:tc>
        <w:tc>
          <w:tcPr>
            <w:tcW w:w="2340" w:type="dxa"/>
            <w:shd w:val="clear" w:color="auto" w:fill="auto"/>
            <w:vAlign w:val="center"/>
          </w:tcPr>
          <w:p>
            <w:pPr>
              <w:snapToGrid w:val="0"/>
              <w:spacing w:line="240" w:lineRule="auto"/>
              <w:ind w:firstLine="0" w:firstLineChars="0"/>
              <w:jc w:val="center"/>
              <w:rPr>
                <w:rFonts w:ascii="Calibri" w:hAnsi="Calibri"/>
                <w:sz w:val="18"/>
                <w:szCs w:val="18"/>
              </w:rPr>
            </w:pPr>
            <w:r>
              <w:rPr>
                <w:rFonts w:hint="eastAsia" w:ascii="Calibri" w:hAnsi="Calibri"/>
                <w:sz w:val="18"/>
                <w:szCs w:val="18"/>
              </w:rPr>
              <w:t>九台寺、明星寺、陶真寨</w:t>
            </w:r>
          </w:p>
        </w:tc>
        <w:tc>
          <w:tcPr>
            <w:tcW w:w="2067" w:type="dxa"/>
            <w:shd w:val="clear" w:color="auto" w:fill="auto"/>
            <w:vAlign w:val="center"/>
          </w:tcPr>
          <w:p>
            <w:pPr>
              <w:snapToGrid w:val="0"/>
              <w:spacing w:line="240" w:lineRule="auto"/>
              <w:ind w:firstLine="0" w:firstLineChars="0"/>
              <w:jc w:val="center"/>
              <w:rPr>
                <w:rFonts w:ascii="Calibri" w:hAnsi="Calibri"/>
                <w:sz w:val="18"/>
                <w:szCs w:val="18"/>
              </w:rPr>
            </w:pPr>
            <w:r>
              <w:rPr>
                <w:rFonts w:hint="eastAsia" w:ascii="Calibri" w:hAnsi="Calibri"/>
                <w:sz w:val="18"/>
                <w:szCs w:val="18"/>
              </w:rPr>
              <w:t>鸽坞寨、月老庙、金竹寨、马氏天仙殿、朱氏祠堂、胡泰清故居、茗垟地主殿、马氏娘娘宫、下山村郑世鸿宅、金山节孝坊、陈山墓道坊</w:t>
            </w:r>
          </w:p>
        </w:tc>
        <w:tc>
          <w:tcPr>
            <w:tcW w:w="685" w:type="dxa"/>
            <w:shd w:val="clear" w:color="auto" w:fill="auto"/>
            <w:vAlign w:val="center"/>
          </w:tcPr>
          <w:p>
            <w:pPr>
              <w:snapToGrid w:val="0"/>
              <w:spacing w:line="240" w:lineRule="auto"/>
              <w:ind w:firstLine="0" w:firstLineChars="0"/>
              <w:jc w:val="center"/>
              <w:rPr>
                <w:rFonts w:ascii="Calibri" w:hAnsi="Calibri"/>
                <w:bCs/>
                <w:sz w:val="18"/>
                <w:szCs w:val="18"/>
              </w:rPr>
            </w:pPr>
            <w:r>
              <w:rPr>
                <w:rFonts w:ascii="Calibri" w:hAnsi="Calibri"/>
                <w:b/>
                <w:sz w:val="18"/>
                <w:szCs w:val="18"/>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trPr>
        <w:tc>
          <w:tcPr>
            <w:tcW w:w="396" w:type="dxa"/>
            <w:vMerge w:val="continue"/>
            <w:shd w:val="clear" w:color="auto" w:fill="auto"/>
            <w:vAlign w:val="center"/>
          </w:tcPr>
          <w:p>
            <w:pPr>
              <w:snapToGrid w:val="0"/>
              <w:spacing w:line="240" w:lineRule="auto"/>
              <w:ind w:firstLine="0" w:firstLineChars="0"/>
              <w:jc w:val="center"/>
              <w:rPr>
                <w:rFonts w:ascii="Calibri" w:hAnsi="Calibri"/>
                <w:sz w:val="18"/>
                <w:szCs w:val="18"/>
              </w:rPr>
            </w:pPr>
          </w:p>
        </w:tc>
        <w:tc>
          <w:tcPr>
            <w:tcW w:w="396" w:type="dxa"/>
            <w:shd w:val="clear" w:color="auto" w:fill="auto"/>
            <w:vAlign w:val="center"/>
          </w:tcPr>
          <w:p>
            <w:pPr>
              <w:snapToGrid w:val="0"/>
              <w:spacing w:line="240" w:lineRule="auto"/>
              <w:ind w:firstLine="0" w:firstLineChars="0"/>
              <w:jc w:val="center"/>
              <w:rPr>
                <w:rFonts w:ascii="Calibri" w:hAnsi="Calibri"/>
                <w:sz w:val="18"/>
                <w:szCs w:val="18"/>
              </w:rPr>
            </w:pPr>
            <w:r>
              <w:rPr>
                <w:rFonts w:hint="eastAsia" w:ascii="Calibri" w:hAnsi="Calibri"/>
                <w:sz w:val="18"/>
                <w:szCs w:val="18"/>
              </w:rPr>
              <w:t>胜迹</w:t>
            </w:r>
          </w:p>
        </w:tc>
        <w:tc>
          <w:tcPr>
            <w:tcW w:w="913" w:type="dxa"/>
            <w:tcBorders>
              <w:bottom w:val="single" w:color="auto" w:sz="4" w:space="0"/>
            </w:tcBorders>
            <w:shd w:val="clear" w:color="auto" w:fill="auto"/>
            <w:vAlign w:val="center"/>
          </w:tcPr>
          <w:p>
            <w:pPr>
              <w:snapToGrid w:val="0"/>
              <w:spacing w:line="240" w:lineRule="auto"/>
              <w:ind w:firstLine="0" w:firstLineChars="0"/>
              <w:jc w:val="center"/>
              <w:rPr>
                <w:rFonts w:ascii="Calibri" w:hAnsi="Calibri"/>
                <w:sz w:val="18"/>
                <w:szCs w:val="18"/>
              </w:rPr>
            </w:pPr>
          </w:p>
        </w:tc>
        <w:tc>
          <w:tcPr>
            <w:tcW w:w="1759" w:type="dxa"/>
            <w:tcBorders>
              <w:bottom w:val="single" w:color="auto" w:sz="4" w:space="0"/>
            </w:tcBorders>
            <w:shd w:val="clear" w:color="auto" w:fill="auto"/>
            <w:vAlign w:val="center"/>
          </w:tcPr>
          <w:p>
            <w:pPr>
              <w:snapToGrid w:val="0"/>
              <w:spacing w:line="240" w:lineRule="auto"/>
              <w:ind w:firstLine="0" w:firstLineChars="0"/>
              <w:jc w:val="center"/>
              <w:rPr>
                <w:rFonts w:ascii="Calibri" w:hAnsi="Calibri"/>
                <w:sz w:val="18"/>
                <w:szCs w:val="18"/>
              </w:rPr>
            </w:pPr>
            <w:r>
              <w:rPr>
                <w:rFonts w:hint="eastAsia" w:ascii="Calibri" w:hAnsi="Calibri"/>
                <w:sz w:val="18"/>
                <w:szCs w:val="18"/>
              </w:rPr>
              <w:t>岭根古道</w:t>
            </w:r>
          </w:p>
        </w:tc>
        <w:tc>
          <w:tcPr>
            <w:tcW w:w="2340" w:type="dxa"/>
            <w:tcBorders>
              <w:bottom w:val="single" w:color="auto" w:sz="4" w:space="0"/>
            </w:tcBorders>
            <w:shd w:val="clear" w:color="auto" w:fill="auto"/>
            <w:vAlign w:val="center"/>
          </w:tcPr>
          <w:p>
            <w:pPr>
              <w:snapToGrid w:val="0"/>
              <w:spacing w:line="240" w:lineRule="auto"/>
              <w:ind w:firstLine="0" w:firstLineChars="0"/>
              <w:jc w:val="center"/>
              <w:rPr>
                <w:rFonts w:ascii="Calibri" w:hAnsi="Calibri"/>
                <w:sz w:val="18"/>
                <w:szCs w:val="18"/>
              </w:rPr>
            </w:pPr>
            <w:r>
              <w:rPr>
                <w:rFonts w:hint="eastAsia" w:ascii="Calibri" w:hAnsi="Calibri"/>
                <w:sz w:val="18"/>
                <w:szCs w:val="18"/>
              </w:rPr>
              <w:t>双龙石窟</w:t>
            </w:r>
          </w:p>
        </w:tc>
        <w:tc>
          <w:tcPr>
            <w:tcW w:w="2067" w:type="dxa"/>
            <w:tcBorders>
              <w:bottom w:val="single" w:color="auto" w:sz="4" w:space="0"/>
            </w:tcBorders>
            <w:shd w:val="clear" w:color="auto" w:fill="auto"/>
            <w:vAlign w:val="center"/>
          </w:tcPr>
          <w:p>
            <w:pPr>
              <w:snapToGrid w:val="0"/>
              <w:spacing w:line="240" w:lineRule="auto"/>
              <w:ind w:firstLine="0" w:firstLineChars="0"/>
              <w:jc w:val="center"/>
              <w:rPr>
                <w:rFonts w:ascii="Calibri" w:hAnsi="Calibri"/>
                <w:sz w:val="18"/>
                <w:szCs w:val="18"/>
              </w:rPr>
            </w:pPr>
            <w:r>
              <w:rPr>
                <w:rFonts w:hint="eastAsia" w:ascii="Calibri" w:hAnsi="Calibri"/>
                <w:sz w:val="18"/>
                <w:szCs w:val="18"/>
              </w:rPr>
              <w:t>石门古采铁遗址、松根碉堡、吴鸿祯墓、宋窑遗址</w:t>
            </w:r>
          </w:p>
        </w:tc>
        <w:tc>
          <w:tcPr>
            <w:tcW w:w="685" w:type="dxa"/>
            <w:shd w:val="clear" w:color="auto" w:fill="auto"/>
            <w:vAlign w:val="center"/>
          </w:tcPr>
          <w:p>
            <w:pPr>
              <w:snapToGrid w:val="0"/>
              <w:spacing w:line="240" w:lineRule="auto"/>
              <w:ind w:firstLine="0" w:firstLineChars="0"/>
              <w:jc w:val="center"/>
              <w:rPr>
                <w:rFonts w:ascii="Calibri" w:hAnsi="Calibri"/>
                <w:bCs/>
                <w:sz w:val="18"/>
                <w:szCs w:val="18"/>
              </w:rPr>
            </w:pPr>
            <w:r>
              <w:rPr>
                <w:rFonts w:ascii="Calibri" w:hAnsi="Calibri"/>
                <w:b/>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792" w:type="dxa"/>
            <w:gridSpan w:val="2"/>
            <w:shd w:val="clear" w:color="auto" w:fill="auto"/>
            <w:vAlign w:val="center"/>
          </w:tcPr>
          <w:p>
            <w:pPr>
              <w:snapToGrid w:val="0"/>
              <w:spacing w:line="240" w:lineRule="auto"/>
              <w:ind w:firstLine="0" w:firstLineChars="0"/>
              <w:jc w:val="center"/>
              <w:rPr>
                <w:rFonts w:ascii="Calibri" w:hAnsi="Calibri"/>
                <w:b/>
                <w:bCs/>
                <w:sz w:val="18"/>
                <w:szCs w:val="18"/>
              </w:rPr>
            </w:pPr>
            <w:r>
              <w:rPr>
                <w:rFonts w:hint="eastAsia" w:ascii="Calibri" w:hAnsi="Calibri"/>
                <w:b/>
                <w:bCs/>
                <w:sz w:val="18"/>
                <w:szCs w:val="18"/>
              </w:rPr>
              <w:t>合计</w:t>
            </w:r>
          </w:p>
        </w:tc>
        <w:tc>
          <w:tcPr>
            <w:tcW w:w="913" w:type="dxa"/>
            <w:shd w:val="clear" w:color="auto" w:fill="auto"/>
            <w:vAlign w:val="center"/>
          </w:tcPr>
          <w:p>
            <w:pPr>
              <w:snapToGrid w:val="0"/>
              <w:spacing w:line="240" w:lineRule="auto"/>
              <w:ind w:firstLine="0" w:firstLineChars="0"/>
              <w:jc w:val="center"/>
              <w:rPr>
                <w:rFonts w:ascii="Calibri" w:hAnsi="Calibri"/>
                <w:b/>
                <w:bCs/>
                <w:sz w:val="18"/>
                <w:szCs w:val="18"/>
              </w:rPr>
            </w:pPr>
            <w:r>
              <w:rPr>
                <w:rFonts w:ascii="Calibri" w:hAnsi="Calibri"/>
                <w:b/>
                <w:bCs/>
                <w:sz w:val="18"/>
                <w:szCs w:val="18"/>
              </w:rPr>
              <w:t>12</w:t>
            </w:r>
          </w:p>
        </w:tc>
        <w:tc>
          <w:tcPr>
            <w:tcW w:w="1759" w:type="dxa"/>
            <w:shd w:val="clear" w:color="auto" w:fill="auto"/>
            <w:vAlign w:val="center"/>
          </w:tcPr>
          <w:p>
            <w:pPr>
              <w:snapToGrid w:val="0"/>
              <w:spacing w:line="240" w:lineRule="auto"/>
              <w:ind w:firstLine="0" w:firstLineChars="0"/>
              <w:jc w:val="center"/>
              <w:rPr>
                <w:rFonts w:ascii="Calibri" w:hAnsi="Calibri"/>
                <w:b/>
                <w:bCs/>
                <w:sz w:val="18"/>
                <w:szCs w:val="18"/>
              </w:rPr>
            </w:pPr>
            <w:r>
              <w:rPr>
                <w:rFonts w:ascii="Calibri" w:hAnsi="Calibri"/>
                <w:b/>
                <w:bCs/>
                <w:sz w:val="18"/>
                <w:szCs w:val="18"/>
              </w:rPr>
              <w:t>26</w:t>
            </w:r>
          </w:p>
        </w:tc>
        <w:tc>
          <w:tcPr>
            <w:tcW w:w="2340" w:type="dxa"/>
            <w:shd w:val="clear" w:color="auto" w:fill="auto"/>
            <w:vAlign w:val="center"/>
          </w:tcPr>
          <w:p>
            <w:pPr>
              <w:snapToGrid w:val="0"/>
              <w:spacing w:line="240" w:lineRule="auto"/>
              <w:ind w:firstLine="0" w:firstLineChars="0"/>
              <w:jc w:val="center"/>
              <w:rPr>
                <w:rFonts w:ascii="Calibri" w:hAnsi="Calibri"/>
                <w:b/>
                <w:bCs/>
                <w:sz w:val="18"/>
                <w:szCs w:val="18"/>
              </w:rPr>
            </w:pPr>
            <w:r>
              <w:rPr>
                <w:rFonts w:ascii="Calibri" w:hAnsi="Calibri"/>
                <w:b/>
                <w:bCs/>
                <w:sz w:val="18"/>
                <w:szCs w:val="18"/>
              </w:rPr>
              <w:t>50</w:t>
            </w:r>
          </w:p>
        </w:tc>
        <w:tc>
          <w:tcPr>
            <w:tcW w:w="2067" w:type="dxa"/>
            <w:shd w:val="clear" w:color="auto" w:fill="auto"/>
            <w:vAlign w:val="center"/>
          </w:tcPr>
          <w:p>
            <w:pPr>
              <w:snapToGrid w:val="0"/>
              <w:spacing w:line="240" w:lineRule="auto"/>
              <w:ind w:firstLine="0" w:firstLineChars="0"/>
              <w:jc w:val="center"/>
              <w:rPr>
                <w:rFonts w:ascii="Calibri" w:hAnsi="Calibri"/>
                <w:b/>
                <w:bCs/>
                <w:sz w:val="18"/>
                <w:szCs w:val="18"/>
              </w:rPr>
            </w:pPr>
            <w:r>
              <w:rPr>
                <w:rFonts w:ascii="Calibri" w:hAnsi="Calibri"/>
                <w:b/>
                <w:bCs/>
                <w:sz w:val="18"/>
                <w:szCs w:val="18"/>
              </w:rPr>
              <w:t>48</w:t>
            </w:r>
          </w:p>
        </w:tc>
        <w:tc>
          <w:tcPr>
            <w:tcW w:w="685" w:type="dxa"/>
            <w:shd w:val="clear" w:color="auto" w:fill="auto"/>
            <w:vAlign w:val="center"/>
          </w:tcPr>
          <w:p>
            <w:pPr>
              <w:snapToGrid w:val="0"/>
              <w:spacing w:line="240" w:lineRule="auto"/>
              <w:ind w:firstLine="0" w:firstLineChars="0"/>
              <w:jc w:val="center"/>
              <w:rPr>
                <w:rFonts w:ascii="Calibri" w:hAnsi="Calibri"/>
                <w:b/>
                <w:bCs/>
                <w:sz w:val="18"/>
                <w:szCs w:val="18"/>
              </w:rPr>
            </w:pPr>
            <w:r>
              <w:rPr>
                <w:rFonts w:ascii="Calibri" w:hAnsi="Calibri"/>
                <w:b/>
                <w:bCs/>
                <w:sz w:val="18"/>
                <w:szCs w:val="18"/>
              </w:rPr>
              <w:t>136</w:t>
            </w:r>
          </w:p>
        </w:tc>
      </w:tr>
    </w:tbl>
    <w:p>
      <w:pPr>
        <w:pStyle w:val="3"/>
        <w:spacing w:before="326"/>
      </w:pPr>
      <w:bookmarkStart w:id="18" w:name="_Toc176455996"/>
      <w:bookmarkStart w:id="19" w:name="_Toc426579246"/>
      <w:r>
        <w:rPr>
          <w:rFonts w:hint="eastAsia"/>
        </w:rPr>
        <w:t>三、规划期限</w:t>
      </w:r>
      <w:bookmarkEnd w:id="18"/>
      <w:bookmarkEnd w:id="19"/>
    </w:p>
    <w:p>
      <w:pPr>
        <w:spacing w:before="97" w:beforeLines="30"/>
        <w:ind w:firstLine="480"/>
        <w:rPr>
          <w:rFonts w:cs="宋体"/>
        </w:rPr>
      </w:pPr>
      <w:r>
        <w:rPr>
          <w:rFonts w:hint="eastAsia" w:cs="宋体"/>
        </w:rPr>
        <w:t>衔接《文成县国土空间总体规划（2</w:t>
      </w:r>
      <w:r>
        <w:rPr>
          <w:rFonts w:cs="宋体"/>
        </w:rPr>
        <w:t>021-2035</w:t>
      </w:r>
      <w:r>
        <w:rPr>
          <w:rFonts w:hint="eastAsia" w:cs="宋体"/>
        </w:rPr>
        <w:t>年）》，考虑规划建设的实施与管理需求，确定百丈漈—飞云湖风景名胜区总体规划期限为</w:t>
      </w:r>
      <w:r>
        <w:rPr>
          <w:rFonts w:cs="宋体"/>
        </w:rPr>
        <w:t>20</w:t>
      </w:r>
      <w:r>
        <w:rPr>
          <w:rFonts w:hint="eastAsia" w:cs="宋体"/>
        </w:rPr>
        <w:t>2</w:t>
      </w:r>
      <w:r>
        <w:rPr>
          <w:rFonts w:cs="宋体"/>
        </w:rPr>
        <w:t>4</w:t>
      </w:r>
      <w:r>
        <w:rPr>
          <w:rFonts w:hint="eastAsia" w:cs="宋体"/>
        </w:rPr>
        <w:t>—</w:t>
      </w:r>
      <w:r>
        <w:rPr>
          <w:rFonts w:cs="宋体"/>
        </w:rPr>
        <w:t>203</w:t>
      </w:r>
      <w:r>
        <w:rPr>
          <w:rFonts w:hint="eastAsia" w:cs="宋体"/>
        </w:rPr>
        <w:t>5年。近期为</w:t>
      </w:r>
      <w:r>
        <w:rPr>
          <w:rFonts w:cs="宋体"/>
        </w:rPr>
        <w:t>20</w:t>
      </w:r>
      <w:r>
        <w:rPr>
          <w:rFonts w:hint="eastAsia" w:cs="宋体"/>
        </w:rPr>
        <w:t>2</w:t>
      </w:r>
      <w:r>
        <w:rPr>
          <w:rFonts w:cs="宋体"/>
        </w:rPr>
        <w:t>4</w:t>
      </w:r>
      <w:r>
        <w:rPr>
          <w:rFonts w:hint="eastAsia" w:cs="宋体"/>
        </w:rPr>
        <w:t>—</w:t>
      </w:r>
      <w:r>
        <w:rPr>
          <w:rFonts w:cs="宋体"/>
        </w:rPr>
        <w:t>20</w:t>
      </w:r>
      <w:r>
        <w:rPr>
          <w:rFonts w:hint="eastAsia" w:cs="宋体"/>
        </w:rPr>
        <w:t>30年，远期为</w:t>
      </w:r>
      <w:r>
        <w:rPr>
          <w:rFonts w:cs="宋体"/>
        </w:rPr>
        <w:t>20</w:t>
      </w:r>
      <w:r>
        <w:rPr>
          <w:rFonts w:hint="eastAsia" w:cs="宋体"/>
        </w:rPr>
        <w:t>31—</w:t>
      </w:r>
      <w:r>
        <w:rPr>
          <w:rFonts w:cs="宋体"/>
        </w:rPr>
        <w:t>203</w:t>
      </w:r>
      <w:r>
        <w:rPr>
          <w:rFonts w:hint="eastAsia" w:cs="宋体"/>
        </w:rPr>
        <w:t>5年。</w:t>
      </w:r>
    </w:p>
    <w:p>
      <w:pPr>
        <w:pStyle w:val="3"/>
        <w:spacing w:before="326"/>
      </w:pPr>
      <w:bookmarkStart w:id="20" w:name="_Toc176455997"/>
      <w:r>
        <w:rPr>
          <w:rFonts w:hint="eastAsia"/>
        </w:rPr>
        <w:t>四、规划目标</w:t>
      </w:r>
      <w:bookmarkEnd w:id="20"/>
    </w:p>
    <w:p>
      <w:pPr>
        <w:pStyle w:val="4"/>
        <w:spacing w:before="163"/>
        <w:ind w:firstLine="360"/>
      </w:pPr>
      <w:r>
        <w:rPr>
          <w:rFonts w:hint="eastAsia"/>
        </w:rPr>
        <w:t>（一）总目标</w:t>
      </w:r>
    </w:p>
    <w:p>
      <w:pPr>
        <w:spacing w:before="97" w:beforeLines="30"/>
        <w:ind w:firstLine="480"/>
        <w:rPr>
          <w:rFonts w:cs="宋体"/>
        </w:rPr>
      </w:pPr>
      <w:r>
        <w:rPr>
          <w:rFonts w:hint="eastAsia" w:cs="宋体"/>
        </w:rPr>
        <w:t>充分保护百丈漈—飞云湖风景名胜区优质的自然、文化景观资源和生态环境，真实完整地体现百丈漈—飞云湖的历史文化和风景审美价值，体现人文与自然景观的有机融合。在环境容量允许的限度下，以合理适当的方式，优化利用风景资源，做到保护与发展的良性互动。把百丈漈—飞云湖风景名胜区建设成为著名的“全域旅游示范区、国际旅游目的地”，为游客提供最佳的游览体验和度假体验。</w:t>
      </w:r>
    </w:p>
    <w:p>
      <w:pPr>
        <w:pStyle w:val="4"/>
        <w:spacing w:before="163"/>
        <w:ind w:firstLine="360"/>
      </w:pPr>
      <w:r>
        <w:rPr>
          <w:rFonts w:hint="eastAsia"/>
        </w:rPr>
        <w:t>（二）分项目标</w:t>
      </w:r>
    </w:p>
    <w:p>
      <w:pPr>
        <w:spacing w:before="97" w:beforeLines="30"/>
        <w:ind w:firstLine="482"/>
        <w:rPr>
          <w:rFonts w:cs="宋体"/>
          <w:b/>
          <w:bCs/>
        </w:rPr>
      </w:pPr>
      <w:r>
        <w:rPr>
          <w:rFonts w:cs="宋体"/>
          <w:b/>
          <w:bCs/>
        </w:rPr>
        <w:t>1</w:t>
      </w:r>
      <w:r>
        <w:rPr>
          <w:rFonts w:hint="eastAsia" w:cs="宋体"/>
          <w:b/>
          <w:bCs/>
        </w:rPr>
        <w:t>、风景资源保护与管理目标</w:t>
      </w:r>
    </w:p>
    <w:p>
      <w:pPr>
        <w:spacing w:before="97" w:beforeLines="30"/>
        <w:ind w:firstLine="480"/>
        <w:rPr>
          <w:rFonts w:cs="宋体"/>
        </w:rPr>
      </w:pPr>
      <w:r>
        <w:rPr>
          <w:rFonts w:hint="eastAsia" w:cs="宋体"/>
        </w:rPr>
        <w:t>严格执行本轮总体规划勘定的百丈漈—飞云湖风景名胜区的边界，拟定边界范围内的资源保护措施。以核心景区为重点，对动植物资源、人文史迹等进行详细调查工作，建立完善的自然、人文景观资源数据库。建立和完善防灾应急救护系统。拟定生态环境保护、人居环境建设、人口用地、建设控制、产业导向等公共政策。建立百丈漈—飞云湖风景名胜区统一的管理机构，实行统一管理。风景区保护与利用决策建立在充分的科学研究论证的基础上。</w:t>
      </w:r>
    </w:p>
    <w:p>
      <w:pPr>
        <w:spacing w:before="97" w:beforeLines="30"/>
        <w:ind w:firstLine="482"/>
        <w:rPr>
          <w:rFonts w:cs="宋体"/>
          <w:b/>
          <w:bCs/>
        </w:rPr>
      </w:pPr>
      <w:r>
        <w:rPr>
          <w:rFonts w:cs="宋体"/>
          <w:b/>
          <w:bCs/>
        </w:rPr>
        <w:t>2</w:t>
      </w:r>
      <w:r>
        <w:rPr>
          <w:rFonts w:hint="eastAsia" w:cs="宋体"/>
          <w:b/>
          <w:bCs/>
        </w:rPr>
        <w:t>、景区建设与旅游发展目标</w:t>
      </w:r>
    </w:p>
    <w:p>
      <w:pPr>
        <w:spacing w:before="97" w:beforeLines="30"/>
        <w:ind w:firstLine="480"/>
        <w:rPr>
          <w:rFonts w:cs="宋体"/>
        </w:rPr>
      </w:pPr>
      <w:r>
        <w:rPr>
          <w:rFonts w:hint="eastAsia" w:cs="宋体"/>
        </w:rPr>
        <w:t>在充分兼顾资源保护同时，为游客提供多种档次、配套齐全、具备现代管理模式的旅游服务设施体系。利用文成侨乡优势，积极开拓国内外客源市场，大力突出特色旅游品牌建设，提升百丈漈—飞云湖旅游风景</w:t>
      </w:r>
      <w:r>
        <w:rPr>
          <w:rFonts w:cs="宋体"/>
        </w:rPr>
        <w:t>名胜区的</w:t>
      </w:r>
      <w:r>
        <w:rPr>
          <w:rFonts w:hint="eastAsia" w:cs="宋体"/>
        </w:rPr>
        <w:t>形象和</w:t>
      </w:r>
      <w:r>
        <w:rPr>
          <w:rFonts w:cs="宋体"/>
        </w:rPr>
        <w:t>知名度</w:t>
      </w:r>
      <w:r>
        <w:rPr>
          <w:rFonts w:hint="eastAsia" w:cs="宋体"/>
        </w:rPr>
        <w:t>，打造国际高山休闲度假旅游目的地。加快天顶湖等旅游产业平台建设，</w:t>
      </w:r>
      <w:r>
        <w:rPr>
          <w:rFonts w:hint="eastAsia" w:ascii="宋体"/>
        </w:rPr>
        <w:t>实现整体旅游接待能力的提高。</w:t>
      </w:r>
    </w:p>
    <w:p>
      <w:pPr>
        <w:spacing w:before="97" w:beforeLines="30"/>
        <w:ind w:firstLine="482"/>
        <w:rPr>
          <w:rFonts w:cs="宋体"/>
          <w:b/>
          <w:bCs/>
        </w:rPr>
      </w:pPr>
      <w:r>
        <w:rPr>
          <w:rFonts w:cs="宋体"/>
          <w:b/>
          <w:bCs/>
        </w:rPr>
        <w:t>3</w:t>
      </w:r>
      <w:r>
        <w:rPr>
          <w:rFonts w:hint="eastAsia" w:cs="宋体"/>
          <w:b/>
          <w:bCs/>
        </w:rPr>
        <w:t>、社区协调与发展目标</w:t>
      </w:r>
    </w:p>
    <w:p>
      <w:pPr>
        <w:spacing w:before="97" w:beforeLines="30"/>
        <w:ind w:firstLine="480"/>
        <w:rPr>
          <w:rFonts w:ascii="宋体"/>
        </w:rPr>
      </w:pPr>
      <w:r>
        <w:rPr>
          <w:rFonts w:hint="eastAsia" w:ascii="宋体" w:hAnsi="宋体"/>
        </w:rPr>
        <w:t>理顺风景区与县、乡镇、居民及各经济实体间的发展关系，通过旅游业和生态农业带动风景区经济社会转型发展，协调环境保护、旅游发展、民生事业之间的关系。完成各项社会调控目标，实现景村共栖，利益共享，协调持续发展。</w:t>
      </w:r>
    </w:p>
    <w:p>
      <w:pPr>
        <w:pStyle w:val="3"/>
        <w:spacing w:before="326"/>
      </w:pPr>
      <w:bookmarkStart w:id="21" w:name="_Toc176455998"/>
      <w:r>
        <w:rPr>
          <w:rFonts w:hint="eastAsia"/>
        </w:rPr>
        <w:t>五、规划策略</w:t>
      </w:r>
      <w:bookmarkEnd w:id="21"/>
    </w:p>
    <w:p>
      <w:pPr>
        <w:pStyle w:val="4"/>
        <w:spacing w:before="163"/>
        <w:ind w:firstLine="360"/>
      </w:pPr>
      <w:r>
        <w:rPr>
          <w:rFonts w:hint="eastAsia"/>
        </w:rPr>
        <w:t>（一）圈层保护，优化管控</w:t>
      </w:r>
    </w:p>
    <w:p>
      <w:pPr>
        <w:spacing w:before="97" w:beforeLines="30"/>
        <w:ind w:firstLine="480"/>
        <w:rPr>
          <w:rFonts w:eastAsia="黑体"/>
          <w:bCs/>
          <w:kern w:val="0"/>
        </w:rPr>
      </w:pPr>
      <w:r>
        <w:rPr>
          <w:rFonts w:hint="eastAsia" w:ascii="宋体" w:hAnsi="宋体"/>
        </w:rPr>
        <w:t>形成核心景区、景区、风景区、外围保护地带这一圈层式的保护格局，优化分级管控要求，有效协调风景资源保护、风景旅游发展和社会经济发展的关系，为文成县预留好发展空间。</w:t>
      </w:r>
    </w:p>
    <w:p>
      <w:pPr>
        <w:pStyle w:val="4"/>
        <w:spacing w:before="163"/>
        <w:ind w:firstLine="360"/>
      </w:pPr>
      <w:r>
        <w:rPr>
          <w:rFonts w:hint="eastAsia"/>
        </w:rPr>
        <w:t>（二）多维游赏，串景连城</w:t>
      </w:r>
    </w:p>
    <w:p>
      <w:pPr>
        <w:spacing w:before="97" w:beforeLines="30"/>
        <w:ind w:firstLine="480"/>
      </w:pPr>
      <w:r>
        <w:rPr>
          <w:rFonts w:hint="eastAsia" w:ascii="宋体" w:hAnsi="宋体"/>
        </w:rPr>
        <w:t>加强水陆空多维交通及游赏组织，打造串景连城的“全域风景”游赏体系。推进旅游业态创新及多元化旅游产品开发，推动“观光游”向“体验游”转化，打造沉浸式景区，赋予景区景点新活力。交旅融合，构建“快达慢游”路网，完善通景道路体系，加强景区串联与景城联动。</w:t>
      </w:r>
    </w:p>
    <w:p>
      <w:pPr>
        <w:pStyle w:val="4"/>
        <w:spacing w:before="163"/>
        <w:ind w:firstLine="360"/>
      </w:pPr>
      <w:r>
        <w:rPr>
          <w:rFonts w:hint="eastAsia"/>
        </w:rPr>
        <w:t>（三）功能互补，提质增量</w:t>
      </w:r>
    </w:p>
    <w:p>
      <w:pPr>
        <w:spacing w:before="97" w:beforeLines="30"/>
        <w:ind w:firstLine="480"/>
        <w:rPr>
          <w:rFonts w:ascii="宋体" w:hAnsi="宋体"/>
        </w:rPr>
      </w:pPr>
      <w:r>
        <w:rPr>
          <w:rFonts w:hint="eastAsia" w:ascii="宋体" w:hAnsi="宋体"/>
        </w:rPr>
        <w:t>景区内以生态保育、风景游赏、文化体验、科考探险为主体功能定位，景区外以旅游服务、休闲度假为主导功能，区内区外联动、功能互补。完善服务设施布局和高品质供给，景区外依托镇区、村庄打造高品质的旅游住宿集群。</w:t>
      </w:r>
    </w:p>
    <w:p>
      <w:pPr>
        <w:pStyle w:val="4"/>
        <w:spacing w:before="163"/>
        <w:ind w:firstLine="360"/>
      </w:pPr>
      <w:r>
        <w:rPr>
          <w:rFonts w:hint="eastAsia"/>
        </w:rPr>
        <w:t>（四）宜居宜业，景村共富</w:t>
      </w:r>
    </w:p>
    <w:p>
      <w:pPr>
        <w:spacing w:before="97" w:beforeLines="30"/>
        <w:ind w:firstLine="480"/>
        <w:rPr>
          <w:rFonts w:ascii="宋体" w:hAnsi="宋体"/>
        </w:rPr>
      </w:pPr>
      <w:r>
        <w:rPr>
          <w:rFonts w:hint="eastAsia" w:cs="宋体"/>
        </w:rPr>
        <w:t>合理确定风景区内居民点的管控分区及调控类型，优化居民社会管控要求；立足景中村的自然与文化资源本底，以景村共融、共富为目标，改善村庄基础设施、提升村庄环境，引导特色产业发展，打造一批特色旅游村。</w:t>
      </w:r>
    </w:p>
    <w:p>
      <w:pPr>
        <w:pStyle w:val="3"/>
        <w:spacing w:before="326"/>
      </w:pPr>
      <w:bookmarkStart w:id="22" w:name="_Toc176455999"/>
      <w:r>
        <w:rPr>
          <w:rFonts w:hint="eastAsia"/>
        </w:rPr>
        <w:t>六、总体布局结构</w:t>
      </w:r>
      <w:bookmarkEnd w:id="22"/>
    </w:p>
    <w:p>
      <w:pPr>
        <w:spacing w:before="97" w:beforeLines="30"/>
        <w:ind w:firstLine="480"/>
        <w:rPr>
          <w:rFonts w:ascii="宋体" w:hAnsi="宋体"/>
        </w:rPr>
      </w:pPr>
      <w:r>
        <w:rPr>
          <w:rFonts w:hint="eastAsia" w:ascii="宋体" w:hAnsi="宋体"/>
        </w:rPr>
        <w:t>基于“区内游、区外住”、“建立游赏网络体系”的规划目标，确定百丈漈—飞云湖风景</w:t>
      </w:r>
      <w:r>
        <w:rPr>
          <w:rFonts w:ascii="宋体" w:hAnsi="宋体"/>
        </w:rPr>
        <w:t>名胜区</w:t>
      </w:r>
      <w:r>
        <w:rPr>
          <w:rFonts w:hint="eastAsia" w:ascii="宋体" w:hAnsi="宋体"/>
          <w:b/>
        </w:rPr>
        <w:t>“三片八区九胜景、一心一台四门户”</w:t>
      </w:r>
      <w:r>
        <w:rPr>
          <w:rFonts w:hint="eastAsia" w:ascii="宋体" w:hAnsi="宋体"/>
        </w:rPr>
        <w:t>的主体空间结构形态。</w:t>
      </w:r>
    </w:p>
    <w:p>
      <w:pPr>
        <w:spacing w:before="97" w:beforeLines="30"/>
        <w:ind w:firstLine="480"/>
        <w:rPr>
          <w:rFonts w:ascii="宋体" w:hAnsi="宋体"/>
        </w:rPr>
      </w:pPr>
      <w:r>
        <w:rPr>
          <w:rFonts w:hint="eastAsia" w:ascii="宋体" w:hAnsi="宋体"/>
        </w:rPr>
        <w:t>三片：由于风景名胜区地域空间大，资源空间分布和特征差异较大的现实情况，规划形成百丈漈、铜铃山、飞云湖三大片区。</w:t>
      </w:r>
    </w:p>
    <w:p>
      <w:pPr>
        <w:spacing w:before="97" w:beforeLines="30"/>
        <w:ind w:firstLine="480"/>
        <w:rPr>
          <w:rFonts w:ascii="宋体" w:hAnsi="宋体"/>
        </w:rPr>
      </w:pPr>
      <w:r>
        <w:rPr>
          <w:rFonts w:hint="eastAsia" w:ascii="宋体" w:hAnsi="宋体"/>
        </w:rPr>
        <w:t>八区：根据景源组合和地域分布特征，规划百丈飞瀑、朱阳九峰、伯温故里、龙麒源、石垟、岩门大峡谷、飞云湖、牛栏湾等八大景区。</w:t>
      </w:r>
    </w:p>
    <w:p>
      <w:pPr>
        <w:spacing w:before="97" w:beforeLines="30"/>
        <w:ind w:firstLine="480"/>
        <w:rPr>
          <w:rFonts w:ascii="宋体" w:hAnsi="宋体"/>
        </w:rPr>
      </w:pPr>
      <w:r>
        <w:rPr>
          <w:rFonts w:hint="eastAsia" w:ascii="宋体" w:hAnsi="宋体"/>
        </w:rPr>
        <w:t>九胜景：百瀑雄奇、云湖碧波、峡谷险幽、</w:t>
      </w:r>
      <w:r>
        <w:rPr>
          <w:rFonts w:hint="eastAsia" w:cs="宋体"/>
        </w:rPr>
        <w:t>奇峰叠翠、</w:t>
      </w:r>
      <w:r>
        <w:rPr>
          <w:rFonts w:hint="eastAsia" w:ascii="宋体" w:hAnsi="宋体"/>
        </w:rPr>
        <w:t>伯温故里、森海秘境、畲寨风情、红枫古道、红色遗迹九大典型景观。</w:t>
      </w:r>
    </w:p>
    <w:p>
      <w:pPr>
        <w:spacing w:before="97" w:beforeLines="30"/>
        <w:ind w:firstLine="480"/>
        <w:rPr>
          <w:rFonts w:ascii="宋体" w:hAnsi="宋体"/>
        </w:rPr>
      </w:pPr>
      <w:r>
        <w:rPr>
          <w:rFonts w:hint="eastAsia" w:ascii="宋体" w:hAnsi="宋体"/>
        </w:rPr>
        <w:t>一心：大峃镇城景发展核心。</w:t>
      </w:r>
    </w:p>
    <w:p>
      <w:pPr>
        <w:spacing w:before="97" w:beforeLines="30"/>
        <w:ind w:firstLine="480"/>
        <w:rPr>
          <w:rFonts w:ascii="宋体" w:hAnsi="宋体"/>
        </w:rPr>
      </w:pPr>
      <w:r>
        <w:rPr>
          <w:rFonts w:hint="eastAsia" w:ascii="宋体" w:hAnsi="宋体"/>
        </w:rPr>
        <w:t>一台：天湖旅游发展平台。利用西坑、南田、百丈漈、二源镇等围合的高山平台区块，规划文成未来重要的旅游发展平台，包括文成县强城“四园二十点”产业布局规划中的天湖悦动（低空旅游）度假区、安福康养禅修区、问道伯温体验区、森林氧吧运动区、创意农林共富基地、高山种苗产业集聚区、林下经济先行区。</w:t>
      </w:r>
    </w:p>
    <w:p>
      <w:pPr>
        <w:spacing w:before="97" w:beforeLines="30"/>
        <w:ind w:firstLine="480"/>
        <w:rPr>
          <w:rFonts w:cs="宋体"/>
        </w:rPr>
      </w:pPr>
      <w:r>
        <w:rPr>
          <w:rFonts w:hint="eastAsia" w:ascii="宋体" w:hAnsi="宋体"/>
        </w:rPr>
        <w:t>四门户：</w:t>
      </w:r>
      <w:r>
        <w:rPr>
          <w:rFonts w:hint="eastAsia" w:cs="宋体"/>
        </w:rPr>
        <w:t>玉壶镇（东部门户）、</w:t>
      </w:r>
      <w:r>
        <w:rPr>
          <w:rFonts w:cs="宋体"/>
        </w:rPr>
        <w:t>珊溪镇</w:t>
      </w:r>
      <w:r>
        <w:rPr>
          <w:rFonts w:hint="eastAsia" w:cs="宋体"/>
        </w:rPr>
        <w:t>（</w:t>
      </w:r>
      <w:r>
        <w:rPr>
          <w:rFonts w:cs="宋体"/>
        </w:rPr>
        <w:t>南部门户</w:t>
      </w:r>
      <w:r>
        <w:rPr>
          <w:rFonts w:hint="eastAsia" w:cs="宋体"/>
        </w:rPr>
        <w:t>）、西坑畲族镇（西</w:t>
      </w:r>
      <w:r>
        <w:rPr>
          <w:rFonts w:cs="宋体"/>
        </w:rPr>
        <w:t>部门户</w:t>
      </w:r>
      <w:r>
        <w:rPr>
          <w:rFonts w:hint="eastAsia" w:cs="宋体"/>
        </w:rPr>
        <w:t>）、南田</w:t>
      </w:r>
      <w:r>
        <w:rPr>
          <w:rFonts w:cs="宋体"/>
        </w:rPr>
        <w:t>镇</w:t>
      </w:r>
      <w:r>
        <w:rPr>
          <w:rFonts w:hint="eastAsia" w:cs="宋体"/>
        </w:rPr>
        <w:t>（北部</w:t>
      </w:r>
      <w:r>
        <w:rPr>
          <w:rFonts w:cs="宋体"/>
        </w:rPr>
        <w:t>门户</w:t>
      </w:r>
      <w:r>
        <w:rPr>
          <w:rFonts w:hint="eastAsia" w:cs="宋体"/>
        </w:rPr>
        <w:t>）。</w:t>
      </w:r>
    </w:p>
    <w:p>
      <w:pPr>
        <w:pStyle w:val="2"/>
        <w:spacing w:before="97"/>
      </w:pPr>
      <w:r>
        <w:rPr>
          <w:rFonts w:eastAsia="宋体"/>
          <w:sz w:val="24"/>
        </w:rPr>
        <w:br w:type="page"/>
      </w:r>
      <w:bookmarkStart w:id="23" w:name="_Toc176456000"/>
      <w:r>
        <w:rPr>
          <w:rFonts w:hint="eastAsia"/>
        </w:rPr>
        <w:t>第二章 关于保护规划的说明</w:t>
      </w:r>
      <w:bookmarkEnd w:id="23"/>
    </w:p>
    <w:p>
      <w:pPr>
        <w:pStyle w:val="3"/>
        <w:spacing w:before="326"/>
      </w:pPr>
      <w:bookmarkStart w:id="24" w:name="_Toc426579248"/>
      <w:bookmarkStart w:id="25" w:name="_Toc176456001"/>
      <w:r>
        <w:rPr>
          <w:rFonts w:hint="eastAsia"/>
        </w:rPr>
        <w:t>一、资源分级保护</w:t>
      </w:r>
      <w:bookmarkEnd w:id="24"/>
      <w:bookmarkEnd w:id="25"/>
    </w:p>
    <w:p>
      <w:pPr>
        <w:spacing w:before="97" w:beforeLines="30"/>
        <w:ind w:firstLine="480"/>
        <w:rPr>
          <w:rFonts w:ascii="宋体" w:hAnsi="宋体"/>
        </w:rPr>
      </w:pPr>
      <w:r>
        <w:rPr>
          <w:rFonts w:hint="eastAsia" w:ascii="宋体" w:hAnsi="宋体"/>
        </w:rPr>
        <w:t>划分为一级、二级、三级保护区三个层次，实施分级控制保护，并对一、二级保护区实施重点保护控制。</w:t>
      </w:r>
      <w:r>
        <w:rPr>
          <w:rFonts w:hint="eastAsia" w:hAnsi="宋体"/>
        </w:rPr>
        <w:t>一级保护区与二级保护区是风景区内的资源保育区及风景游览区，对应景区的范围，需编制风景名胜区详细规划。（见表2-1）</w:t>
      </w:r>
    </w:p>
    <w:p>
      <w:pPr>
        <w:spacing w:before="163" w:beforeLines="50"/>
        <w:ind w:firstLine="422"/>
        <w:jc w:val="center"/>
        <w:rPr>
          <w:rFonts w:ascii="宋体" w:hAnsi="宋体"/>
          <w:b/>
          <w:kern w:val="0"/>
          <w:sz w:val="21"/>
          <w:szCs w:val="21"/>
        </w:rPr>
      </w:pPr>
      <w:r>
        <w:rPr>
          <w:rFonts w:hint="eastAsia" w:ascii="宋体" w:hAnsi="宋体"/>
          <w:b/>
          <w:kern w:val="0"/>
          <w:sz w:val="21"/>
          <w:szCs w:val="21"/>
        </w:rPr>
        <w:t>表2-1 资源分级保护一览表</w:t>
      </w:r>
    </w:p>
    <w:tbl>
      <w:tblPr>
        <w:tblStyle w:val="42"/>
        <w:tblW w:w="85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2586"/>
        <w:gridCol w:w="2085"/>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94" w:type="dxa"/>
            <w:gridSpan w:val="2"/>
            <w:shd w:val="clear" w:color="auto" w:fill="E2E2E2"/>
            <w:vAlign w:val="center"/>
          </w:tcPr>
          <w:p>
            <w:pPr>
              <w:spacing w:line="240" w:lineRule="auto"/>
              <w:ind w:firstLine="0" w:firstLineChars="0"/>
              <w:jc w:val="center"/>
              <w:rPr>
                <w:rFonts w:asciiTheme="minorEastAsia" w:hAnsiTheme="minorEastAsia" w:eastAsiaTheme="minorEastAsia"/>
                <w:b/>
                <w:sz w:val="18"/>
                <w:szCs w:val="20"/>
              </w:rPr>
            </w:pPr>
            <w:r>
              <w:rPr>
                <w:rFonts w:hint="eastAsia" w:asciiTheme="minorEastAsia" w:hAnsiTheme="minorEastAsia" w:eastAsiaTheme="minorEastAsia"/>
                <w:b/>
                <w:sz w:val="18"/>
                <w:szCs w:val="20"/>
              </w:rPr>
              <w:t>保护等级</w:t>
            </w:r>
          </w:p>
        </w:tc>
        <w:tc>
          <w:tcPr>
            <w:tcW w:w="2085" w:type="dxa"/>
            <w:shd w:val="clear" w:color="auto" w:fill="E2E2E2"/>
            <w:vAlign w:val="center"/>
          </w:tcPr>
          <w:p>
            <w:pPr>
              <w:spacing w:line="240" w:lineRule="auto"/>
              <w:ind w:firstLine="0" w:firstLineChars="0"/>
              <w:jc w:val="center"/>
              <w:rPr>
                <w:rFonts w:asciiTheme="minorEastAsia" w:hAnsiTheme="minorEastAsia" w:eastAsiaTheme="minorEastAsia"/>
                <w:b/>
                <w:sz w:val="18"/>
                <w:szCs w:val="20"/>
              </w:rPr>
            </w:pPr>
            <w:r>
              <w:rPr>
                <w:rFonts w:hint="eastAsia" w:asciiTheme="minorEastAsia" w:hAnsiTheme="minorEastAsia" w:eastAsiaTheme="minorEastAsia"/>
                <w:b/>
                <w:sz w:val="18"/>
                <w:szCs w:val="20"/>
              </w:rPr>
              <w:t>面积（平方公里）</w:t>
            </w:r>
          </w:p>
        </w:tc>
        <w:tc>
          <w:tcPr>
            <w:tcW w:w="2160" w:type="dxa"/>
            <w:shd w:val="clear" w:color="auto" w:fill="E2E2E2"/>
            <w:vAlign w:val="center"/>
          </w:tcPr>
          <w:p>
            <w:pPr>
              <w:spacing w:line="240" w:lineRule="auto"/>
              <w:ind w:firstLine="0" w:firstLineChars="0"/>
              <w:jc w:val="center"/>
              <w:rPr>
                <w:rFonts w:asciiTheme="minorEastAsia" w:hAnsiTheme="minorEastAsia" w:eastAsiaTheme="minorEastAsia"/>
                <w:b/>
                <w:sz w:val="18"/>
                <w:szCs w:val="20"/>
              </w:rPr>
            </w:pPr>
            <w:r>
              <w:rPr>
                <w:rFonts w:hint="eastAsia" w:asciiTheme="minorEastAsia" w:hAnsiTheme="minorEastAsia" w:eastAsiaTheme="minorEastAsia"/>
                <w:b/>
                <w:sz w:val="18"/>
                <w:szCs w:val="2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708" w:type="dxa"/>
            <w:vMerge w:val="restart"/>
            <w:vAlign w:val="center"/>
          </w:tcPr>
          <w:p>
            <w:pPr>
              <w:spacing w:line="240" w:lineRule="auto"/>
              <w:ind w:firstLine="0" w:firstLineChars="0"/>
              <w:jc w:val="center"/>
              <w:rPr>
                <w:rFonts w:asciiTheme="minorEastAsia" w:hAnsiTheme="minorEastAsia" w:eastAsiaTheme="minorEastAsia"/>
                <w:b/>
                <w:sz w:val="18"/>
                <w:szCs w:val="20"/>
              </w:rPr>
            </w:pPr>
            <w:r>
              <w:rPr>
                <w:rFonts w:hint="eastAsia" w:asciiTheme="minorEastAsia" w:hAnsiTheme="minorEastAsia" w:eastAsiaTheme="minorEastAsia"/>
                <w:b/>
                <w:sz w:val="18"/>
                <w:szCs w:val="20"/>
              </w:rPr>
              <w:t>景区范围</w:t>
            </w:r>
          </w:p>
        </w:tc>
        <w:tc>
          <w:tcPr>
            <w:tcW w:w="2586" w:type="dxa"/>
            <w:vAlign w:val="center"/>
          </w:tcPr>
          <w:p>
            <w:pPr>
              <w:spacing w:line="240" w:lineRule="auto"/>
              <w:ind w:firstLine="0" w:firstLineChars="0"/>
              <w:jc w:val="center"/>
              <w:rPr>
                <w:rFonts w:asciiTheme="minorEastAsia" w:hAnsiTheme="minorEastAsia" w:eastAsiaTheme="minorEastAsia"/>
                <w:sz w:val="18"/>
                <w:szCs w:val="20"/>
              </w:rPr>
            </w:pPr>
            <w:r>
              <w:rPr>
                <w:rFonts w:hint="eastAsia" w:asciiTheme="minorEastAsia" w:hAnsiTheme="minorEastAsia" w:eastAsiaTheme="minorEastAsia"/>
                <w:sz w:val="18"/>
                <w:szCs w:val="20"/>
              </w:rPr>
              <w:t>一级保护区（核心景区）</w:t>
            </w:r>
          </w:p>
        </w:tc>
        <w:tc>
          <w:tcPr>
            <w:tcW w:w="2085" w:type="dxa"/>
            <w:vAlign w:val="center"/>
          </w:tcPr>
          <w:p>
            <w:pPr>
              <w:spacing w:line="240" w:lineRule="auto"/>
              <w:ind w:firstLine="0" w:firstLineChars="0"/>
              <w:jc w:val="center"/>
              <w:rPr>
                <w:rFonts w:asciiTheme="minorEastAsia" w:hAnsiTheme="minorEastAsia" w:eastAsiaTheme="minorEastAsia"/>
                <w:sz w:val="18"/>
                <w:szCs w:val="20"/>
              </w:rPr>
            </w:pPr>
            <w:r>
              <w:rPr>
                <w:rFonts w:hint="eastAsia" w:asciiTheme="minorEastAsia" w:hAnsiTheme="minorEastAsia" w:eastAsiaTheme="minorEastAsia"/>
                <w:sz w:val="18"/>
                <w:szCs w:val="20"/>
              </w:rPr>
              <w:t>9</w:t>
            </w:r>
            <w:r>
              <w:rPr>
                <w:rFonts w:asciiTheme="minorEastAsia" w:hAnsiTheme="minorEastAsia" w:eastAsiaTheme="minorEastAsia"/>
                <w:sz w:val="18"/>
                <w:szCs w:val="20"/>
              </w:rPr>
              <w:t>1.0</w:t>
            </w:r>
          </w:p>
        </w:tc>
        <w:tc>
          <w:tcPr>
            <w:tcW w:w="2160" w:type="dxa"/>
            <w:vAlign w:val="center"/>
          </w:tcPr>
          <w:p>
            <w:pPr>
              <w:spacing w:line="240" w:lineRule="auto"/>
              <w:ind w:firstLine="0" w:firstLineChars="0"/>
              <w:jc w:val="center"/>
              <w:rPr>
                <w:rFonts w:asciiTheme="minorEastAsia" w:hAnsiTheme="minorEastAsia" w:eastAsiaTheme="minorEastAsia"/>
                <w:sz w:val="18"/>
                <w:szCs w:val="20"/>
              </w:rPr>
            </w:pPr>
            <w:r>
              <w:rPr>
                <w:rFonts w:hint="eastAsia" w:asciiTheme="minorEastAsia" w:hAnsiTheme="minorEastAsia" w:eastAsiaTheme="minorEastAsia"/>
                <w:sz w:val="18"/>
                <w:szCs w:val="20"/>
              </w:rPr>
              <w:t>17.</w:t>
            </w:r>
            <w:r>
              <w:rPr>
                <w:rFonts w:asciiTheme="minorEastAsia" w:hAnsiTheme="minorEastAsia" w:eastAsiaTheme="minorEastAsia"/>
                <w:sz w:val="18"/>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708" w:type="dxa"/>
            <w:vMerge w:val="continue"/>
            <w:vAlign w:val="center"/>
          </w:tcPr>
          <w:p>
            <w:pPr>
              <w:spacing w:line="240" w:lineRule="auto"/>
              <w:ind w:firstLine="0" w:firstLineChars="0"/>
              <w:jc w:val="center"/>
              <w:rPr>
                <w:rFonts w:asciiTheme="minorEastAsia" w:hAnsiTheme="minorEastAsia" w:eastAsiaTheme="minorEastAsia"/>
                <w:b/>
                <w:sz w:val="18"/>
                <w:szCs w:val="20"/>
              </w:rPr>
            </w:pPr>
          </w:p>
        </w:tc>
        <w:tc>
          <w:tcPr>
            <w:tcW w:w="2586" w:type="dxa"/>
            <w:vAlign w:val="center"/>
          </w:tcPr>
          <w:p>
            <w:pPr>
              <w:spacing w:line="240" w:lineRule="auto"/>
              <w:ind w:firstLine="0" w:firstLineChars="0"/>
              <w:jc w:val="center"/>
              <w:rPr>
                <w:rFonts w:asciiTheme="minorEastAsia" w:hAnsiTheme="minorEastAsia" w:eastAsiaTheme="minorEastAsia"/>
                <w:sz w:val="18"/>
                <w:szCs w:val="20"/>
              </w:rPr>
            </w:pPr>
            <w:r>
              <w:rPr>
                <w:rFonts w:hint="eastAsia" w:asciiTheme="minorEastAsia" w:hAnsiTheme="minorEastAsia" w:eastAsiaTheme="minorEastAsia"/>
                <w:sz w:val="18"/>
                <w:szCs w:val="20"/>
              </w:rPr>
              <w:t>二级保护区</w:t>
            </w:r>
          </w:p>
        </w:tc>
        <w:tc>
          <w:tcPr>
            <w:tcW w:w="2085" w:type="dxa"/>
            <w:vAlign w:val="center"/>
          </w:tcPr>
          <w:p>
            <w:pPr>
              <w:spacing w:line="240" w:lineRule="auto"/>
              <w:ind w:firstLine="0" w:firstLineChars="0"/>
              <w:jc w:val="center"/>
              <w:rPr>
                <w:rFonts w:asciiTheme="minorEastAsia" w:hAnsiTheme="minorEastAsia" w:eastAsiaTheme="minorEastAsia"/>
                <w:sz w:val="18"/>
                <w:szCs w:val="20"/>
              </w:rPr>
            </w:pPr>
            <w:r>
              <w:rPr>
                <w:rFonts w:hint="eastAsia" w:asciiTheme="minorEastAsia" w:hAnsiTheme="minorEastAsia" w:eastAsiaTheme="minorEastAsia"/>
                <w:sz w:val="18"/>
                <w:szCs w:val="20"/>
              </w:rPr>
              <w:t>14</w:t>
            </w:r>
            <w:r>
              <w:rPr>
                <w:rFonts w:asciiTheme="minorEastAsia" w:hAnsiTheme="minorEastAsia" w:eastAsiaTheme="minorEastAsia"/>
                <w:sz w:val="18"/>
                <w:szCs w:val="20"/>
              </w:rPr>
              <w:t>9.7</w:t>
            </w:r>
          </w:p>
        </w:tc>
        <w:tc>
          <w:tcPr>
            <w:tcW w:w="2160" w:type="dxa"/>
            <w:vAlign w:val="center"/>
          </w:tcPr>
          <w:p>
            <w:pPr>
              <w:spacing w:line="240" w:lineRule="auto"/>
              <w:ind w:firstLine="0" w:firstLineChars="0"/>
              <w:jc w:val="center"/>
              <w:rPr>
                <w:rFonts w:asciiTheme="minorEastAsia" w:hAnsiTheme="minorEastAsia" w:eastAsiaTheme="minorEastAsia"/>
                <w:sz w:val="18"/>
                <w:szCs w:val="20"/>
              </w:rPr>
            </w:pPr>
            <w:r>
              <w:rPr>
                <w:rFonts w:hint="eastAsia" w:asciiTheme="minorEastAsia" w:hAnsiTheme="minorEastAsia" w:eastAsiaTheme="minorEastAsia"/>
                <w:sz w:val="18"/>
                <w:szCs w:val="20"/>
              </w:rPr>
              <w:t>2</w:t>
            </w:r>
            <w:r>
              <w:rPr>
                <w:rFonts w:asciiTheme="minorEastAsia" w:hAnsiTheme="minorEastAsia" w:eastAsiaTheme="minorEastAsia"/>
                <w:sz w:val="18"/>
                <w:szCs w:val="20"/>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708" w:type="dxa"/>
            <w:vAlign w:val="center"/>
          </w:tcPr>
          <w:p>
            <w:pPr>
              <w:spacing w:before="97" w:beforeLines="30"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b/>
                <w:sz w:val="18"/>
                <w:szCs w:val="20"/>
              </w:rPr>
              <w:t>非景区范围</w:t>
            </w:r>
          </w:p>
        </w:tc>
        <w:tc>
          <w:tcPr>
            <w:tcW w:w="2586" w:type="dxa"/>
            <w:vAlign w:val="center"/>
          </w:tcPr>
          <w:p>
            <w:pPr>
              <w:spacing w:line="240" w:lineRule="auto"/>
              <w:ind w:firstLine="0" w:firstLineChars="0"/>
              <w:jc w:val="center"/>
              <w:rPr>
                <w:rFonts w:asciiTheme="minorEastAsia" w:hAnsiTheme="minorEastAsia" w:eastAsiaTheme="minorEastAsia"/>
                <w:sz w:val="18"/>
                <w:szCs w:val="20"/>
              </w:rPr>
            </w:pPr>
            <w:r>
              <w:rPr>
                <w:rFonts w:hint="eastAsia" w:asciiTheme="minorEastAsia" w:hAnsiTheme="minorEastAsia" w:eastAsiaTheme="minorEastAsia"/>
                <w:sz w:val="18"/>
                <w:szCs w:val="20"/>
              </w:rPr>
              <w:t>三级保护区</w:t>
            </w:r>
          </w:p>
        </w:tc>
        <w:tc>
          <w:tcPr>
            <w:tcW w:w="2085" w:type="dxa"/>
            <w:vAlign w:val="center"/>
          </w:tcPr>
          <w:p>
            <w:pPr>
              <w:spacing w:line="240" w:lineRule="auto"/>
              <w:ind w:firstLine="0" w:firstLineChars="0"/>
              <w:jc w:val="center"/>
              <w:rPr>
                <w:rFonts w:asciiTheme="minorEastAsia" w:hAnsiTheme="minorEastAsia" w:eastAsiaTheme="minorEastAsia"/>
                <w:sz w:val="18"/>
                <w:szCs w:val="20"/>
              </w:rPr>
            </w:pPr>
            <w:r>
              <w:rPr>
                <w:rFonts w:hint="eastAsia" w:asciiTheme="minorEastAsia" w:hAnsiTheme="minorEastAsia" w:eastAsiaTheme="minorEastAsia"/>
                <w:sz w:val="18"/>
                <w:szCs w:val="20"/>
              </w:rPr>
              <w:t>291.</w:t>
            </w:r>
            <w:r>
              <w:rPr>
                <w:rFonts w:asciiTheme="minorEastAsia" w:hAnsiTheme="minorEastAsia" w:eastAsiaTheme="minorEastAsia"/>
                <w:sz w:val="18"/>
                <w:szCs w:val="20"/>
              </w:rPr>
              <w:t>1</w:t>
            </w:r>
          </w:p>
        </w:tc>
        <w:tc>
          <w:tcPr>
            <w:tcW w:w="2160" w:type="dxa"/>
            <w:vAlign w:val="center"/>
          </w:tcPr>
          <w:p>
            <w:pPr>
              <w:spacing w:line="240" w:lineRule="auto"/>
              <w:ind w:firstLine="0" w:firstLineChars="0"/>
              <w:jc w:val="center"/>
              <w:rPr>
                <w:rFonts w:asciiTheme="minorEastAsia" w:hAnsiTheme="minorEastAsia" w:eastAsiaTheme="minorEastAsia"/>
                <w:sz w:val="18"/>
                <w:szCs w:val="20"/>
              </w:rPr>
            </w:pPr>
            <w:r>
              <w:rPr>
                <w:rFonts w:hint="eastAsia" w:asciiTheme="minorEastAsia" w:hAnsiTheme="minorEastAsia" w:eastAsiaTheme="minorEastAsia"/>
                <w:sz w:val="18"/>
                <w:szCs w:val="20"/>
              </w:rPr>
              <w:t>54.7</w:t>
            </w:r>
            <w:r>
              <w:rPr>
                <w:rFonts w:asciiTheme="minorEastAsia" w:hAnsiTheme="minorEastAsia" w:eastAsiaTheme="minorEastAsia"/>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94" w:type="dxa"/>
            <w:gridSpan w:val="2"/>
            <w:vAlign w:val="center"/>
          </w:tcPr>
          <w:p>
            <w:pPr>
              <w:spacing w:line="240" w:lineRule="auto"/>
              <w:ind w:firstLine="0" w:firstLineChars="0"/>
              <w:jc w:val="center"/>
              <w:rPr>
                <w:rFonts w:asciiTheme="minorEastAsia" w:hAnsiTheme="minorEastAsia" w:eastAsiaTheme="minorEastAsia"/>
                <w:sz w:val="18"/>
                <w:szCs w:val="20"/>
              </w:rPr>
            </w:pPr>
            <w:r>
              <w:rPr>
                <w:rFonts w:hint="eastAsia" w:asciiTheme="minorEastAsia" w:hAnsiTheme="minorEastAsia" w:eastAsiaTheme="minorEastAsia"/>
                <w:sz w:val="18"/>
                <w:szCs w:val="20"/>
              </w:rPr>
              <w:t>合计</w:t>
            </w:r>
          </w:p>
        </w:tc>
        <w:tc>
          <w:tcPr>
            <w:tcW w:w="2085" w:type="dxa"/>
            <w:vAlign w:val="center"/>
          </w:tcPr>
          <w:p>
            <w:pPr>
              <w:spacing w:line="240" w:lineRule="auto"/>
              <w:ind w:firstLine="0" w:firstLineChars="0"/>
              <w:jc w:val="center"/>
              <w:rPr>
                <w:rFonts w:asciiTheme="minorEastAsia" w:hAnsiTheme="minorEastAsia" w:eastAsiaTheme="minorEastAsia"/>
                <w:sz w:val="18"/>
                <w:szCs w:val="20"/>
              </w:rPr>
            </w:pPr>
            <w:r>
              <w:rPr>
                <w:rFonts w:hint="eastAsia" w:asciiTheme="minorEastAsia" w:hAnsiTheme="minorEastAsia" w:eastAsiaTheme="minorEastAsia"/>
                <w:sz w:val="18"/>
                <w:szCs w:val="20"/>
              </w:rPr>
              <w:t>531.</w:t>
            </w:r>
            <w:r>
              <w:rPr>
                <w:rFonts w:asciiTheme="minorEastAsia" w:hAnsiTheme="minorEastAsia" w:eastAsiaTheme="minorEastAsia"/>
                <w:sz w:val="18"/>
                <w:szCs w:val="20"/>
              </w:rPr>
              <w:t>8</w:t>
            </w:r>
          </w:p>
        </w:tc>
        <w:tc>
          <w:tcPr>
            <w:tcW w:w="2160" w:type="dxa"/>
            <w:vAlign w:val="center"/>
          </w:tcPr>
          <w:p>
            <w:pPr>
              <w:spacing w:line="240" w:lineRule="auto"/>
              <w:ind w:firstLine="0" w:firstLineChars="0"/>
              <w:jc w:val="center"/>
              <w:rPr>
                <w:rFonts w:asciiTheme="minorEastAsia" w:hAnsiTheme="minorEastAsia" w:eastAsiaTheme="minorEastAsia"/>
                <w:sz w:val="18"/>
                <w:szCs w:val="20"/>
              </w:rPr>
            </w:pPr>
            <w:r>
              <w:rPr>
                <w:rFonts w:asciiTheme="minorEastAsia" w:hAnsiTheme="minorEastAsia" w:eastAsiaTheme="minorEastAsia"/>
                <w:sz w:val="18"/>
                <w:szCs w:val="20"/>
              </w:rPr>
              <w:t>100%</w:t>
            </w:r>
          </w:p>
        </w:tc>
      </w:tr>
    </w:tbl>
    <w:p>
      <w:pPr>
        <w:pStyle w:val="4"/>
        <w:spacing w:before="163"/>
        <w:ind w:firstLine="360"/>
      </w:pPr>
      <w:r>
        <w:rPr>
          <w:rFonts w:hint="eastAsia"/>
        </w:rPr>
        <w:t>（一）一级保护区（核心景区—严格禁止建设范围）</w:t>
      </w:r>
    </w:p>
    <w:p>
      <w:pPr>
        <w:spacing w:before="93"/>
        <w:ind w:firstLine="480"/>
        <w:rPr>
          <w:rFonts w:ascii="宋体" w:hAnsi="宋体"/>
        </w:rPr>
      </w:pPr>
      <w:r>
        <w:rPr>
          <w:rFonts w:hint="eastAsia" w:ascii="宋体" w:hAnsi="宋体"/>
        </w:rPr>
        <w:t>一级保护区</w:t>
      </w:r>
      <w:r>
        <w:rPr>
          <w:rFonts w:hint="eastAsia" w:ascii="宋体" w:hAnsi="宋体" w:cs="宋体"/>
        </w:rPr>
        <w:t>是风景区内资源价值最高的区域，</w:t>
      </w:r>
      <w:r>
        <w:rPr>
          <w:rFonts w:hint="eastAsia" w:ascii="宋体" w:hAnsi="宋体"/>
        </w:rPr>
        <w:t>包括重要景源周围及对人类活动敏感的区域或对保护生物多样性及生态环境作用十分重要的区域。具体包括：朱阳九峰景源集中区2.8平方公里，百丈漈景源集中区及第一照面山范围2.6平方公里，龙麒源景源集中区3.</w:t>
      </w:r>
      <w:r>
        <w:rPr>
          <w:rFonts w:ascii="宋体" w:hAnsi="宋体"/>
        </w:rPr>
        <w:t>1</w:t>
      </w:r>
      <w:r>
        <w:rPr>
          <w:rFonts w:hint="eastAsia" w:ascii="宋体" w:hAnsi="宋体"/>
        </w:rPr>
        <w:t>平方公里，石垟景区景源集中区</w:t>
      </w:r>
      <w:r>
        <w:rPr>
          <w:rFonts w:ascii="宋体" w:hAnsi="宋体"/>
        </w:rPr>
        <w:t>27.5</w:t>
      </w:r>
      <w:r>
        <w:rPr>
          <w:rFonts w:hint="eastAsia" w:ascii="宋体" w:hAnsi="宋体"/>
        </w:rPr>
        <w:t>平方公里，飞云湖水面及沿水岸线约</w:t>
      </w:r>
      <w:r>
        <w:rPr>
          <w:rFonts w:ascii="宋体" w:hAnsi="宋体"/>
        </w:rPr>
        <w:t>50米</w:t>
      </w:r>
      <w:r>
        <w:rPr>
          <w:rFonts w:hint="eastAsia" w:ascii="宋体" w:hAnsi="宋体"/>
        </w:rPr>
        <w:t>及岩门大峡谷景源集中区及两侧山体约</w:t>
      </w:r>
      <w:r>
        <w:rPr>
          <w:rFonts w:ascii="宋体" w:hAnsi="宋体"/>
        </w:rPr>
        <w:t>55.0</w:t>
      </w:r>
      <w:r>
        <w:rPr>
          <w:rFonts w:hint="eastAsia" w:ascii="宋体" w:hAnsi="宋体"/>
        </w:rPr>
        <w:t>平方公里；总计核心景区面积</w:t>
      </w:r>
      <w:r>
        <w:rPr>
          <w:rFonts w:ascii="宋体" w:hAnsi="宋体"/>
        </w:rPr>
        <w:t>91.0</w:t>
      </w:r>
      <w:r>
        <w:rPr>
          <w:rFonts w:hint="eastAsia" w:ascii="宋体" w:hAnsi="宋体"/>
        </w:rPr>
        <w:t>平方公里。</w:t>
      </w:r>
    </w:p>
    <w:p>
      <w:pPr>
        <w:spacing w:before="93"/>
        <w:ind w:firstLine="480"/>
        <w:rPr>
          <w:rFonts w:ascii="宋体" w:hAnsi="宋体"/>
        </w:rPr>
      </w:pPr>
      <w:r>
        <w:rPr>
          <w:rFonts w:hint="eastAsia" w:ascii="宋体" w:hAnsi="宋体"/>
        </w:rPr>
        <w:t>严格控制游客容量；严格保护区内地质地貌典型自然景观，加强区内植被抚育和水源涵养；区内严禁新建与风景游赏和保护无关的设施，不得安排旅宿床位，可适当设置资源保护、景观休憩、游览步道、生态厕所、应急救灾等景区必备的基础设施及游览设施，严重影响景观环境的现状建筑物应进行拆除；核心景区内常住居民鼓励外迁至风景区外城镇；飞云湖核心景区内现状建筑、设施及水上活动项目严格按照《浙江省饮用水水源保护条例》要求进行管控；加强道路交通管理，控制机动车辆对本区的影响。</w:t>
      </w:r>
    </w:p>
    <w:p>
      <w:pPr>
        <w:pStyle w:val="4"/>
        <w:spacing w:before="163"/>
        <w:ind w:firstLine="360"/>
      </w:pPr>
      <w:r>
        <w:rPr>
          <w:rFonts w:hint="eastAsia"/>
        </w:rPr>
        <w:t>（二）二级保护区（严格限制建设范围）</w:t>
      </w:r>
    </w:p>
    <w:p>
      <w:pPr>
        <w:spacing w:before="97" w:beforeLines="30"/>
        <w:ind w:firstLine="480"/>
        <w:rPr>
          <w:rFonts w:ascii="宋体" w:hAnsi="宋体"/>
        </w:rPr>
      </w:pPr>
      <w:r>
        <w:rPr>
          <w:rFonts w:hint="eastAsia" w:ascii="宋体" w:hAnsi="宋体"/>
        </w:rPr>
        <w:t>二级保护区包括景观资源价值不及一级保护区但也具有典型性景观或自然生态价值较高的区域，是核心景区的缓冲地带。规划面积约14</w:t>
      </w:r>
      <w:r>
        <w:rPr>
          <w:rFonts w:ascii="宋体" w:hAnsi="宋体"/>
        </w:rPr>
        <w:t>9.7</w:t>
      </w:r>
      <w:r>
        <w:rPr>
          <w:rFonts w:hint="eastAsia" w:ascii="宋体" w:hAnsi="宋体"/>
        </w:rPr>
        <w:t xml:space="preserve">平方公里。 </w:t>
      </w:r>
    </w:p>
    <w:p>
      <w:pPr>
        <w:spacing w:before="93"/>
        <w:ind w:firstLine="480"/>
        <w:rPr>
          <w:rFonts w:cs="宋体"/>
        </w:rPr>
      </w:pPr>
      <w:r>
        <w:rPr>
          <w:rFonts w:hint="eastAsia" w:cs="宋体"/>
        </w:rPr>
        <w:t>限制与风景资源保护和游览无关的建设，重点保护山林、水景等自然景观类的资源，确保森林防火、病虫害预报与防治等各项工作的扎实开展。合理处理风景名胜区与农、林、水的关系，严禁毁林、垦荒造田及违法占用水域。区内应以游赏项目为主，规划配置的服务设施应控制其规模和形态，防止对风景资源造成破坏。区内的建筑以与风景游赏相关的风景建筑和服务设施为主，如亭、廊、公厕及小型售票亭等，建筑体量不宜过大，应与风景名胜区整体环境相协调。</w:t>
      </w:r>
    </w:p>
    <w:p>
      <w:pPr>
        <w:pStyle w:val="4"/>
        <w:spacing w:before="163"/>
        <w:ind w:firstLine="360"/>
      </w:pPr>
      <w:r>
        <w:rPr>
          <w:rFonts w:hint="eastAsia"/>
        </w:rPr>
        <w:t>（三）三级保护区（控制建设范围）</w:t>
      </w:r>
    </w:p>
    <w:p>
      <w:pPr>
        <w:spacing w:before="163" w:beforeLines="50"/>
        <w:ind w:firstLine="480"/>
        <w:rPr>
          <w:rFonts w:cs="宋体"/>
        </w:rPr>
      </w:pPr>
      <w:r>
        <w:rPr>
          <w:rFonts w:hint="eastAsia" w:cs="宋体"/>
        </w:rPr>
        <w:t>对一、二</w:t>
      </w:r>
      <w:r>
        <w:rPr>
          <w:rFonts w:cs="宋体"/>
        </w:rPr>
        <w:t>级保护区以外的地区划为三级保护区，</w:t>
      </w:r>
      <w:r>
        <w:rPr>
          <w:rFonts w:hint="eastAsia" w:cs="宋体"/>
        </w:rPr>
        <w:t>三级保护区</w:t>
      </w:r>
      <w:r>
        <w:rPr>
          <w:rFonts w:hint="eastAsia" w:cs="宋体" w:asciiTheme="minorEastAsia" w:hAnsiTheme="minorEastAsia" w:eastAsiaTheme="minorEastAsia"/>
        </w:rPr>
        <w:t>是景观资源少、景观与生态价值一般的区域</w:t>
      </w:r>
      <w:r>
        <w:rPr>
          <w:rFonts w:cs="宋体" w:asciiTheme="minorEastAsia" w:hAnsiTheme="minorEastAsia" w:eastAsiaTheme="minorEastAsia"/>
        </w:rPr>
        <w:t>，</w:t>
      </w:r>
      <w:r>
        <w:rPr>
          <w:rFonts w:hint="eastAsia" w:cs="宋体" w:asciiTheme="minorEastAsia" w:hAnsiTheme="minorEastAsia" w:eastAsiaTheme="minorEastAsia"/>
        </w:rPr>
        <w:t>也是居民社会问题最复杂的区域，该区</w:t>
      </w:r>
      <w:r>
        <w:rPr>
          <w:rFonts w:hint="eastAsia" w:cs="宋体"/>
        </w:rPr>
        <w:t>是风景名胜区重要的设施建设区或环境背景区，</w:t>
      </w:r>
      <w:r>
        <w:rPr>
          <w:rFonts w:cs="宋体"/>
        </w:rPr>
        <w:t>面积</w:t>
      </w:r>
      <w:r>
        <w:rPr>
          <w:rFonts w:hint="eastAsia" w:cs="宋体" w:asciiTheme="minorEastAsia" w:hAnsiTheme="minorEastAsia" w:eastAsiaTheme="minorEastAsia"/>
        </w:rPr>
        <w:t>约</w:t>
      </w:r>
      <w:r>
        <w:rPr>
          <w:rFonts w:cs="宋体" w:asciiTheme="minorEastAsia" w:hAnsiTheme="minorEastAsia" w:eastAsiaTheme="minorEastAsia"/>
        </w:rPr>
        <w:t>291.1</w:t>
      </w:r>
      <w:r>
        <w:rPr>
          <w:rFonts w:cs="宋体"/>
        </w:rPr>
        <w:t>平方公里</w:t>
      </w:r>
      <w:r>
        <w:rPr>
          <w:rFonts w:hint="eastAsia" w:cs="宋体"/>
        </w:rPr>
        <w:t>。</w:t>
      </w:r>
    </w:p>
    <w:p>
      <w:pPr>
        <w:spacing w:before="163" w:beforeLines="50"/>
        <w:ind w:firstLine="480"/>
        <w:rPr>
          <w:rFonts w:cs="宋体" w:asciiTheme="minorEastAsia" w:hAnsiTheme="minorEastAsia" w:eastAsiaTheme="minorEastAsia"/>
        </w:rPr>
      </w:pPr>
      <w:r>
        <w:rPr>
          <w:rFonts w:hint="eastAsia" w:cs="宋体" w:asciiTheme="minorEastAsia" w:hAnsiTheme="minorEastAsia" w:eastAsiaTheme="minorEastAsia"/>
        </w:rPr>
        <w:t>该区不要求编制风景名胜区详细规划，除了特定重大建设项目（如交通、电力、水利、通讯等国家或省重大建设项目）外，一般建设项目可以由管理机构根据国土空间详细规划审批。但不得审批建设列入</w:t>
      </w:r>
      <w:r>
        <w:rPr>
          <w:rFonts w:hint="eastAsia" w:cs="宋体"/>
        </w:rPr>
        <w:t>《浙江省自然保护地建设项目准入负面清单（试行）》中的禁止类建设项目，限制类建设项目应当充分论证，不得破坏、影响自然保护地生态环境。</w:t>
      </w:r>
    </w:p>
    <w:p>
      <w:pPr>
        <w:spacing w:before="163" w:beforeLines="50"/>
        <w:ind w:firstLine="480"/>
        <w:rPr>
          <w:rFonts w:cs="宋体"/>
        </w:rPr>
      </w:pPr>
      <w:r>
        <w:rPr>
          <w:rFonts w:hint="eastAsia" w:cs="宋体"/>
        </w:rPr>
        <w:t>可对村庄进行合理调整置换建设用地，安排游览设施。</w:t>
      </w:r>
      <w:r>
        <w:rPr>
          <w:rFonts w:cs="宋体"/>
        </w:rPr>
        <w:t>游览设施和居民点建设必须严格履行风景名胜区和</w:t>
      </w:r>
      <w:r>
        <w:rPr>
          <w:rFonts w:hint="eastAsia" w:cs="宋体"/>
        </w:rPr>
        <w:t>国土空间规划</w:t>
      </w:r>
      <w:r>
        <w:rPr>
          <w:rFonts w:cs="宋体"/>
        </w:rPr>
        <w:t>建设等法定的审批程序，</w:t>
      </w:r>
      <w:r>
        <w:rPr>
          <w:rFonts w:hint="eastAsia" w:cs="宋体"/>
        </w:rPr>
        <w:t>严格控制建设范围、规模和建筑风貌，</w:t>
      </w:r>
      <w:r>
        <w:rPr>
          <w:rFonts w:cs="宋体"/>
        </w:rPr>
        <w:t>并</w:t>
      </w:r>
      <w:r>
        <w:rPr>
          <w:rFonts w:hint="eastAsia" w:cs="宋体"/>
        </w:rPr>
        <w:t>与</w:t>
      </w:r>
      <w:r>
        <w:rPr>
          <w:rFonts w:cs="宋体"/>
        </w:rPr>
        <w:t>周边</w:t>
      </w:r>
      <w:r>
        <w:rPr>
          <w:rFonts w:hint="eastAsia" w:cs="宋体"/>
        </w:rPr>
        <w:t>自然和文化</w:t>
      </w:r>
      <w:r>
        <w:rPr>
          <w:rFonts w:cs="宋体"/>
        </w:rPr>
        <w:t>景观风貌相协调。</w:t>
      </w:r>
    </w:p>
    <w:p>
      <w:pPr>
        <w:keepNext/>
        <w:spacing w:before="163" w:beforeLines="50"/>
        <w:ind w:firstLine="422"/>
        <w:jc w:val="center"/>
        <w:rPr>
          <w:rFonts w:ascii="宋体" w:hAnsi="宋体" w:cstheme="majorBidi"/>
          <w:b/>
          <w:kern w:val="0"/>
          <w:sz w:val="21"/>
          <w:szCs w:val="21"/>
        </w:rPr>
      </w:pPr>
      <w:r>
        <w:rPr>
          <w:rFonts w:hint="eastAsia" w:ascii="宋体" w:hAnsi="宋体" w:cstheme="majorBidi"/>
          <w:b/>
          <w:kern w:val="0"/>
          <w:sz w:val="21"/>
          <w:szCs w:val="21"/>
        </w:rPr>
        <w:t>表</w:t>
      </w:r>
      <w:r>
        <w:rPr>
          <w:rFonts w:ascii="宋体" w:hAnsi="宋体"/>
          <w:b/>
          <w:kern w:val="0"/>
          <w:sz w:val="21"/>
          <w:szCs w:val="21"/>
        </w:rPr>
        <w:t>2-2</w:t>
      </w:r>
      <w:r>
        <w:rPr>
          <w:rFonts w:ascii="宋体" w:hAnsi="宋体" w:cstheme="majorBidi"/>
          <w:b/>
          <w:kern w:val="0"/>
          <w:sz w:val="21"/>
          <w:szCs w:val="21"/>
        </w:rPr>
        <w:t xml:space="preserve"> </w:t>
      </w:r>
      <w:r>
        <w:rPr>
          <w:rFonts w:hint="eastAsia" w:ascii="宋体" w:hAnsi="宋体" w:cstheme="majorBidi"/>
          <w:b/>
          <w:kern w:val="0"/>
          <w:sz w:val="21"/>
          <w:szCs w:val="21"/>
        </w:rPr>
        <w:t>三级保护区内项目正面清单</w:t>
      </w:r>
    </w:p>
    <w:tbl>
      <w:tblPr>
        <w:tblStyle w:val="4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213"/>
        <w:gridCol w:w="6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 w:hRule="atLeast"/>
          <w:tblHeader/>
        </w:trPr>
        <w:tc>
          <w:tcPr>
            <w:tcW w:w="655" w:type="dxa"/>
            <w:shd w:val="clear" w:color="auto" w:fill="E2E2E2"/>
            <w:vAlign w:val="center"/>
          </w:tcPr>
          <w:p>
            <w:pPr>
              <w:spacing w:line="240" w:lineRule="auto"/>
              <w:ind w:firstLine="0" w:firstLineChars="0"/>
              <w:jc w:val="center"/>
              <w:rPr>
                <w:rFonts w:cs="宋体" w:asciiTheme="minorEastAsia" w:hAnsiTheme="minorEastAsia" w:eastAsiaTheme="minorEastAsia"/>
                <w:b/>
                <w:sz w:val="18"/>
                <w:szCs w:val="18"/>
              </w:rPr>
            </w:pPr>
            <w:r>
              <w:rPr>
                <w:rFonts w:hint="eastAsia" w:cs="宋体" w:asciiTheme="minorEastAsia" w:hAnsiTheme="minorEastAsia" w:eastAsiaTheme="minorEastAsia"/>
                <w:b/>
                <w:sz w:val="18"/>
                <w:szCs w:val="18"/>
              </w:rPr>
              <w:t>序号</w:t>
            </w:r>
          </w:p>
        </w:tc>
        <w:tc>
          <w:tcPr>
            <w:tcW w:w="1213" w:type="dxa"/>
            <w:shd w:val="clear" w:color="auto" w:fill="E2E2E2"/>
            <w:vAlign w:val="center"/>
          </w:tcPr>
          <w:p>
            <w:pPr>
              <w:spacing w:line="240" w:lineRule="auto"/>
              <w:ind w:firstLine="0" w:firstLineChars="0"/>
              <w:jc w:val="center"/>
              <w:rPr>
                <w:rFonts w:cs="宋体" w:asciiTheme="minorEastAsia" w:hAnsiTheme="minorEastAsia" w:eastAsiaTheme="minorEastAsia"/>
                <w:b/>
                <w:sz w:val="18"/>
                <w:szCs w:val="18"/>
              </w:rPr>
            </w:pPr>
            <w:r>
              <w:rPr>
                <w:rFonts w:hint="eastAsia" w:cs="宋体" w:asciiTheme="minorEastAsia" w:hAnsiTheme="minorEastAsia" w:eastAsiaTheme="minorEastAsia"/>
                <w:b/>
                <w:sz w:val="18"/>
                <w:szCs w:val="18"/>
              </w:rPr>
              <w:t>项目类型</w:t>
            </w:r>
          </w:p>
        </w:tc>
        <w:tc>
          <w:tcPr>
            <w:tcW w:w="6428" w:type="dxa"/>
            <w:shd w:val="clear" w:color="auto" w:fill="E2E2E2"/>
            <w:vAlign w:val="center"/>
          </w:tcPr>
          <w:p>
            <w:pPr>
              <w:spacing w:line="240" w:lineRule="auto"/>
              <w:ind w:firstLine="0" w:firstLineChars="0"/>
              <w:jc w:val="center"/>
              <w:rPr>
                <w:rFonts w:cs="宋体" w:asciiTheme="minorEastAsia" w:hAnsiTheme="minorEastAsia" w:eastAsiaTheme="minorEastAsia"/>
                <w:b/>
                <w:sz w:val="18"/>
                <w:szCs w:val="18"/>
              </w:rPr>
            </w:pPr>
            <w:r>
              <w:rPr>
                <w:rFonts w:hint="eastAsia" w:cs="宋体" w:asciiTheme="minorEastAsia" w:hAnsiTheme="minorEastAsia" w:eastAsiaTheme="minorEastAsia"/>
                <w:b/>
                <w:sz w:val="18"/>
                <w:szCs w:val="18"/>
              </w:rPr>
              <w:t>项目内容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655" w:type="dxa"/>
            <w:vAlign w:val="center"/>
          </w:tcPr>
          <w:p>
            <w:pPr>
              <w:spacing w:line="240" w:lineRule="auto"/>
              <w:ind w:firstLine="0" w:firstLineChars="0"/>
              <w:jc w:val="center"/>
              <w:rPr>
                <w:rFonts w:cs="宋体" w:asciiTheme="minorEastAsia" w:hAnsiTheme="minorEastAsia" w:eastAsiaTheme="minorEastAsia"/>
                <w:sz w:val="18"/>
                <w:szCs w:val="18"/>
              </w:rPr>
            </w:pPr>
            <w:r>
              <w:rPr>
                <w:rFonts w:cs="宋体" w:asciiTheme="minorEastAsia" w:hAnsiTheme="minorEastAsia" w:eastAsiaTheme="minorEastAsia"/>
                <w:sz w:val="18"/>
                <w:szCs w:val="18"/>
              </w:rPr>
              <w:t>1</w:t>
            </w:r>
          </w:p>
        </w:tc>
        <w:tc>
          <w:tcPr>
            <w:tcW w:w="1213" w:type="dxa"/>
            <w:vAlign w:val="center"/>
          </w:tcPr>
          <w:p>
            <w:pPr>
              <w:spacing w:line="240" w:lineRule="auto"/>
              <w:ind w:firstLine="0" w:firstLineChars="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资源保护类</w:t>
            </w:r>
          </w:p>
        </w:tc>
        <w:tc>
          <w:tcPr>
            <w:tcW w:w="6428" w:type="dxa"/>
            <w:vAlign w:val="center"/>
          </w:tcPr>
          <w:p>
            <w:pPr>
              <w:spacing w:line="240" w:lineRule="auto"/>
              <w:ind w:firstLine="0" w:firstLineChars="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自然生态系统修复、林相改造、森林病虫害防治、河道综合整治提升等；野外保护站点、巡护路网、监测监控等保护管理设施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7" w:hRule="atLeast"/>
        </w:trPr>
        <w:tc>
          <w:tcPr>
            <w:tcW w:w="655" w:type="dxa"/>
            <w:vAlign w:val="center"/>
          </w:tcPr>
          <w:p>
            <w:pPr>
              <w:spacing w:line="240" w:lineRule="auto"/>
              <w:ind w:firstLine="0" w:firstLineChars="0"/>
              <w:jc w:val="center"/>
              <w:rPr>
                <w:rFonts w:cs="宋体" w:asciiTheme="minorEastAsia" w:hAnsiTheme="minorEastAsia" w:eastAsiaTheme="minorEastAsia"/>
                <w:sz w:val="18"/>
                <w:szCs w:val="18"/>
              </w:rPr>
            </w:pPr>
            <w:r>
              <w:rPr>
                <w:rFonts w:cs="宋体" w:asciiTheme="minorEastAsia" w:hAnsiTheme="minorEastAsia" w:eastAsiaTheme="minorEastAsia"/>
                <w:sz w:val="18"/>
                <w:szCs w:val="18"/>
              </w:rPr>
              <w:t>2</w:t>
            </w:r>
          </w:p>
        </w:tc>
        <w:tc>
          <w:tcPr>
            <w:tcW w:w="1213" w:type="dxa"/>
            <w:vAlign w:val="center"/>
          </w:tcPr>
          <w:p>
            <w:pPr>
              <w:spacing w:line="240" w:lineRule="auto"/>
              <w:ind w:firstLine="0" w:firstLineChars="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游赏规划类</w:t>
            </w:r>
          </w:p>
        </w:tc>
        <w:tc>
          <w:tcPr>
            <w:tcW w:w="6428" w:type="dxa"/>
            <w:vAlign w:val="center"/>
          </w:tcPr>
          <w:p>
            <w:pPr>
              <w:spacing w:line="240" w:lineRule="auto"/>
              <w:ind w:firstLine="0" w:firstLineChars="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康养度假、运动休闲、水上游乐、艺术展览、影视拍摄、农旅融合、丛林探险、自然美育、森林婚礼、研学等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5" w:type="dxa"/>
            <w:vAlign w:val="center"/>
          </w:tcPr>
          <w:p>
            <w:pPr>
              <w:spacing w:line="240" w:lineRule="auto"/>
              <w:ind w:firstLine="0" w:firstLineChars="0"/>
              <w:jc w:val="center"/>
              <w:rPr>
                <w:rFonts w:cs="宋体" w:asciiTheme="minorEastAsia" w:hAnsiTheme="minorEastAsia" w:eastAsiaTheme="minorEastAsia"/>
                <w:sz w:val="18"/>
                <w:szCs w:val="18"/>
              </w:rPr>
            </w:pPr>
            <w:r>
              <w:rPr>
                <w:rFonts w:cs="宋体" w:asciiTheme="minorEastAsia" w:hAnsiTheme="minorEastAsia" w:eastAsiaTheme="minorEastAsia"/>
                <w:sz w:val="18"/>
                <w:szCs w:val="18"/>
              </w:rPr>
              <w:t>3</w:t>
            </w:r>
          </w:p>
        </w:tc>
        <w:tc>
          <w:tcPr>
            <w:tcW w:w="1213" w:type="dxa"/>
            <w:vAlign w:val="center"/>
          </w:tcPr>
          <w:p>
            <w:pPr>
              <w:spacing w:line="240" w:lineRule="auto"/>
              <w:ind w:firstLine="0" w:firstLineChars="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旅游服务类</w:t>
            </w:r>
          </w:p>
        </w:tc>
        <w:tc>
          <w:tcPr>
            <w:tcW w:w="6428" w:type="dxa"/>
            <w:vAlign w:val="center"/>
          </w:tcPr>
          <w:p>
            <w:pPr>
              <w:spacing w:line="240" w:lineRule="auto"/>
              <w:ind w:firstLine="0" w:firstLineChars="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旅游集散中心、旅游村、康养度假中心、田园风光旅游基地、田园综合体、精品民宿带、研学基地等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5" w:type="dxa"/>
            <w:vAlign w:val="center"/>
          </w:tcPr>
          <w:p>
            <w:pPr>
              <w:spacing w:line="240" w:lineRule="auto"/>
              <w:ind w:firstLine="0" w:firstLineChars="0"/>
              <w:jc w:val="center"/>
              <w:rPr>
                <w:rFonts w:cs="宋体" w:asciiTheme="minorEastAsia" w:hAnsiTheme="minorEastAsia" w:eastAsiaTheme="minorEastAsia"/>
                <w:sz w:val="18"/>
                <w:szCs w:val="18"/>
              </w:rPr>
            </w:pPr>
            <w:r>
              <w:rPr>
                <w:rFonts w:cs="宋体" w:asciiTheme="minorEastAsia" w:hAnsiTheme="minorEastAsia" w:eastAsiaTheme="minorEastAsia"/>
                <w:sz w:val="18"/>
                <w:szCs w:val="18"/>
              </w:rPr>
              <w:t>4</w:t>
            </w:r>
          </w:p>
        </w:tc>
        <w:tc>
          <w:tcPr>
            <w:tcW w:w="1213" w:type="dxa"/>
            <w:vAlign w:val="center"/>
          </w:tcPr>
          <w:p>
            <w:pPr>
              <w:spacing w:line="240" w:lineRule="auto"/>
              <w:ind w:firstLine="0" w:firstLineChars="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道路交通类</w:t>
            </w:r>
          </w:p>
        </w:tc>
        <w:tc>
          <w:tcPr>
            <w:tcW w:w="6428" w:type="dxa"/>
            <w:vAlign w:val="center"/>
          </w:tcPr>
          <w:p>
            <w:pPr>
              <w:spacing w:line="240" w:lineRule="auto"/>
              <w:ind w:firstLine="0" w:firstLineChars="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符合交通专项规划的铁路、高速、国道、省道、县道、乡道、农村道路等新建与改建工程；四好农村路新建及改扩建项目、防火巡护道建设等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5" w:type="dxa"/>
            <w:vAlign w:val="center"/>
          </w:tcPr>
          <w:p>
            <w:pPr>
              <w:spacing w:line="240" w:lineRule="auto"/>
              <w:ind w:firstLine="0" w:firstLineChars="0"/>
              <w:jc w:val="center"/>
              <w:rPr>
                <w:rFonts w:cs="宋体" w:asciiTheme="minorEastAsia" w:hAnsiTheme="minorEastAsia" w:eastAsiaTheme="minorEastAsia"/>
                <w:sz w:val="18"/>
                <w:szCs w:val="18"/>
              </w:rPr>
            </w:pPr>
            <w:r>
              <w:rPr>
                <w:rFonts w:cs="宋体" w:asciiTheme="minorEastAsia" w:hAnsiTheme="minorEastAsia" w:eastAsiaTheme="minorEastAsia"/>
                <w:sz w:val="18"/>
                <w:szCs w:val="18"/>
              </w:rPr>
              <w:t>5</w:t>
            </w:r>
          </w:p>
        </w:tc>
        <w:tc>
          <w:tcPr>
            <w:tcW w:w="1213" w:type="dxa"/>
            <w:vAlign w:val="center"/>
          </w:tcPr>
          <w:p>
            <w:pPr>
              <w:spacing w:line="240" w:lineRule="auto"/>
              <w:ind w:firstLine="0" w:firstLineChars="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综合防灾类</w:t>
            </w:r>
          </w:p>
        </w:tc>
        <w:tc>
          <w:tcPr>
            <w:tcW w:w="6428" w:type="dxa"/>
            <w:vAlign w:val="center"/>
          </w:tcPr>
          <w:p>
            <w:pPr>
              <w:spacing w:line="240" w:lineRule="auto"/>
              <w:ind w:firstLine="0" w:firstLineChars="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森林防火、地质灾害防治、防洪、应急避难、应急救援、游览安全保障等防灾减灾类设施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5" w:type="dxa"/>
            <w:vAlign w:val="center"/>
          </w:tcPr>
          <w:p>
            <w:pPr>
              <w:spacing w:line="240" w:lineRule="auto"/>
              <w:ind w:firstLine="0" w:firstLineChars="0"/>
              <w:jc w:val="center"/>
              <w:rPr>
                <w:rFonts w:cs="宋体" w:asciiTheme="minorEastAsia" w:hAnsiTheme="minorEastAsia" w:eastAsiaTheme="minorEastAsia"/>
                <w:sz w:val="18"/>
                <w:szCs w:val="18"/>
              </w:rPr>
            </w:pPr>
            <w:r>
              <w:rPr>
                <w:rFonts w:cs="宋体" w:asciiTheme="minorEastAsia" w:hAnsiTheme="minorEastAsia" w:eastAsiaTheme="minorEastAsia"/>
                <w:sz w:val="18"/>
                <w:szCs w:val="18"/>
              </w:rPr>
              <w:t>6</w:t>
            </w:r>
          </w:p>
        </w:tc>
        <w:tc>
          <w:tcPr>
            <w:tcW w:w="1213" w:type="dxa"/>
            <w:vAlign w:val="center"/>
          </w:tcPr>
          <w:p>
            <w:pPr>
              <w:spacing w:line="240" w:lineRule="auto"/>
              <w:ind w:firstLine="0" w:firstLineChars="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基础设施类</w:t>
            </w:r>
          </w:p>
        </w:tc>
        <w:tc>
          <w:tcPr>
            <w:tcW w:w="6428" w:type="dxa"/>
            <w:vAlign w:val="center"/>
          </w:tcPr>
          <w:p>
            <w:pPr>
              <w:spacing w:line="240" w:lineRule="auto"/>
              <w:ind w:firstLine="0" w:firstLineChars="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符合相关专项规划的给排水、电力、燃气、通信、水利、环卫设施等基础设施</w:t>
            </w:r>
          </w:p>
          <w:p>
            <w:pPr>
              <w:spacing w:line="240" w:lineRule="auto"/>
              <w:ind w:firstLine="0" w:firstLineChars="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新能源充电桩、农污设施改造提升、碳汇经济配套设施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5" w:type="dxa"/>
            <w:vAlign w:val="center"/>
          </w:tcPr>
          <w:p>
            <w:pPr>
              <w:spacing w:line="240" w:lineRule="auto"/>
              <w:ind w:firstLine="0" w:firstLineChars="0"/>
              <w:jc w:val="center"/>
              <w:rPr>
                <w:rFonts w:cs="宋体" w:asciiTheme="minorEastAsia" w:hAnsiTheme="minorEastAsia" w:eastAsiaTheme="minorEastAsia"/>
                <w:sz w:val="18"/>
                <w:szCs w:val="18"/>
              </w:rPr>
            </w:pPr>
            <w:r>
              <w:rPr>
                <w:rFonts w:cs="宋体" w:asciiTheme="minorEastAsia" w:hAnsiTheme="minorEastAsia" w:eastAsiaTheme="minorEastAsia"/>
                <w:sz w:val="18"/>
                <w:szCs w:val="18"/>
              </w:rPr>
              <w:t>7</w:t>
            </w:r>
          </w:p>
        </w:tc>
        <w:tc>
          <w:tcPr>
            <w:tcW w:w="1213" w:type="dxa"/>
            <w:vAlign w:val="center"/>
          </w:tcPr>
          <w:p>
            <w:pPr>
              <w:spacing w:line="240" w:lineRule="auto"/>
              <w:ind w:firstLine="0" w:firstLineChars="0"/>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居民社会类</w:t>
            </w:r>
          </w:p>
        </w:tc>
        <w:tc>
          <w:tcPr>
            <w:tcW w:w="6428" w:type="dxa"/>
            <w:vAlign w:val="center"/>
          </w:tcPr>
          <w:p>
            <w:pPr>
              <w:spacing w:line="240" w:lineRule="auto"/>
              <w:ind w:firstLine="0" w:firstLineChars="0"/>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农村土地综合整治提升、农村饮用水及灌溉用水提升工程；符合饮用水水源保护要求的生态养殖类项目、农业种植、林下经济、共同富裕、乡村振兴类项目</w:t>
            </w:r>
          </w:p>
        </w:tc>
      </w:tr>
    </w:tbl>
    <w:p>
      <w:pPr>
        <w:pStyle w:val="3"/>
        <w:spacing w:before="326"/>
      </w:pPr>
      <w:bookmarkStart w:id="26" w:name="_Toc453777458"/>
      <w:bookmarkStart w:id="27" w:name="_Toc176456002"/>
      <w:r>
        <w:rPr>
          <w:rFonts w:hint="eastAsia"/>
        </w:rPr>
        <w:t>二、</w:t>
      </w:r>
      <w:r>
        <w:t>资源分类保护</w:t>
      </w:r>
      <w:bookmarkEnd w:id="26"/>
      <w:bookmarkEnd w:id="27"/>
    </w:p>
    <w:p>
      <w:pPr>
        <w:pStyle w:val="4"/>
        <w:spacing w:before="163"/>
        <w:ind w:firstLine="360"/>
      </w:pPr>
      <w:r>
        <w:rPr>
          <w:rFonts w:hint="eastAsia"/>
        </w:rPr>
        <w:t>（一）森林植被</w:t>
      </w:r>
      <w:r>
        <w:t>保护</w:t>
      </w:r>
    </w:p>
    <w:p>
      <w:pPr>
        <w:spacing w:before="97" w:beforeLines="30"/>
        <w:ind w:firstLine="480"/>
        <w:rPr>
          <w:rFonts w:cs="宋体"/>
        </w:rPr>
      </w:pPr>
      <w:r>
        <w:rPr>
          <w:rFonts w:hint="eastAsia" w:cs="宋体"/>
        </w:rPr>
        <w:t>风景区内有植物种类繁多，包括原石垟、金珠、黄鹿山、牛栏湾4个省级森林公园的范围，基本覆盖了石垟、金朱、山华等国有林场的大部分区域。风景区内经多年封山育林和人工造林，大部分区域现状植被状况良好。根据相关法规对森林植被保护的要求，在保护工作中应采取以下措施：</w:t>
      </w:r>
    </w:p>
    <w:p>
      <w:pPr>
        <w:spacing w:before="97" w:beforeLines="30"/>
        <w:ind w:firstLine="480"/>
        <w:rPr>
          <w:rFonts w:cs="宋体"/>
        </w:rPr>
      </w:pPr>
      <w:r>
        <w:rPr>
          <w:rFonts w:hint="eastAsia" w:cs="宋体"/>
        </w:rPr>
        <w:t>1、风景区内的山林植被应以保护现状为主，立足维护原生种群和区系，对原生性植物群落进行保护，特别保护核心景区内的植被群落和景区内现有的古树名木。</w:t>
      </w:r>
    </w:p>
    <w:p>
      <w:pPr>
        <w:spacing w:before="97" w:beforeLines="30"/>
        <w:ind w:firstLine="480"/>
        <w:rPr>
          <w:rFonts w:cs="宋体"/>
        </w:rPr>
      </w:pPr>
      <w:r>
        <w:rPr>
          <w:rFonts w:hint="eastAsia" w:cs="宋体"/>
        </w:rPr>
        <w:t>2、禁止违规砍伐树木和违法狩猎行为，加强病虫害防治与森林防火，培育地带性植物群落。</w:t>
      </w:r>
    </w:p>
    <w:p>
      <w:pPr>
        <w:pStyle w:val="4"/>
        <w:spacing w:before="163"/>
        <w:ind w:firstLine="360"/>
      </w:pPr>
      <w:r>
        <w:rPr>
          <w:rFonts w:hint="eastAsia"/>
        </w:rPr>
        <w:t>（二）古树名木</w:t>
      </w:r>
      <w:r>
        <w:t>保护</w:t>
      </w:r>
    </w:p>
    <w:p>
      <w:pPr>
        <w:spacing w:before="97" w:beforeLines="30"/>
        <w:ind w:firstLine="480"/>
        <w:rPr>
          <w:rFonts w:cs="宋体"/>
        </w:rPr>
      </w:pPr>
      <w:r>
        <w:rPr>
          <w:rFonts w:hint="eastAsia" w:cs="宋体"/>
        </w:rPr>
        <w:t>风景区内共有</w:t>
      </w:r>
      <w:r>
        <w:rPr>
          <w:rFonts w:cs="宋体"/>
        </w:rPr>
        <w:t>634</w:t>
      </w:r>
      <w:r>
        <w:rPr>
          <w:rFonts w:hint="eastAsia" w:cs="宋体"/>
        </w:rPr>
        <w:t>株古树名木，其中2</w:t>
      </w:r>
      <w:r>
        <w:rPr>
          <w:rFonts w:cs="宋体"/>
        </w:rPr>
        <w:t>2</w:t>
      </w:r>
      <w:r>
        <w:rPr>
          <w:rFonts w:hint="eastAsia" w:cs="宋体"/>
        </w:rPr>
        <w:t>株实行一级保护，6</w:t>
      </w:r>
      <w:r>
        <w:rPr>
          <w:rFonts w:cs="宋体"/>
        </w:rPr>
        <w:t>9</w:t>
      </w:r>
      <w:r>
        <w:rPr>
          <w:rFonts w:hint="eastAsia" w:cs="宋体"/>
        </w:rPr>
        <w:t>株实行二级保护，其余5</w:t>
      </w:r>
      <w:r>
        <w:rPr>
          <w:rFonts w:cs="宋体"/>
        </w:rPr>
        <w:t>43</w:t>
      </w:r>
      <w:r>
        <w:rPr>
          <w:rFonts w:hint="eastAsia" w:cs="宋体"/>
        </w:rPr>
        <w:t>株实行三级保护。（见表2</w:t>
      </w:r>
      <w:r>
        <w:rPr>
          <w:rFonts w:cs="宋体"/>
        </w:rPr>
        <w:t>-3</w:t>
      </w:r>
      <w:r>
        <w:rPr>
          <w:rFonts w:hint="eastAsia" w:cs="宋体"/>
        </w:rPr>
        <w:t>、附图4）共包括南方红豆杉、苦槠、柳杉、银杏、江南油杉、枫香等3</w:t>
      </w:r>
      <w:r>
        <w:rPr>
          <w:rFonts w:cs="宋体"/>
        </w:rPr>
        <w:t>5</w:t>
      </w:r>
      <w:r>
        <w:rPr>
          <w:rFonts w:hint="eastAsia" w:cs="宋体"/>
        </w:rPr>
        <w:t>种树种。根据《中华人民共和国森林法》《浙江省古树名木保护办法》等相关法律法规及规范性文件对古树名木保护的要求，禁止破坏古树名木和珍贵树木及其生存的自然环境，并采取以下保护措施：</w:t>
      </w:r>
    </w:p>
    <w:p>
      <w:pPr>
        <w:spacing w:before="97" w:beforeLines="30"/>
        <w:ind w:firstLine="480"/>
        <w:rPr>
          <w:rFonts w:cs="宋体"/>
        </w:rPr>
      </w:pPr>
      <w:r>
        <w:rPr>
          <w:rFonts w:cs="宋体"/>
        </w:rPr>
        <w:t>1</w:t>
      </w:r>
      <w:r>
        <w:rPr>
          <w:rFonts w:hint="eastAsia" w:cs="宋体"/>
        </w:rPr>
        <w:t>、文成县人民政府应按照古树名木分级保护要求，划定相应的保护范围，并在其周围设立保护标志，设置必要的保护设施。</w:t>
      </w:r>
    </w:p>
    <w:p>
      <w:pPr>
        <w:spacing w:before="97" w:beforeLines="30"/>
        <w:ind w:firstLine="480"/>
        <w:rPr>
          <w:rFonts w:cs="宋体"/>
        </w:rPr>
      </w:pPr>
      <w:r>
        <w:rPr>
          <w:rFonts w:cs="宋体"/>
        </w:rPr>
        <w:t>2</w:t>
      </w:r>
      <w:r>
        <w:rPr>
          <w:rFonts w:hint="eastAsia" w:cs="宋体"/>
        </w:rPr>
        <w:t>、建立完善的古树名木档案。采用相同的树木分类系统，明确位置、树种、树龄、立地条件、周围环境，并且附有照片、定期检查，更新档案资料，实行动态管理。</w:t>
      </w:r>
    </w:p>
    <w:p>
      <w:pPr>
        <w:spacing w:before="97" w:beforeLines="30"/>
        <w:ind w:firstLine="480"/>
        <w:rPr>
          <w:rFonts w:cs="宋体"/>
        </w:rPr>
      </w:pPr>
      <w:r>
        <w:rPr>
          <w:rFonts w:cs="宋体"/>
        </w:rPr>
        <w:t>3</w:t>
      </w:r>
      <w:r>
        <w:rPr>
          <w:rFonts w:hint="eastAsia" w:cs="宋体"/>
        </w:rPr>
        <w:t>、建立管护责任制，实行专业养护部门保护管理和单位、个人保护管理相结合的原则。</w:t>
      </w:r>
    </w:p>
    <w:p>
      <w:pPr>
        <w:spacing w:before="97" w:beforeLines="30"/>
        <w:ind w:firstLine="480"/>
        <w:rPr>
          <w:rFonts w:cs="宋体"/>
        </w:rPr>
      </w:pPr>
      <w:r>
        <w:rPr>
          <w:rFonts w:cs="宋体"/>
        </w:rPr>
        <w:t>4</w:t>
      </w:r>
      <w:r>
        <w:rPr>
          <w:rFonts w:hint="eastAsia" w:cs="宋体"/>
        </w:rPr>
        <w:t>、加强病虫害防治，定期检查。发现病虫害及时处理，做好预防风雪雷电的保护工作。对处于衰老的古树名木，应在专家指导下进行古树复壮。</w:t>
      </w:r>
    </w:p>
    <w:p>
      <w:pPr>
        <w:spacing w:line="240" w:lineRule="atLeast"/>
        <w:ind w:firstLine="0" w:firstLineChars="0"/>
        <w:jc w:val="center"/>
        <w:rPr>
          <w:rFonts w:ascii="Cambria" w:hAnsi="Cambria"/>
          <w:b/>
          <w:bCs/>
          <w:sz w:val="21"/>
          <w:szCs w:val="21"/>
        </w:rPr>
      </w:pPr>
    </w:p>
    <w:p>
      <w:pPr>
        <w:spacing w:line="240" w:lineRule="atLeast"/>
        <w:ind w:firstLine="0" w:firstLineChars="0"/>
        <w:jc w:val="center"/>
        <w:rPr>
          <w:rFonts w:ascii="Calibri" w:hAnsi="Calibri"/>
          <w:sz w:val="21"/>
          <w:szCs w:val="21"/>
        </w:rPr>
      </w:pPr>
      <w:r>
        <w:rPr>
          <w:rFonts w:hint="eastAsia" w:ascii="Cambria" w:hAnsi="Cambria"/>
          <w:b/>
          <w:bCs/>
          <w:sz w:val="21"/>
          <w:szCs w:val="21"/>
        </w:rPr>
        <w:t>表2-</w:t>
      </w:r>
      <w:r>
        <w:rPr>
          <w:rFonts w:ascii="Cambria" w:hAnsi="Cambria"/>
          <w:b/>
          <w:bCs/>
          <w:sz w:val="21"/>
          <w:szCs w:val="21"/>
        </w:rPr>
        <w:t>3</w:t>
      </w:r>
      <w:r>
        <w:rPr>
          <w:rFonts w:hint="eastAsia" w:ascii="Cambria" w:hAnsi="Cambria"/>
          <w:b/>
          <w:bCs/>
          <w:sz w:val="21"/>
          <w:szCs w:val="21"/>
        </w:rPr>
        <w:t xml:space="preserve"> 一级保护古树名木一览表</w:t>
      </w:r>
    </w:p>
    <w:tbl>
      <w:tblPr>
        <w:tblStyle w:val="42"/>
        <w:tblW w:w="85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45"/>
        <w:gridCol w:w="1130"/>
        <w:gridCol w:w="567"/>
        <w:gridCol w:w="567"/>
        <w:gridCol w:w="850"/>
        <w:gridCol w:w="567"/>
        <w:gridCol w:w="709"/>
        <w:gridCol w:w="992"/>
        <w:gridCol w:w="993"/>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652" w:hRule="atLeast"/>
        </w:trPr>
        <w:tc>
          <w:tcPr>
            <w:tcW w:w="345" w:type="dxa"/>
            <w:shd w:val="clear" w:color="auto" w:fill="E2E2E2"/>
            <w:vAlign w:val="center"/>
          </w:tcPr>
          <w:p>
            <w:pPr>
              <w:spacing w:line="240" w:lineRule="auto"/>
              <w:ind w:firstLine="0" w:firstLineChars="0"/>
              <w:rPr>
                <w:rFonts w:ascii="Calibri" w:hAnsi="Calibri"/>
                <w:b/>
                <w:bCs/>
                <w:sz w:val="18"/>
                <w:szCs w:val="18"/>
              </w:rPr>
            </w:pPr>
            <w:r>
              <w:rPr>
                <w:rFonts w:hint="eastAsia" w:ascii="Calibri" w:hAnsi="Calibri"/>
                <w:b/>
                <w:bCs/>
                <w:sz w:val="18"/>
                <w:szCs w:val="18"/>
              </w:rPr>
              <w:t>序号</w:t>
            </w:r>
          </w:p>
        </w:tc>
        <w:tc>
          <w:tcPr>
            <w:tcW w:w="1130" w:type="dxa"/>
            <w:shd w:val="clear" w:color="auto" w:fill="E2E2E2"/>
            <w:noWrap/>
            <w:vAlign w:val="center"/>
          </w:tcPr>
          <w:p>
            <w:pPr>
              <w:spacing w:line="240" w:lineRule="auto"/>
              <w:ind w:firstLine="0" w:firstLineChars="0"/>
              <w:jc w:val="center"/>
              <w:rPr>
                <w:rFonts w:ascii="Calibri" w:hAnsi="Calibri"/>
                <w:b/>
                <w:bCs/>
                <w:sz w:val="18"/>
                <w:szCs w:val="18"/>
              </w:rPr>
            </w:pPr>
            <w:r>
              <w:rPr>
                <w:rFonts w:hint="eastAsia" w:ascii="Calibri" w:hAnsi="Calibri"/>
                <w:b/>
                <w:bCs/>
                <w:sz w:val="18"/>
                <w:szCs w:val="18"/>
              </w:rPr>
              <w:t>中文名称</w:t>
            </w:r>
          </w:p>
        </w:tc>
        <w:tc>
          <w:tcPr>
            <w:tcW w:w="567" w:type="dxa"/>
            <w:shd w:val="clear" w:color="auto" w:fill="E2E2E2"/>
            <w:noWrap/>
            <w:vAlign w:val="center"/>
          </w:tcPr>
          <w:p>
            <w:pPr>
              <w:spacing w:line="240" w:lineRule="auto"/>
              <w:ind w:firstLine="0" w:firstLineChars="0"/>
              <w:jc w:val="center"/>
              <w:rPr>
                <w:rFonts w:ascii="Calibri" w:hAnsi="Calibri"/>
                <w:b/>
                <w:bCs/>
                <w:sz w:val="18"/>
                <w:szCs w:val="18"/>
              </w:rPr>
            </w:pPr>
            <w:r>
              <w:rPr>
                <w:rFonts w:hint="eastAsia" w:ascii="Calibri" w:hAnsi="Calibri"/>
                <w:b/>
                <w:bCs/>
                <w:sz w:val="18"/>
                <w:szCs w:val="18"/>
              </w:rPr>
              <w:t>树龄</w:t>
            </w:r>
          </w:p>
          <w:p>
            <w:pPr>
              <w:spacing w:line="240" w:lineRule="auto"/>
              <w:ind w:firstLine="0" w:firstLineChars="0"/>
              <w:jc w:val="center"/>
              <w:rPr>
                <w:rFonts w:ascii="Calibri" w:hAnsi="Calibri"/>
                <w:b/>
                <w:bCs/>
                <w:sz w:val="18"/>
                <w:szCs w:val="18"/>
              </w:rPr>
            </w:pPr>
            <w:r>
              <w:rPr>
                <w:rFonts w:hint="eastAsia" w:ascii="Calibri" w:hAnsi="Calibri"/>
                <w:b/>
                <w:bCs/>
                <w:sz w:val="18"/>
                <w:szCs w:val="18"/>
              </w:rPr>
              <w:t>（年）</w:t>
            </w:r>
          </w:p>
        </w:tc>
        <w:tc>
          <w:tcPr>
            <w:tcW w:w="567" w:type="dxa"/>
            <w:shd w:val="clear" w:color="auto" w:fill="E2E2E2"/>
            <w:noWrap/>
            <w:vAlign w:val="center"/>
          </w:tcPr>
          <w:p>
            <w:pPr>
              <w:spacing w:line="240" w:lineRule="auto"/>
              <w:ind w:firstLine="0" w:firstLineChars="0"/>
              <w:jc w:val="center"/>
              <w:rPr>
                <w:rFonts w:ascii="Calibri" w:hAnsi="Calibri"/>
                <w:b/>
                <w:bCs/>
                <w:sz w:val="18"/>
                <w:szCs w:val="18"/>
              </w:rPr>
            </w:pPr>
            <w:r>
              <w:rPr>
                <w:rFonts w:hint="eastAsia" w:ascii="Calibri" w:hAnsi="Calibri"/>
                <w:b/>
                <w:bCs/>
                <w:sz w:val="18"/>
                <w:szCs w:val="18"/>
              </w:rPr>
              <w:t>树高</w:t>
            </w:r>
          </w:p>
          <w:p>
            <w:pPr>
              <w:spacing w:line="240" w:lineRule="auto"/>
              <w:ind w:firstLine="0" w:firstLineChars="0"/>
              <w:jc w:val="center"/>
              <w:rPr>
                <w:rFonts w:ascii="Calibri" w:hAnsi="Calibri"/>
                <w:b/>
                <w:bCs/>
                <w:sz w:val="18"/>
                <w:szCs w:val="18"/>
              </w:rPr>
            </w:pPr>
            <w:r>
              <w:rPr>
                <w:rFonts w:hint="eastAsia" w:ascii="Calibri" w:hAnsi="Calibri"/>
                <w:b/>
                <w:bCs/>
                <w:sz w:val="18"/>
                <w:szCs w:val="18"/>
              </w:rPr>
              <w:t>（米）</w:t>
            </w:r>
          </w:p>
        </w:tc>
        <w:tc>
          <w:tcPr>
            <w:tcW w:w="850" w:type="dxa"/>
            <w:shd w:val="clear" w:color="auto" w:fill="E2E2E2"/>
            <w:noWrap/>
            <w:vAlign w:val="center"/>
          </w:tcPr>
          <w:p>
            <w:pPr>
              <w:spacing w:line="240" w:lineRule="auto"/>
              <w:ind w:firstLine="0" w:firstLineChars="0"/>
              <w:jc w:val="center"/>
              <w:rPr>
                <w:rFonts w:ascii="Calibri" w:hAnsi="Calibri"/>
                <w:b/>
                <w:bCs/>
                <w:sz w:val="18"/>
                <w:szCs w:val="18"/>
              </w:rPr>
            </w:pPr>
            <w:r>
              <w:rPr>
                <w:rFonts w:hint="eastAsia" w:ascii="Calibri" w:hAnsi="Calibri"/>
                <w:b/>
                <w:bCs/>
                <w:sz w:val="18"/>
                <w:szCs w:val="18"/>
              </w:rPr>
              <w:t>胸围</w:t>
            </w:r>
          </w:p>
          <w:p>
            <w:pPr>
              <w:spacing w:line="240" w:lineRule="auto"/>
              <w:ind w:firstLine="0" w:firstLineChars="0"/>
              <w:jc w:val="center"/>
              <w:rPr>
                <w:rFonts w:ascii="Calibri" w:hAnsi="Calibri"/>
                <w:b/>
                <w:bCs/>
                <w:sz w:val="18"/>
                <w:szCs w:val="18"/>
              </w:rPr>
            </w:pPr>
            <w:r>
              <w:rPr>
                <w:rFonts w:hint="eastAsia" w:ascii="Calibri" w:hAnsi="Calibri"/>
                <w:b/>
                <w:bCs/>
                <w:sz w:val="18"/>
                <w:szCs w:val="18"/>
              </w:rPr>
              <w:t>（厘米）</w:t>
            </w:r>
          </w:p>
        </w:tc>
        <w:tc>
          <w:tcPr>
            <w:tcW w:w="567" w:type="dxa"/>
            <w:shd w:val="clear" w:color="auto" w:fill="E2E2E2"/>
            <w:vAlign w:val="center"/>
          </w:tcPr>
          <w:p>
            <w:pPr>
              <w:spacing w:line="240" w:lineRule="auto"/>
              <w:ind w:firstLine="0" w:firstLineChars="0"/>
              <w:jc w:val="center"/>
              <w:rPr>
                <w:rFonts w:ascii="Calibri" w:hAnsi="Calibri"/>
                <w:b/>
                <w:bCs/>
                <w:sz w:val="18"/>
                <w:szCs w:val="18"/>
              </w:rPr>
            </w:pPr>
            <w:r>
              <w:rPr>
                <w:rFonts w:hint="eastAsia" w:ascii="Calibri" w:hAnsi="Calibri"/>
                <w:b/>
                <w:bCs/>
                <w:sz w:val="18"/>
                <w:szCs w:val="18"/>
              </w:rPr>
              <w:t>胸径</w:t>
            </w:r>
          </w:p>
          <w:p>
            <w:pPr>
              <w:spacing w:line="240" w:lineRule="auto"/>
              <w:ind w:firstLine="0" w:firstLineChars="0"/>
              <w:jc w:val="center"/>
              <w:rPr>
                <w:rFonts w:ascii="Calibri" w:hAnsi="Calibri"/>
                <w:b/>
                <w:bCs/>
                <w:sz w:val="18"/>
                <w:szCs w:val="18"/>
              </w:rPr>
            </w:pPr>
            <w:r>
              <w:rPr>
                <w:rFonts w:hint="eastAsia" w:ascii="Calibri" w:hAnsi="Calibri"/>
                <w:b/>
                <w:bCs/>
                <w:sz w:val="18"/>
                <w:szCs w:val="18"/>
              </w:rPr>
              <w:t>（厘米）</w:t>
            </w:r>
          </w:p>
        </w:tc>
        <w:tc>
          <w:tcPr>
            <w:tcW w:w="709" w:type="dxa"/>
            <w:shd w:val="clear" w:color="auto" w:fill="E2E2E2"/>
            <w:noWrap/>
            <w:vAlign w:val="center"/>
          </w:tcPr>
          <w:p>
            <w:pPr>
              <w:spacing w:line="240" w:lineRule="auto"/>
              <w:ind w:firstLine="0" w:firstLineChars="0"/>
              <w:jc w:val="center"/>
              <w:rPr>
                <w:rFonts w:ascii="Calibri" w:hAnsi="Calibri"/>
                <w:b/>
                <w:bCs/>
                <w:sz w:val="18"/>
                <w:szCs w:val="18"/>
              </w:rPr>
            </w:pPr>
            <w:r>
              <w:rPr>
                <w:rFonts w:hint="eastAsia" w:ascii="Calibri" w:hAnsi="Calibri"/>
                <w:b/>
                <w:bCs/>
                <w:sz w:val="18"/>
                <w:szCs w:val="18"/>
              </w:rPr>
              <w:t>平均冠幅</w:t>
            </w:r>
          </w:p>
          <w:p>
            <w:pPr>
              <w:spacing w:line="240" w:lineRule="auto"/>
              <w:ind w:firstLine="0" w:firstLineChars="0"/>
              <w:jc w:val="center"/>
              <w:rPr>
                <w:rFonts w:ascii="Calibri" w:hAnsi="Calibri"/>
                <w:b/>
                <w:bCs/>
                <w:sz w:val="18"/>
                <w:szCs w:val="18"/>
              </w:rPr>
            </w:pPr>
            <w:r>
              <w:rPr>
                <w:rFonts w:hint="eastAsia" w:ascii="Calibri" w:hAnsi="Calibri"/>
                <w:b/>
                <w:bCs/>
                <w:sz w:val="18"/>
                <w:szCs w:val="18"/>
              </w:rPr>
              <w:t>（米）</w:t>
            </w:r>
          </w:p>
        </w:tc>
        <w:tc>
          <w:tcPr>
            <w:tcW w:w="992" w:type="dxa"/>
            <w:shd w:val="clear" w:color="auto" w:fill="E2E2E2"/>
            <w:noWrap/>
            <w:vAlign w:val="center"/>
          </w:tcPr>
          <w:p>
            <w:pPr>
              <w:spacing w:line="240" w:lineRule="auto"/>
              <w:ind w:firstLine="0" w:firstLineChars="0"/>
              <w:jc w:val="center"/>
              <w:rPr>
                <w:rFonts w:ascii="Calibri" w:hAnsi="Calibri"/>
                <w:b/>
                <w:bCs/>
                <w:sz w:val="18"/>
                <w:szCs w:val="18"/>
              </w:rPr>
            </w:pPr>
            <w:r>
              <w:rPr>
                <w:rFonts w:hint="eastAsia" w:ascii="Calibri" w:hAnsi="Calibri"/>
                <w:b/>
                <w:bCs/>
                <w:sz w:val="18"/>
                <w:szCs w:val="18"/>
              </w:rPr>
              <w:t>乡（镇）</w:t>
            </w:r>
          </w:p>
        </w:tc>
        <w:tc>
          <w:tcPr>
            <w:tcW w:w="993" w:type="dxa"/>
            <w:shd w:val="clear" w:color="auto" w:fill="E2E2E2"/>
            <w:noWrap/>
            <w:vAlign w:val="center"/>
          </w:tcPr>
          <w:p>
            <w:pPr>
              <w:spacing w:line="240" w:lineRule="auto"/>
              <w:ind w:firstLine="0" w:firstLineChars="0"/>
              <w:jc w:val="center"/>
              <w:rPr>
                <w:rFonts w:ascii="Calibri" w:hAnsi="Calibri"/>
                <w:b/>
                <w:bCs/>
                <w:sz w:val="18"/>
                <w:szCs w:val="18"/>
              </w:rPr>
            </w:pPr>
            <w:r>
              <w:rPr>
                <w:rFonts w:hint="eastAsia" w:ascii="Calibri" w:hAnsi="Calibri"/>
                <w:b/>
                <w:bCs/>
                <w:sz w:val="18"/>
                <w:szCs w:val="18"/>
              </w:rPr>
              <w:t>村</w:t>
            </w:r>
          </w:p>
        </w:tc>
        <w:tc>
          <w:tcPr>
            <w:tcW w:w="1842" w:type="dxa"/>
            <w:shd w:val="clear" w:color="auto" w:fill="E2E2E2"/>
            <w:noWrap/>
            <w:vAlign w:val="center"/>
          </w:tcPr>
          <w:p>
            <w:pPr>
              <w:spacing w:line="240" w:lineRule="auto"/>
              <w:ind w:firstLine="0" w:firstLineChars="0"/>
              <w:jc w:val="center"/>
              <w:rPr>
                <w:rFonts w:ascii="Calibri" w:hAnsi="Calibri"/>
                <w:b/>
                <w:bCs/>
                <w:sz w:val="18"/>
                <w:szCs w:val="18"/>
              </w:rPr>
            </w:pPr>
            <w:r>
              <w:rPr>
                <w:rFonts w:hint="eastAsia" w:ascii="Calibri" w:hAnsi="Calibri"/>
                <w:b/>
                <w:bCs/>
                <w:sz w:val="18"/>
                <w:szCs w:val="18"/>
              </w:rPr>
              <w:t>小地名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21" w:hRule="atLeast"/>
        </w:trPr>
        <w:tc>
          <w:tcPr>
            <w:tcW w:w="345" w:type="dxa"/>
            <w:vAlign w:val="center"/>
          </w:tcPr>
          <w:p>
            <w:pPr>
              <w:spacing w:line="240" w:lineRule="auto"/>
              <w:ind w:firstLine="0" w:firstLineChars="0"/>
              <w:jc w:val="center"/>
              <w:rPr>
                <w:rFonts w:ascii="Calibri" w:hAnsi="Calibri"/>
                <w:sz w:val="18"/>
                <w:szCs w:val="18"/>
              </w:rPr>
            </w:pPr>
            <w:r>
              <w:rPr>
                <w:rFonts w:hint="eastAsia" w:ascii="Calibri" w:hAnsi="Calibri"/>
                <w:sz w:val="18"/>
                <w:szCs w:val="18"/>
              </w:rPr>
              <w:t>1</w:t>
            </w:r>
          </w:p>
        </w:tc>
        <w:tc>
          <w:tcPr>
            <w:tcW w:w="1130" w:type="dxa"/>
            <w:shd w:val="clear" w:color="auto" w:fill="auto"/>
            <w:noWrap/>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南方红豆杉</w:t>
            </w:r>
          </w:p>
        </w:tc>
        <w:tc>
          <w:tcPr>
            <w:tcW w:w="567" w:type="dxa"/>
            <w:shd w:val="clear" w:color="auto" w:fill="auto"/>
            <w:noWrap/>
            <w:vAlign w:val="center"/>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565</w:t>
            </w:r>
          </w:p>
        </w:tc>
        <w:tc>
          <w:tcPr>
            <w:tcW w:w="567" w:type="dxa"/>
            <w:shd w:val="clear" w:color="auto" w:fill="auto"/>
            <w:noWrap/>
            <w:vAlign w:val="center"/>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21</w:t>
            </w:r>
          </w:p>
        </w:tc>
        <w:tc>
          <w:tcPr>
            <w:tcW w:w="850" w:type="dxa"/>
            <w:shd w:val="clear" w:color="auto" w:fill="auto"/>
            <w:noWrap/>
            <w:vAlign w:val="center"/>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390</w:t>
            </w:r>
          </w:p>
        </w:tc>
        <w:tc>
          <w:tcPr>
            <w:tcW w:w="567" w:type="dxa"/>
            <w:vAlign w:val="center"/>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124</w:t>
            </w:r>
          </w:p>
        </w:tc>
        <w:tc>
          <w:tcPr>
            <w:tcW w:w="709" w:type="dxa"/>
            <w:shd w:val="clear" w:color="auto" w:fill="auto"/>
            <w:noWrap/>
            <w:vAlign w:val="center"/>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14</w:t>
            </w:r>
          </w:p>
        </w:tc>
        <w:tc>
          <w:tcPr>
            <w:tcW w:w="992" w:type="dxa"/>
            <w:shd w:val="clear" w:color="auto" w:fill="auto"/>
            <w:noWrap/>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南田镇</w:t>
            </w:r>
          </w:p>
        </w:tc>
        <w:tc>
          <w:tcPr>
            <w:tcW w:w="993" w:type="dxa"/>
            <w:shd w:val="clear" w:color="auto" w:fill="auto"/>
            <w:noWrap/>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十源村</w:t>
            </w:r>
          </w:p>
        </w:tc>
        <w:tc>
          <w:tcPr>
            <w:tcW w:w="1842" w:type="dxa"/>
            <w:shd w:val="clear" w:color="auto" w:fill="auto"/>
            <w:noWrap/>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底新屋村乡小对面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21" w:hRule="atLeast"/>
        </w:trPr>
        <w:tc>
          <w:tcPr>
            <w:tcW w:w="345" w:type="dxa"/>
            <w:vAlign w:val="center"/>
          </w:tcPr>
          <w:p>
            <w:pPr>
              <w:spacing w:line="240" w:lineRule="auto"/>
              <w:ind w:firstLine="0" w:firstLineChars="0"/>
              <w:jc w:val="center"/>
              <w:rPr>
                <w:rFonts w:ascii="Calibri" w:hAnsi="Calibri"/>
                <w:sz w:val="18"/>
                <w:szCs w:val="18"/>
              </w:rPr>
            </w:pPr>
            <w:r>
              <w:rPr>
                <w:rFonts w:hint="eastAsia" w:ascii="Calibri" w:hAnsi="Calibri"/>
                <w:sz w:val="18"/>
                <w:szCs w:val="18"/>
              </w:rPr>
              <w:t>2</w:t>
            </w:r>
          </w:p>
        </w:tc>
        <w:tc>
          <w:tcPr>
            <w:tcW w:w="1130" w:type="dxa"/>
            <w:shd w:val="clear" w:color="auto" w:fill="auto"/>
            <w:noWrap/>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银杏</w:t>
            </w:r>
          </w:p>
        </w:tc>
        <w:tc>
          <w:tcPr>
            <w:tcW w:w="567" w:type="dxa"/>
            <w:shd w:val="clear" w:color="auto" w:fill="auto"/>
            <w:noWrap/>
            <w:vAlign w:val="center"/>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565</w:t>
            </w:r>
          </w:p>
        </w:tc>
        <w:tc>
          <w:tcPr>
            <w:tcW w:w="567" w:type="dxa"/>
            <w:shd w:val="clear" w:color="auto" w:fill="auto"/>
            <w:noWrap/>
            <w:vAlign w:val="center"/>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28</w:t>
            </w:r>
          </w:p>
        </w:tc>
        <w:tc>
          <w:tcPr>
            <w:tcW w:w="850" w:type="dxa"/>
            <w:shd w:val="clear" w:color="auto" w:fill="auto"/>
            <w:noWrap/>
            <w:vAlign w:val="center"/>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270</w:t>
            </w:r>
          </w:p>
        </w:tc>
        <w:tc>
          <w:tcPr>
            <w:tcW w:w="567" w:type="dxa"/>
            <w:vAlign w:val="center"/>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86</w:t>
            </w:r>
          </w:p>
        </w:tc>
        <w:tc>
          <w:tcPr>
            <w:tcW w:w="709" w:type="dxa"/>
            <w:shd w:val="clear" w:color="auto" w:fill="auto"/>
            <w:noWrap/>
            <w:vAlign w:val="center"/>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11</w:t>
            </w:r>
          </w:p>
        </w:tc>
        <w:tc>
          <w:tcPr>
            <w:tcW w:w="992" w:type="dxa"/>
            <w:shd w:val="clear" w:color="auto" w:fill="auto"/>
            <w:noWrap/>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南田镇</w:t>
            </w:r>
          </w:p>
        </w:tc>
        <w:tc>
          <w:tcPr>
            <w:tcW w:w="993" w:type="dxa"/>
            <w:shd w:val="clear" w:color="auto" w:fill="auto"/>
            <w:noWrap/>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十源村</w:t>
            </w:r>
          </w:p>
        </w:tc>
        <w:tc>
          <w:tcPr>
            <w:tcW w:w="1842" w:type="dxa"/>
            <w:shd w:val="clear" w:color="auto" w:fill="auto"/>
            <w:noWrap/>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底新屋村乡小对面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21" w:hRule="atLeast"/>
        </w:trPr>
        <w:tc>
          <w:tcPr>
            <w:tcW w:w="345" w:type="dxa"/>
          </w:tcPr>
          <w:p>
            <w:pPr>
              <w:spacing w:line="240" w:lineRule="auto"/>
              <w:ind w:firstLine="0" w:firstLineChars="0"/>
              <w:jc w:val="center"/>
              <w:rPr>
                <w:rFonts w:ascii="Calibri" w:hAnsi="Calibri"/>
                <w:sz w:val="18"/>
                <w:szCs w:val="18"/>
              </w:rPr>
            </w:pPr>
            <w:r>
              <w:rPr>
                <w:rFonts w:hint="eastAsia" w:ascii="Calibri" w:hAnsi="Calibri"/>
                <w:sz w:val="18"/>
                <w:szCs w:val="18"/>
              </w:rPr>
              <w:t>3</w:t>
            </w:r>
          </w:p>
        </w:tc>
        <w:tc>
          <w:tcPr>
            <w:tcW w:w="1130"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银杏</w:t>
            </w:r>
          </w:p>
        </w:tc>
        <w:tc>
          <w:tcPr>
            <w:tcW w:w="567"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565</w:t>
            </w:r>
          </w:p>
        </w:tc>
        <w:tc>
          <w:tcPr>
            <w:tcW w:w="567"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29</w:t>
            </w:r>
          </w:p>
        </w:tc>
        <w:tc>
          <w:tcPr>
            <w:tcW w:w="850"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260</w:t>
            </w:r>
          </w:p>
        </w:tc>
        <w:tc>
          <w:tcPr>
            <w:tcW w:w="567" w:type="dxa"/>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83</w:t>
            </w:r>
          </w:p>
        </w:tc>
        <w:tc>
          <w:tcPr>
            <w:tcW w:w="709"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14</w:t>
            </w:r>
          </w:p>
        </w:tc>
        <w:tc>
          <w:tcPr>
            <w:tcW w:w="992"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南田镇</w:t>
            </w:r>
          </w:p>
        </w:tc>
        <w:tc>
          <w:tcPr>
            <w:tcW w:w="993"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十源村</w:t>
            </w:r>
          </w:p>
        </w:tc>
        <w:tc>
          <w:tcPr>
            <w:tcW w:w="1842"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底新屋村乡小对面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21" w:hRule="atLeast"/>
        </w:trPr>
        <w:tc>
          <w:tcPr>
            <w:tcW w:w="345" w:type="dxa"/>
          </w:tcPr>
          <w:p>
            <w:pPr>
              <w:spacing w:line="240" w:lineRule="auto"/>
              <w:ind w:firstLine="0" w:firstLineChars="0"/>
              <w:jc w:val="center"/>
              <w:rPr>
                <w:rFonts w:ascii="Calibri" w:hAnsi="Calibri"/>
                <w:sz w:val="18"/>
                <w:szCs w:val="18"/>
              </w:rPr>
            </w:pPr>
            <w:r>
              <w:rPr>
                <w:rFonts w:hint="eastAsia" w:ascii="Calibri" w:hAnsi="Calibri"/>
                <w:sz w:val="18"/>
                <w:szCs w:val="18"/>
              </w:rPr>
              <w:t>4</w:t>
            </w:r>
          </w:p>
        </w:tc>
        <w:tc>
          <w:tcPr>
            <w:tcW w:w="1130"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南方红豆杉</w:t>
            </w:r>
          </w:p>
        </w:tc>
        <w:tc>
          <w:tcPr>
            <w:tcW w:w="567"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565</w:t>
            </w:r>
          </w:p>
        </w:tc>
        <w:tc>
          <w:tcPr>
            <w:tcW w:w="567"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23</w:t>
            </w:r>
          </w:p>
        </w:tc>
        <w:tc>
          <w:tcPr>
            <w:tcW w:w="850"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420</w:t>
            </w:r>
          </w:p>
        </w:tc>
        <w:tc>
          <w:tcPr>
            <w:tcW w:w="567" w:type="dxa"/>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134</w:t>
            </w:r>
          </w:p>
        </w:tc>
        <w:tc>
          <w:tcPr>
            <w:tcW w:w="709"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15.5</w:t>
            </w:r>
          </w:p>
        </w:tc>
        <w:tc>
          <w:tcPr>
            <w:tcW w:w="992"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南田镇</w:t>
            </w:r>
          </w:p>
        </w:tc>
        <w:tc>
          <w:tcPr>
            <w:tcW w:w="993"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十源村</w:t>
            </w:r>
          </w:p>
        </w:tc>
        <w:tc>
          <w:tcPr>
            <w:tcW w:w="1842"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底新屋村乡小对面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21" w:hRule="atLeast"/>
        </w:trPr>
        <w:tc>
          <w:tcPr>
            <w:tcW w:w="345" w:type="dxa"/>
          </w:tcPr>
          <w:p>
            <w:pPr>
              <w:spacing w:line="240" w:lineRule="auto"/>
              <w:ind w:firstLine="0" w:firstLineChars="0"/>
              <w:jc w:val="center"/>
              <w:rPr>
                <w:rFonts w:ascii="Calibri" w:hAnsi="Calibri"/>
                <w:sz w:val="18"/>
                <w:szCs w:val="18"/>
              </w:rPr>
            </w:pPr>
            <w:r>
              <w:rPr>
                <w:rFonts w:hint="eastAsia" w:ascii="Calibri" w:hAnsi="Calibri"/>
                <w:sz w:val="18"/>
                <w:szCs w:val="18"/>
              </w:rPr>
              <w:t>5</w:t>
            </w:r>
          </w:p>
        </w:tc>
        <w:tc>
          <w:tcPr>
            <w:tcW w:w="1130"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柳杉</w:t>
            </w:r>
          </w:p>
        </w:tc>
        <w:tc>
          <w:tcPr>
            <w:tcW w:w="567"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565</w:t>
            </w:r>
          </w:p>
        </w:tc>
        <w:tc>
          <w:tcPr>
            <w:tcW w:w="567"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27</w:t>
            </w:r>
          </w:p>
        </w:tc>
        <w:tc>
          <w:tcPr>
            <w:tcW w:w="850"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510</w:t>
            </w:r>
          </w:p>
        </w:tc>
        <w:tc>
          <w:tcPr>
            <w:tcW w:w="567" w:type="dxa"/>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162</w:t>
            </w:r>
          </w:p>
        </w:tc>
        <w:tc>
          <w:tcPr>
            <w:tcW w:w="709"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12.5</w:t>
            </w:r>
          </w:p>
        </w:tc>
        <w:tc>
          <w:tcPr>
            <w:tcW w:w="992"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南田镇</w:t>
            </w:r>
          </w:p>
        </w:tc>
        <w:tc>
          <w:tcPr>
            <w:tcW w:w="993"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十源村</w:t>
            </w:r>
          </w:p>
        </w:tc>
        <w:tc>
          <w:tcPr>
            <w:tcW w:w="1842"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底新屋村乡小对面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21" w:hRule="atLeast"/>
        </w:trPr>
        <w:tc>
          <w:tcPr>
            <w:tcW w:w="345" w:type="dxa"/>
          </w:tcPr>
          <w:p>
            <w:pPr>
              <w:spacing w:line="240" w:lineRule="auto"/>
              <w:ind w:firstLine="0" w:firstLineChars="0"/>
              <w:jc w:val="center"/>
              <w:rPr>
                <w:rFonts w:ascii="Calibri" w:hAnsi="Calibri"/>
                <w:sz w:val="18"/>
                <w:szCs w:val="18"/>
              </w:rPr>
            </w:pPr>
            <w:r>
              <w:rPr>
                <w:rFonts w:hint="eastAsia" w:ascii="Calibri" w:hAnsi="Calibri"/>
                <w:sz w:val="18"/>
                <w:szCs w:val="18"/>
              </w:rPr>
              <w:t>6</w:t>
            </w:r>
          </w:p>
        </w:tc>
        <w:tc>
          <w:tcPr>
            <w:tcW w:w="1130"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柳杉</w:t>
            </w:r>
          </w:p>
        </w:tc>
        <w:tc>
          <w:tcPr>
            <w:tcW w:w="567"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565</w:t>
            </w:r>
          </w:p>
        </w:tc>
        <w:tc>
          <w:tcPr>
            <w:tcW w:w="567"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30</w:t>
            </w:r>
          </w:p>
        </w:tc>
        <w:tc>
          <w:tcPr>
            <w:tcW w:w="850"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420</w:t>
            </w:r>
          </w:p>
        </w:tc>
        <w:tc>
          <w:tcPr>
            <w:tcW w:w="567" w:type="dxa"/>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134</w:t>
            </w:r>
          </w:p>
        </w:tc>
        <w:tc>
          <w:tcPr>
            <w:tcW w:w="709"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10.5</w:t>
            </w:r>
          </w:p>
        </w:tc>
        <w:tc>
          <w:tcPr>
            <w:tcW w:w="992"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南田镇</w:t>
            </w:r>
          </w:p>
        </w:tc>
        <w:tc>
          <w:tcPr>
            <w:tcW w:w="993"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十源村</w:t>
            </w:r>
          </w:p>
        </w:tc>
        <w:tc>
          <w:tcPr>
            <w:tcW w:w="1842"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底新屋村乡小对面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21" w:hRule="atLeast"/>
        </w:trPr>
        <w:tc>
          <w:tcPr>
            <w:tcW w:w="345" w:type="dxa"/>
          </w:tcPr>
          <w:p>
            <w:pPr>
              <w:spacing w:line="240" w:lineRule="auto"/>
              <w:ind w:firstLine="0" w:firstLineChars="0"/>
              <w:jc w:val="center"/>
              <w:rPr>
                <w:rFonts w:ascii="Calibri" w:hAnsi="Calibri"/>
                <w:sz w:val="18"/>
                <w:szCs w:val="18"/>
              </w:rPr>
            </w:pPr>
            <w:r>
              <w:rPr>
                <w:rFonts w:hint="eastAsia" w:ascii="Calibri" w:hAnsi="Calibri"/>
                <w:sz w:val="18"/>
                <w:szCs w:val="18"/>
              </w:rPr>
              <w:t>7</w:t>
            </w:r>
          </w:p>
        </w:tc>
        <w:tc>
          <w:tcPr>
            <w:tcW w:w="1130"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柳杉</w:t>
            </w:r>
          </w:p>
        </w:tc>
        <w:tc>
          <w:tcPr>
            <w:tcW w:w="567"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565</w:t>
            </w:r>
          </w:p>
        </w:tc>
        <w:tc>
          <w:tcPr>
            <w:tcW w:w="567"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29</w:t>
            </w:r>
          </w:p>
        </w:tc>
        <w:tc>
          <w:tcPr>
            <w:tcW w:w="850"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500</w:t>
            </w:r>
          </w:p>
        </w:tc>
        <w:tc>
          <w:tcPr>
            <w:tcW w:w="567" w:type="dxa"/>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159</w:t>
            </w:r>
          </w:p>
        </w:tc>
        <w:tc>
          <w:tcPr>
            <w:tcW w:w="709"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12.5</w:t>
            </w:r>
          </w:p>
        </w:tc>
        <w:tc>
          <w:tcPr>
            <w:tcW w:w="992"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南田镇</w:t>
            </w:r>
          </w:p>
        </w:tc>
        <w:tc>
          <w:tcPr>
            <w:tcW w:w="993"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十源村</w:t>
            </w:r>
          </w:p>
        </w:tc>
        <w:tc>
          <w:tcPr>
            <w:tcW w:w="1842"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底新屋村乡小对面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21" w:hRule="atLeast"/>
        </w:trPr>
        <w:tc>
          <w:tcPr>
            <w:tcW w:w="345" w:type="dxa"/>
          </w:tcPr>
          <w:p>
            <w:pPr>
              <w:spacing w:line="240" w:lineRule="auto"/>
              <w:ind w:firstLine="0" w:firstLineChars="0"/>
              <w:jc w:val="center"/>
              <w:rPr>
                <w:rFonts w:ascii="Calibri" w:hAnsi="Calibri"/>
                <w:sz w:val="18"/>
                <w:szCs w:val="18"/>
              </w:rPr>
            </w:pPr>
            <w:r>
              <w:rPr>
                <w:rFonts w:hint="eastAsia" w:ascii="Calibri" w:hAnsi="Calibri"/>
                <w:sz w:val="18"/>
                <w:szCs w:val="18"/>
              </w:rPr>
              <w:t>8</w:t>
            </w:r>
          </w:p>
        </w:tc>
        <w:tc>
          <w:tcPr>
            <w:tcW w:w="1130"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苦槠</w:t>
            </w:r>
          </w:p>
        </w:tc>
        <w:tc>
          <w:tcPr>
            <w:tcW w:w="567"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565</w:t>
            </w:r>
          </w:p>
        </w:tc>
        <w:tc>
          <w:tcPr>
            <w:tcW w:w="567"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17</w:t>
            </w:r>
          </w:p>
        </w:tc>
        <w:tc>
          <w:tcPr>
            <w:tcW w:w="850"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280</w:t>
            </w:r>
          </w:p>
        </w:tc>
        <w:tc>
          <w:tcPr>
            <w:tcW w:w="567" w:type="dxa"/>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89</w:t>
            </w:r>
          </w:p>
        </w:tc>
        <w:tc>
          <w:tcPr>
            <w:tcW w:w="709"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11.5</w:t>
            </w:r>
          </w:p>
        </w:tc>
        <w:tc>
          <w:tcPr>
            <w:tcW w:w="992"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南田镇</w:t>
            </w:r>
          </w:p>
        </w:tc>
        <w:tc>
          <w:tcPr>
            <w:tcW w:w="993"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十源村</w:t>
            </w:r>
          </w:p>
        </w:tc>
        <w:tc>
          <w:tcPr>
            <w:tcW w:w="1842"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底新屋村乡小对面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21" w:hRule="atLeast"/>
        </w:trPr>
        <w:tc>
          <w:tcPr>
            <w:tcW w:w="345" w:type="dxa"/>
          </w:tcPr>
          <w:p>
            <w:pPr>
              <w:spacing w:line="240" w:lineRule="auto"/>
              <w:ind w:firstLine="0" w:firstLineChars="0"/>
              <w:jc w:val="center"/>
              <w:rPr>
                <w:rFonts w:ascii="Calibri" w:hAnsi="Calibri"/>
                <w:sz w:val="18"/>
                <w:szCs w:val="18"/>
              </w:rPr>
            </w:pPr>
            <w:r>
              <w:rPr>
                <w:rFonts w:hint="eastAsia" w:ascii="Calibri" w:hAnsi="Calibri"/>
                <w:sz w:val="18"/>
                <w:szCs w:val="18"/>
              </w:rPr>
              <w:t>9</w:t>
            </w:r>
          </w:p>
        </w:tc>
        <w:tc>
          <w:tcPr>
            <w:tcW w:w="1130"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银杏</w:t>
            </w:r>
          </w:p>
        </w:tc>
        <w:tc>
          <w:tcPr>
            <w:tcW w:w="567"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565</w:t>
            </w:r>
          </w:p>
        </w:tc>
        <w:tc>
          <w:tcPr>
            <w:tcW w:w="567"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24</w:t>
            </w:r>
          </w:p>
        </w:tc>
        <w:tc>
          <w:tcPr>
            <w:tcW w:w="850"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232</w:t>
            </w:r>
          </w:p>
        </w:tc>
        <w:tc>
          <w:tcPr>
            <w:tcW w:w="567" w:type="dxa"/>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74</w:t>
            </w:r>
          </w:p>
        </w:tc>
        <w:tc>
          <w:tcPr>
            <w:tcW w:w="709"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12.5</w:t>
            </w:r>
          </w:p>
        </w:tc>
        <w:tc>
          <w:tcPr>
            <w:tcW w:w="992"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南田镇</w:t>
            </w:r>
          </w:p>
        </w:tc>
        <w:tc>
          <w:tcPr>
            <w:tcW w:w="993"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十源村</w:t>
            </w:r>
          </w:p>
        </w:tc>
        <w:tc>
          <w:tcPr>
            <w:tcW w:w="1842"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底新屋村乡小对面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21" w:hRule="atLeast"/>
        </w:trPr>
        <w:tc>
          <w:tcPr>
            <w:tcW w:w="345" w:type="dxa"/>
          </w:tcPr>
          <w:p>
            <w:pPr>
              <w:spacing w:line="240" w:lineRule="auto"/>
              <w:ind w:firstLine="0" w:firstLineChars="0"/>
              <w:jc w:val="center"/>
              <w:rPr>
                <w:rFonts w:ascii="Calibri" w:hAnsi="Calibri"/>
                <w:sz w:val="18"/>
                <w:szCs w:val="18"/>
              </w:rPr>
            </w:pPr>
            <w:r>
              <w:rPr>
                <w:rFonts w:hint="eastAsia" w:ascii="Calibri" w:hAnsi="Calibri"/>
                <w:sz w:val="18"/>
                <w:szCs w:val="18"/>
              </w:rPr>
              <w:t>1</w:t>
            </w:r>
            <w:r>
              <w:rPr>
                <w:rFonts w:ascii="Calibri" w:hAnsi="Calibri"/>
                <w:sz w:val="18"/>
                <w:szCs w:val="18"/>
              </w:rPr>
              <w:t>0</w:t>
            </w:r>
          </w:p>
        </w:tc>
        <w:tc>
          <w:tcPr>
            <w:tcW w:w="1130"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江南油杉</w:t>
            </w:r>
          </w:p>
        </w:tc>
        <w:tc>
          <w:tcPr>
            <w:tcW w:w="567"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525</w:t>
            </w:r>
          </w:p>
        </w:tc>
        <w:tc>
          <w:tcPr>
            <w:tcW w:w="567"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26</w:t>
            </w:r>
          </w:p>
        </w:tc>
        <w:tc>
          <w:tcPr>
            <w:tcW w:w="850"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325</w:t>
            </w:r>
          </w:p>
        </w:tc>
        <w:tc>
          <w:tcPr>
            <w:tcW w:w="567" w:type="dxa"/>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103</w:t>
            </w:r>
          </w:p>
        </w:tc>
        <w:tc>
          <w:tcPr>
            <w:tcW w:w="709"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16</w:t>
            </w:r>
          </w:p>
        </w:tc>
        <w:tc>
          <w:tcPr>
            <w:tcW w:w="992"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二源镇</w:t>
            </w:r>
          </w:p>
        </w:tc>
        <w:tc>
          <w:tcPr>
            <w:tcW w:w="993"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钟垟村</w:t>
            </w:r>
          </w:p>
        </w:tc>
        <w:tc>
          <w:tcPr>
            <w:tcW w:w="1842"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钟垟村公路边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21" w:hRule="atLeast"/>
        </w:trPr>
        <w:tc>
          <w:tcPr>
            <w:tcW w:w="345" w:type="dxa"/>
          </w:tcPr>
          <w:p>
            <w:pPr>
              <w:spacing w:line="240" w:lineRule="auto"/>
              <w:ind w:firstLine="0" w:firstLineChars="0"/>
              <w:jc w:val="center"/>
              <w:rPr>
                <w:rFonts w:ascii="Calibri" w:hAnsi="Calibri"/>
                <w:sz w:val="18"/>
                <w:szCs w:val="18"/>
              </w:rPr>
            </w:pPr>
            <w:r>
              <w:rPr>
                <w:rFonts w:hint="eastAsia" w:ascii="Calibri" w:hAnsi="Calibri"/>
                <w:sz w:val="18"/>
                <w:szCs w:val="18"/>
              </w:rPr>
              <w:t>1</w:t>
            </w:r>
            <w:r>
              <w:rPr>
                <w:rFonts w:ascii="Calibri" w:hAnsi="Calibri"/>
                <w:sz w:val="18"/>
                <w:szCs w:val="18"/>
              </w:rPr>
              <w:t>1</w:t>
            </w:r>
          </w:p>
        </w:tc>
        <w:tc>
          <w:tcPr>
            <w:tcW w:w="1130"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江南油杉</w:t>
            </w:r>
          </w:p>
        </w:tc>
        <w:tc>
          <w:tcPr>
            <w:tcW w:w="567"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525</w:t>
            </w:r>
          </w:p>
        </w:tc>
        <w:tc>
          <w:tcPr>
            <w:tcW w:w="567"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29</w:t>
            </w:r>
          </w:p>
        </w:tc>
        <w:tc>
          <w:tcPr>
            <w:tcW w:w="850"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302</w:t>
            </w:r>
          </w:p>
        </w:tc>
        <w:tc>
          <w:tcPr>
            <w:tcW w:w="567" w:type="dxa"/>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96</w:t>
            </w:r>
          </w:p>
        </w:tc>
        <w:tc>
          <w:tcPr>
            <w:tcW w:w="709"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14</w:t>
            </w:r>
          </w:p>
        </w:tc>
        <w:tc>
          <w:tcPr>
            <w:tcW w:w="992"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南田镇</w:t>
            </w:r>
          </w:p>
        </w:tc>
        <w:tc>
          <w:tcPr>
            <w:tcW w:w="993"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岳垟村</w:t>
            </w:r>
          </w:p>
        </w:tc>
        <w:tc>
          <w:tcPr>
            <w:tcW w:w="1842"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垟下水口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21" w:hRule="atLeast"/>
        </w:trPr>
        <w:tc>
          <w:tcPr>
            <w:tcW w:w="345" w:type="dxa"/>
          </w:tcPr>
          <w:p>
            <w:pPr>
              <w:spacing w:line="240" w:lineRule="auto"/>
              <w:ind w:firstLine="0" w:firstLineChars="0"/>
              <w:jc w:val="center"/>
              <w:rPr>
                <w:rFonts w:ascii="Calibri" w:hAnsi="Calibri"/>
                <w:sz w:val="18"/>
                <w:szCs w:val="18"/>
              </w:rPr>
            </w:pPr>
            <w:r>
              <w:rPr>
                <w:rFonts w:hint="eastAsia" w:ascii="Calibri" w:hAnsi="Calibri"/>
                <w:sz w:val="18"/>
                <w:szCs w:val="18"/>
              </w:rPr>
              <w:t>1</w:t>
            </w:r>
            <w:r>
              <w:rPr>
                <w:rFonts w:ascii="Calibri" w:hAnsi="Calibri"/>
                <w:sz w:val="18"/>
                <w:szCs w:val="18"/>
              </w:rPr>
              <w:t>2</w:t>
            </w:r>
          </w:p>
        </w:tc>
        <w:tc>
          <w:tcPr>
            <w:tcW w:w="1130"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江南油杉</w:t>
            </w:r>
          </w:p>
        </w:tc>
        <w:tc>
          <w:tcPr>
            <w:tcW w:w="567"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525</w:t>
            </w:r>
          </w:p>
        </w:tc>
        <w:tc>
          <w:tcPr>
            <w:tcW w:w="567"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30</w:t>
            </w:r>
          </w:p>
        </w:tc>
        <w:tc>
          <w:tcPr>
            <w:tcW w:w="850"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325</w:t>
            </w:r>
          </w:p>
        </w:tc>
        <w:tc>
          <w:tcPr>
            <w:tcW w:w="567" w:type="dxa"/>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103</w:t>
            </w:r>
          </w:p>
        </w:tc>
        <w:tc>
          <w:tcPr>
            <w:tcW w:w="709"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14</w:t>
            </w:r>
          </w:p>
        </w:tc>
        <w:tc>
          <w:tcPr>
            <w:tcW w:w="992"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南田镇</w:t>
            </w:r>
          </w:p>
        </w:tc>
        <w:tc>
          <w:tcPr>
            <w:tcW w:w="993"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岳垟村</w:t>
            </w:r>
          </w:p>
        </w:tc>
        <w:tc>
          <w:tcPr>
            <w:tcW w:w="1842"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垟下水口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21" w:hRule="atLeast"/>
        </w:trPr>
        <w:tc>
          <w:tcPr>
            <w:tcW w:w="345" w:type="dxa"/>
          </w:tcPr>
          <w:p>
            <w:pPr>
              <w:spacing w:line="240" w:lineRule="auto"/>
              <w:ind w:firstLine="0" w:firstLineChars="0"/>
              <w:jc w:val="center"/>
              <w:rPr>
                <w:rFonts w:ascii="Calibri" w:hAnsi="Calibri"/>
                <w:sz w:val="18"/>
                <w:szCs w:val="18"/>
              </w:rPr>
            </w:pPr>
            <w:r>
              <w:rPr>
                <w:rFonts w:hint="eastAsia" w:ascii="Calibri" w:hAnsi="Calibri"/>
                <w:sz w:val="18"/>
                <w:szCs w:val="18"/>
              </w:rPr>
              <w:t>1</w:t>
            </w:r>
            <w:r>
              <w:rPr>
                <w:rFonts w:ascii="Calibri" w:hAnsi="Calibri"/>
                <w:sz w:val="18"/>
                <w:szCs w:val="18"/>
              </w:rPr>
              <w:t>3</w:t>
            </w:r>
          </w:p>
        </w:tc>
        <w:tc>
          <w:tcPr>
            <w:tcW w:w="1130"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江南油杉</w:t>
            </w:r>
          </w:p>
        </w:tc>
        <w:tc>
          <w:tcPr>
            <w:tcW w:w="567"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525</w:t>
            </w:r>
          </w:p>
        </w:tc>
        <w:tc>
          <w:tcPr>
            <w:tcW w:w="567"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31</w:t>
            </w:r>
          </w:p>
        </w:tc>
        <w:tc>
          <w:tcPr>
            <w:tcW w:w="850"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380</w:t>
            </w:r>
          </w:p>
        </w:tc>
        <w:tc>
          <w:tcPr>
            <w:tcW w:w="567" w:type="dxa"/>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121</w:t>
            </w:r>
          </w:p>
        </w:tc>
        <w:tc>
          <w:tcPr>
            <w:tcW w:w="709"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11</w:t>
            </w:r>
          </w:p>
        </w:tc>
        <w:tc>
          <w:tcPr>
            <w:tcW w:w="992"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南田镇</w:t>
            </w:r>
          </w:p>
        </w:tc>
        <w:tc>
          <w:tcPr>
            <w:tcW w:w="993"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岳垟村</w:t>
            </w:r>
          </w:p>
        </w:tc>
        <w:tc>
          <w:tcPr>
            <w:tcW w:w="1842"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垟下水口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21" w:hRule="atLeast"/>
        </w:trPr>
        <w:tc>
          <w:tcPr>
            <w:tcW w:w="345" w:type="dxa"/>
          </w:tcPr>
          <w:p>
            <w:pPr>
              <w:spacing w:line="240" w:lineRule="auto"/>
              <w:ind w:firstLine="0" w:firstLineChars="0"/>
              <w:jc w:val="center"/>
              <w:rPr>
                <w:rFonts w:ascii="Calibri" w:hAnsi="Calibri"/>
                <w:sz w:val="18"/>
                <w:szCs w:val="18"/>
              </w:rPr>
            </w:pPr>
            <w:r>
              <w:rPr>
                <w:rFonts w:hint="eastAsia" w:ascii="Calibri" w:hAnsi="Calibri"/>
                <w:sz w:val="18"/>
                <w:szCs w:val="18"/>
              </w:rPr>
              <w:t>1</w:t>
            </w:r>
            <w:r>
              <w:rPr>
                <w:rFonts w:ascii="Calibri" w:hAnsi="Calibri"/>
                <w:sz w:val="18"/>
                <w:szCs w:val="18"/>
              </w:rPr>
              <w:t>4</w:t>
            </w:r>
          </w:p>
        </w:tc>
        <w:tc>
          <w:tcPr>
            <w:tcW w:w="1130"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江南油杉</w:t>
            </w:r>
          </w:p>
        </w:tc>
        <w:tc>
          <w:tcPr>
            <w:tcW w:w="567"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525</w:t>
            </w:r>
          </w:p>
        </w:tc>
        <w:tc>
          <w:tcPr>
            <w:tcW w:w="567"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22</w:t>
            </w:r>
          </w:p>
        </w:tc>
        <w:tc>
          <w:tcPr>
            <w:tcW w:w="850"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310</w:t>
            </w:r>
          </w:p>
        </w:tc>
        <w:tc>
          <w:tcPr>
            <w:tcW w:w="567" w:type="dxa"/>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99</w:t>
            </w:r>
          </w:p>
        </w:tc>
        <w:tc>
          <w:tcPr>
            <w:tcW w:w="709"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19.5</w:t>
            </w:r>
          </w:p>
        </w:tc>
        <w:tc>
          <w:tcPr>
            <w:tcW w:w="992"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南田镇</w:t>
            </w:r>
          </w:p>
        </w:tc>
        <w:tc>
          <w:tcPr>
            <w:tcW w:w="993"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岳垟村</w:t>
            </w:r>
          </w:p>
        </w:tc>
        <w:tc>
          <w:tcPr>
            <w:tcW w:w="1842"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垟下水口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21" w:hRule="atLeast"/>
        </w:trPr>
        <w:tc>
          <w:tcPr>
            <w:tcW w:w="345" w:type="dxa"/>
          </w:tcPr>
          <w:p>
            <w:pPr>
              <w:spacing w:line="240" w:lineRule="auto"/>
              <w:ind w:firstLine="0" w:firstLineChars="0"/>
              <w:jc w:val="center"/>
              <w:rPr>
                <w:rFonts w:ascii="Calibri" w:hAnsi="Calibri"/>
                <w:sz w:val="18"/>
                <w:szCs w:val="18"/>
              </w:rPr>
            </w:pPr>
            <w:r>
              <w:rPr>
                <w:rFonts w:hint="eastAsia" w:ascii="Calibri" w:hAnsi="Calibri"/>
                <w:sz w:val="18"/>
                <w:szCs w:val="18"/>
              </w:rPr>
              <w:t>1</w:t>
            </w:r>
            <w:r>
              <w:rPr>
                <w:rFonts w:ascii="Calibri" w:hAnsi="Calibri"/>
                <w:sz w:val="18"/>
                <w:szCs w:val="18"/>
              </w:rPr>
              <w:t>5</w:t>
            </w:r>
          </w:p>
        </w:tc>
        <w:tc>
          <w:tcPr>
            <w:tcW w:w="1130"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苦槠</w:t>
            </w:r>
          </w:p>
        </w:tc>
        <w:tc>
          <w:tcPr>
            <w:tcW w:w="567"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600</w:t>
            </w:r>
          </w:p>
        </w:tc>
        <w:tc>
          <w:tcPr>
            <w:tcW w:w="567"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21</w:t>
            </w:r>
          </w:p>
        </w:tc>
        <w:tc>
          <w:tcPr>
            <w:tcW w:w="850"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478</w:t>
            </w:r>
          </w:p>
        </w:tc>
        <w:tc>
          <w:tcPr>
            <w:tcW w:w="567" w:type="dxa"/>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152</w:t>
            </w:r>
          </w:p>
        </w:tc>
        <w:tc>
          <w:tcPr>
            <w:tcW w:w="709"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20.5</w:t>
            </w:r>
          </w:p>
        </w:tc>
        <w:tc>
          <w:tcPr>
            <w:tcW w:w="992"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玉壶镇</w:t>
            </w:r>
          </w:p>
        </w:tc>
        <w:tc>
          <w:tcPr>
            <w:tcW w:w="993"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桃坑村</w:t>
            </w:r>
          </w:p>
        </w:tc>
        <w:tc>
          <w:tcPr>
            <w:tcW w:w="1842"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桃坑村陈唐垄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21" w:hRule="atLeast"/>
        </w:trPr>
        <w:tc>
          <w:tcPr>
            <w:tcW w:w="345" w:type="dxa"/>
          </w:tcPr>
          <w:p>
            <w:pPr>
              <w:spacing w:line="240" w:lineRule="auto"/>
              <w:ind w:firstLine="0" w:firstLineChars="0"/>
              <w:jc w:val="center"/>
              <w:rPr>
                <w:rFonts w:ascii="Calibri" w:hAnsi="Calibri"/>
                <w:sz w:val="18"/>
                <w:szCs w:val="18"/>
              </w:rPr>
            </w:pPr>
            <w:r>
              <w:rPr>
                <w:rFonts w:hint="eastAsia" w:ascii="Calibri" w:hAnsi="Calibri"/>
                <w:sz w:val="18"/>
                <w:szCs w:val="18"/>
              </w:rPr>
              <w:t>1</w:t>
            </w:r>
            <w:r>
              <w:rPr>
                <w:rFonts w:ascii="Calibri" w:hAnsi="Calibri"/>
                <w:sz w:val="18"/>
                <w:szCs w:val="18"/>
              </w:rPr>
              <w:t>6</w:t>
            </w:r>
          </w:p>
        </w:tc>
        <w:tc>
          <w:tcPr>
            <w:tcW w:w="1130"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苦槠</w:t>
            </w:r>
          </w:p>
        </w:tc>
        <w:tc>
          <w:tcPr>
            <w:tcW w:w="567"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500</w:t>
            </w:r>
          </w:p>
        </w:tc>
        <w:tc>
          <w:tcPr>
            <w:tcW w:w="567"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26</w:t>
            </w:r>
          </w:p>
        </w:tc>
        <w:tc>
          <w:tcPr>
            <w:tcW w:w="850"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446</w:t>
            </w:r>
          </w:p>
        </w:tc>
        <w:tc>
          <w:tcPr>
            <w:tcW w:w="567" w:type="dxa"/>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142</w:t>
            </w:r>
          </w:p>
        </w:tc>
        <w:tc>
          <w:tcPr>
            <w:tcW w:w="709"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17</w:t>
            </w:r>
          </w:p>
        </w:tc>
        <w:tc>
          <w:tcPr>
            <w:tcW w:w="992"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南田镇</w:t>
            </w:r>
          </w:p>
        </w:tc>
        <w:tc>
          <w:tcPr>
            <w:tcW w:w="993"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黄曲寮村</w:t>
            </w:r>
          </w:p>
        </w:tc>
        <w:tc>
          <w:tcPr>
            <w:tcW w:w="1842"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安糯坦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21" w:hRule="atLeast"/>
        </w:trPr>
        <w:tc>
          <w:tcPr>
            <w:tcW w:w="345" w:type="dxa"/>
          </w:tcPr>
          <w:p>
            <w:pPr>
              <w:spacing w:line="240" w:lineRule="auto"/>
              <w:ind w:firstLine="0" w:firstLineChars="0"/>
              <w:jc w:val="center"/>
              <w:rPr>
                <w:rFonts w:ascii="Calibri" w:hAnsi="Calibri"/>
                <w:sz w:val="18"/>
                <w:szCs w:val="18"/>
              </w:rPr>
            </w:pPr>
            <w:r>
              <w:rPr>
                <w:rFonts w:hint="eastAsia" w:ascii="Calibri" w:hAnsi="Calibri"/>
                <w:sz w:val="18"/>
                <w:szCs w:val="18"/>
              </w:rPr>
              <w:t>1</w:t>
            </w:r>
            <w:r>
              <w:rPr>
                <w:rFonts w:ascii="Calibri" w:hAnsi="Calibri"/>
                <w:sz w:val="18"/>
                <w:szCs w:val="18"/>
              </w:rPr>
              <w:t>7</w:t>
            </w:r>
          </w:p>
        </w:tc>
        <w:tc>
          <w:tcPr>
            <w:tcW w:w="1130"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南方红豆杉</w:t>
            </w:r>
          </w:p>
        </w:tc>
        <w:tc>
          <w:tcPr>
            <w:tcW w:w="567"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600</w:t>
            </w:r>
          </w:p>
        </w:tc>
        <w:tc>
          <w:tcPr>
            <w:tcW w:w="567"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21</w:t>
            </w:r>
          </w:p>
        </w:tc>
        <w:tc>
          <w:tcPr>
            <w:tcW w:w="850"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305</w:t>
            </w:r>
          </w:p>
        </w:tc>
        <w:tc>
          <w:tcPr>
            <w:tcW w:w="567" w:type="dxa"/>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97</w:t>
            </w:r>
          </w:p>
        </w:tc>
        <w:tc>
          <w:tcPr>
            <w:tcW w:w="709"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15</w:t>
            </w:r>
          </w:p>
        </w:tc>
        <w:tc>
          <w:tcPr>
            <w:tcW w:w="992"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南田镇</w:t>
            </w:r>
          </w:p>
        </w:tc>
        <w:tc>
          <w:tcPr>
            <w:tcW w:w="993"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黄曲寮村</w:t>
            </w:r>
          </w:p>
        </w:tc>
        <w:tc>
          <w:tcPr>
            <w:tcW w:w="1842"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下坦坑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21" w:hRule="atLeast"/>
        </w:trPr>
        <w:tc>
          <w:tcPr>
            <w:tcW w:w="345" w:type="dxa"/>
          </w:tcPr>
          <w:p>
            <w:pPr>
              <w:spacing w:line="240" w:lineRule="auto"/>
              <w:ind w:firstLine="0" w:firstLineChars="0"/>
              <w:jc w:val="center"/>
              <w:rPr>
                <w:rFonts w:ascii="Calibri" w:hAnsi="Calibri"/>
                <w:sz w:val="18"/>
                <w:szCs w:val="18"/>
              </w:rPr>
            </w:pPr>
            <w:r>
              <w:rPr>
                <w:rFonts w:hint="eastAsia" w:ascii="Calibri" w:hAnsi="Calibri"/>
                <w:sz w:val="18"/>
                <w:szCs w:val="18"/>
              </w:rPr>
              <w:t>1</w:t>
            </w:r>
            <w:r>
              <w:rPr>
                <w:rFonts w:ascii="Calibri" w:hAnsi="Calibri"/>
                <w:sz w:val="18"/>
                <w:szCs w:val="18"/>
              </w:rPr>
              <w:t>8</w:t>
            </w:r>
          </w:p>
        </w:tc>
        <w:tc>
          <w:tcPr>
            <w:tcW w:w="1130"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南方红豆杉</w:t>
            </w:r>
          </w:p>
        </w:tc>
        <w:tc>
          <w:tcPr>
            <w:tcW w:w="567"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830</w:t>
            </w:r>
          </w:p>
        </w:tc>
        <w:tc>
          <w:tcPr>
            <w:tcW w:w="567"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23</w:t>
            </w:r>
          </w:p>
        </w:tc>
        <w:tc>
          <w:tcPr>
            <w:tcW w:w="850"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305</w:t>
            </w:r>
          </w:p>
        </w:tc>
        <w:tc>
          <w:tcPr>
            <w:tcW w:w="567" w:type="dxa"/>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97</w:t>
            </w:r>
          </w:p>
        </w:tc>
        <w:tc>
          <w:tcPr>
            <w:tcW w:w="709"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16.5</w:t>
            </w:r>
          </w:p>
        </w:tc>
        <w:tc>
          <w:tcPr>
            <w:tcW w:w="992"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铜铃山镇</w:t>
            </w:r>
          </w:p>
        </w:tc>
        <w:tc>
          <w:tcPr>
            <w:tcW w:w="993"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桂竹村</w:t>
            </w:r>
          </w:p>
        </w:tc>
        <w:tc>
          <w:tcPr>
            <w:tcW w:w="1842"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桂竹村山茶坳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21" w:hRule="atLeast"/>
        </w:trPr>
        <w:tc>
          <w:tcPr>
            <w:tcW w:w="345" w:type="dxa"/>
          </w:tcPr>
          <w:p>
            <w:pPr>
              <w:spacing w:line="240" w:lineRule="auto"/>
              <w:ind w:firstLine="0" w:firstLineChars="0"/>
              <w:jc w:val="center"/>
              <w:rPr>
                <w:rFonts w:ascii="Calibri" w:hAnsi="Calibri"/>
                <w:sz w:val="18"/>
                <w:szCs w:val="18"/>
              </w:rPr>
            </w:pPr>
            <w:r>
              <w:rPr>
                <w:rFonts w:hint="eastAsia" w:ascii="Calibri" w:hAnsi="Calibri"/>
                <w:sz w:val="18"/>
                <w:szCs w:val="18"/>
              </w:rPr>
              <w:t>1</w:t>
            </w:r>
            <w:r>
              <w:rPr>
                <w:rFonts w:ascii="Calibri" w:hAnsi="Calibri"/>
                <w:sz w:val="18"/>
                <w:szCs w:val="18"/>
              </w:rPr>
              <w:t>9</w:t>
            </w:r>
          </w:p>
        </w:tc>
        <w:tc>
          <w:tcPr>
            <w:tcW w:w="1130"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南方红豆杉</w:t>
            </w:r>
          </w:p>
        </w:tc>
        <w:tc>
          <w:tcPr>
            <w:tcW w:w="567"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815</w:t>
            </w:r>
          </w:p>
        </w:tc>
        <w:tc>
          <w:tcPr>
            <w:tcW w:w="567"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19</w:t>
            </w:r>
          </w:p>
        </w:tc>
        <w:tc>
          <w:tcPr>
            <w:tcW w:w="850"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360</w:t>
            </w:r>
          </w:p>
        </w:tc>
        <w:tc>
          <w:tcPr>
            <w:tcW w:w="567" w:type="dxa"/>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115</w:t>
            </w:r>
          </w:p>
        </w:tc>
        <w:tc>
          <w:tcPr>
            <w:tcW w:w="709"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17</w:t>
            </w:r>
          </w:p>
        </w:tc>
        <w:tc>
          <w:tcPr>
            <w:tcW w:w="992"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铜铃山镇</w:t>
            </w:r>
          </w:p>
        </w:tc>
        <w:tc>
          <w:tcPr>
            <w:tcW w:w="993"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桂竹村</w:t>
            </w:r>
          </w:p>
        </w:tc>
        <w:tc>
          <w:tcPr>
            <w:tcW w:w="1842"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桂竹村地主庙旁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21" w:hRule="atLeast"/>
        </w:trPr>
        <w:tc>
          <w:tcPr>
            <w:tcW w:w="345" w:type="dxa"/>
          </w:tcPr>
          <w:p>
            <w:pPr>
              <w:spacing w:line="240" w:lineRule="auto"/>
              <w:ind w:firstLine="0" w:firstLineChars="0"/>
              <w:jc w:val="center"/>
              <w:rPr>
                <w:rFonts w:ascii="Calibri" w:hAnsi="Calibri"/>
                <w:sz w:val="18"/>
                <w:szCs w:val="18"/>
              </w:rPr>
            </w:pPr>
            <w:r>
              <w:rPr>
                <w:rFonts w:hint="eastAsia" w:ascii="Calibri" w:hAnsi="Calibri"/>
                <w:sz w:val="18"/>
                <w:szCs w:val="18"/>
              </w:rPr>
              <w:t>2</w:t>
            </w:r>
            <w:r>
              <w:rPr>
                <w:rFonts w:ascii="Calibri" w:hAnsi="Calibri"/>
                <w:sz w:val="18"/>
                <w:szCs w:val="18"/>
              </w:rPr>
              <w:t>0</w:t>
            </w:r>
          </w:p>
        </w:tc>
        <w:tc>
          <w:tcPr>
            <w:tcW w:w="1130"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南方红豆杉</w:t>
            </w:r>
          </w:p>
        </w:tc>
        <w:tc>
          <w:tcPr>
            <w:tcW w:w="567"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515</w:t>
            </w:r>
          </w:p>
        </w:tc>
        <w:tc>
          <w:tcPr>
            <w:tcW w:w="567"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23</w:t>
            </w:r>
          </w:p>
        </w:tc>
        <w:tc>
          <w:tcPr>
            <w:tcW w:w="850"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502</w:t>
            </w:r>
          </w:p>
        </w:tc>
        <w:tc>
          <w:tcPr>
            <w:tcW w:w="567" w:type="dxa"/>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160</w:t>
            </w:r>
          </w:p>
        </w:tc>
        <w:tc>
          <w:tcPr>
            <w:tcW w:w="709"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18.5</w:t>
            </w:r>
          </w:p>
        </w:tc>
        <w:tc>
          <w:tcPr>
            <w:tcW w:w="992"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黄坦镇</w:t>
            </w:r>
          </w:p>
        </w:tc>
        <w:tc>
          <w:tcPr>
            <w:tcW w:w="993"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叶山村</w:t>
            </w:r>
          </w:p>
        </w:tc>
        <w:tc>
          <w:tcPr>
            <w:tcW w:w="1842"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坑头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21" w:hRule="atLeast"/>
        </w:trPr>
        <w:tc>
          <w:tcPr>
            <w:tcW w:w="345" w:type="dxa"/>
          </w:tcPr>
          <w:p>
            <w:pPr>
              <w:spacing w:line="240" w:lineRule="auto"/>
              <w:ind w:firstLine="0" w:firstLineChars="0"/>
              <w:jc w:val="center"/>
              <w:rPr>
                <w:rFonts w:ascii="Calibri" w:hAnsi="Calibri"/>
                <w:sz w:val="18"/>
                <w:szCs w:val="18"/>
              </w:rPr>
            </w:pPr>
            <w:r>
              <w:rPr>
                <w:rFonts w:hint="eastAsia" w:ascii="Calibri" w:hAnsi="Calibri"/>
                <w:sz w:val="18"/>
                <w:szCs w:val="18"/>
              </w:rPr>
              <w:t>2</w:t>
            </w:r>
            <w:r>
              <w:rPr>
                <w:rFonts w:ascii="Calibri" w:hAnsi="Calibri"/>
                <w:sz w:val="18"/>
                <w:szCs w:val="18"/>
              </w:rPr>
              <w:t>1</w:t>
            </w:r>
          </w:p>
        </w:tc>
        <w:tc>
          <w:tcPr>
            <w:tcW w:w="1130"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南方红豆杉</w:t>
            </w:r>
          </w:p>
        </w:tc>
        <w:tc>
          <w:tcPr>
            <w:tcW w:w="567"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515</w:t>
            </w:r>
          </w:p>
        </w:tc>
        <w:tc>
          <w:tcPr>
            <w:tcW w:w="567"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19</w:t>
            </w:r>
          </w:p>
        </w:tc>
        <w:tc>
          <w:tcPr>
            <w:tcW w:w="850"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438</w:t>
            </w:r>
          </w:p>
        </w:tc>
        <w:tc>
          <w:tcPr>
            <w:tcW w:w="567" w:type="dxa"/>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139</w:t>
            </w:r>
          </w:p>
        </w:tc>
        <w:tc>
          <w:tcPr>
            <w:tcW w:w="709"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10.5</w:t>
            </w:r>
          </w:p>
        </w:tc>
        <w:tc>
          <w:tcPr>
            <w:tcW w:w="992"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黄坦镇</w:t>
            </w:r>
          </w:p>
        </w:tc>
        <w:tc>
          <w:tcPr>
            <w:tcW w:w="993"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叶山村</w:t>
            </w:r>
          </w:p>
        </w:tc>
        <w:tc>
          <w:tcPr>
            <w:tcW w:w="1842"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坑头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90" w:hRule="atLeast"/>
        </w:trPr>
        <w:tc>
          <w:tcPr>
            <w:tcW w:w="345" w:type="dxa"/>
          </w:tcPr>
          <w:p>
            <w:pPr>
              <w:spacing w:line="240" w:lineRule="auto"/>
              <w:ind w:firstLine="0" w:firstLineChars="0"/>
              <w:jc w:val="center"/>
              <w:rPr>
                <w:rFonts w:ascii="Calibri" w:hAnsi="Calibri"/>
                <w:sz w:val="18"/>
                <w:szCs w:val="18"/>
              </w:rPr>
            </w:pPr>
            <w:r>
              <w:rPr>
                <w:rFonts w:hint="eastAsia" w:ascii="Calibri" w:hAnsi="Calibri"/>
                <w:sz w:val="18"/>
                <w:szCs w:val="18"/>
              </w:rPr>
              <w:t>2</w:t>
            </w:r>
            <w:r>
              <w:rPr>
                <w:rFonts w:ascii="Calibri" w:hAnsi="Calibri"/>
                <w:sz w:val="18"/>
                <w:szCs w:val="18"/>
              </w:rPr>
              <w:t>2</w:t>
            </w:r>
          </w:p>
        </w:tc>
        <w:tc>
          <w:tcPr>
            <w:tcW w:w="1130"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南方红豆杉</w:t>
            </w:r>
          </w:p>
        </w:tc>
        <w:tc>
          <w:tcPr>
            <w:tcW w:w="567"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525</w:t>
            </w:r>
          </w:p>
        </w:tc>
        <w:tc>
          <w:tcPr>
            <w:tcW w:w="567"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24</w:t>
            </w:r>
          </w:p>
        </w:tc>
        <w:tc>
          <w:tcPr>
            <w:tcW w:w="850"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309</w:t>
            </w:r>
          </w:p>
        </w:tc>
        <w:tc>
          <w:tcPr>
            <w:tcW w:w="567" w:type="dxa"/>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98</w:t>
            </w:r>
          </w:p>
        </w:tc>
        <w:tc>
          <w:tcPr>
            <w:tcW w:w="709"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10.5</w:t>
            </w:r>
          </w:p>
        </w:tc>
        <w:tc>
          <w:tcPr>
            <w:tcW w:w="992"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黄坦镇</w:t>
            </w:r>
          </w:p>
        </w:tc>
        <w:tc>
          <w:tcPr>
            <w:tcW w:w="993"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取垟村</w:t>
            </w:r>
          </w:p>
        </w:tc>
        <w:tc>
          <w:tcPr>
            <w:tcW w:w="1842" w:type="dxa"/>
            <w:shd w:val="clear" w:color="auto" w:fill="auto"/>
            <w:noWrap/>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老处</w:t>
            </w:r>
          </w:p>
        </w:tc>
      </w:tr>
    </w:tbl>
    <w:p>
      <w:pPr>
        <w:pStyle w:val="4"/>
        <w:spacing w:before="163"/>
        <w:ind w:firstLine="360"/>
      </w:pPr>
      <w:r>
        <w:rPr>
          <w:rFonts w:hint="eastAsia"/>
        </w:rPr>
        <w:t>（三）生物多样性</w:t>
      </w:r>
      <w:r>
        <w:t>保护</w:t>
      </w:r>
    </w:p>
    <w:p>
      <w:pPr>
        <w:spacing w:before="97" w:beforeLines="30"/>
        <w:ind w:firstLine="480"/>
        <w:rPr>
          <w:rFonts w:cs="宋体"/>
        </w:rPr>
      </w:pPr>
      <w:r>
        <w:rPr>
          <w:rFonts w:hint="eastAsia" w:cs="宋体"/>
        </w:rPr>
        <w:t>落实《中国生物多样性保护战略与行动计划（2011—2030年）》《浙江省生物多样性保护战略与行动计划（2023-2035年）》等相关规定，做好与生物多样性环境保护相关规划的实施协调。</w:t>
      </w:r>
    </w:p>
    <w:p>
      <w:pPr>
        <w:spacing w:before="93"/>
        <w:ind w:firstLine="480"/>
        <w:rPr>
          <w:rFonts w:cs="宋体"/>
        </w:rPr>
      </w:pPr>
      <w:r>
        <w:rPr>
          <w:rFonts w:hint="eastAsia" w:cs="宋体"/>
        </w:rPr>
        <w:t>全面严格执行对土壤、水环境、声环境、大气、动植物的各项保护措施。保护好该风景区生境的多样性和复杂性，确保生态系统的稳定。</w:t>
      </w:r>
    </w:p>
    <w:p>
      <w:pPr>
        <w:spacing w:before="93"/>
        <w:ind w:firstLine="480"/>
        <w:rPr>
          <w:rFonts w:ascii="宋体" w:hAnsi="宋体"/>
        </w:rPr>
      </w:pPr>
      <w:r>
        <w:rPr>
          <w:rFonts w:hint="eastAsia" w:ascii="宋体" w:hAnsi="宋体"/>
        </w:rPr>
        <w:t>严格执行国家</w:t>
      </w:r>
      <w:r>
        <w:rPr>
          <w:rFonts w:hint="eastAsia" w:cs="宋体"/>
        </w:rPr>
        <w:t>《中华人民共和国野生动物保护法》。并对风景区内的野生动物进行科学建档管理，定期观测，禁止对国家列为保护的野生动物进行捕猎活动</w:t>
      </w:r>
      <w:r>
        <w:rPr>
          <w:rFonts w:hint="eastAsia" w:ascii="宋体" w:hAnsi="宋体"/>
        </w:rPr>
        <w:t>。保护野生物种及其组成的群落和生境，禁止任何可能威胁其生存的人类行为。应采取就地保护、迁地保护和离体保存相结合的方式保护珍稀、濒危物种，防止物种灭绝。在新景区开发建设及旅游服务站点建设时应考虑最大限度减少对野生动物生境的影响。</w:t>
      </w:r>
    </w:p>
    <w:p>
      <w:pPr>
        <w:pStyle w:val="4"/>
        <w:spacing w:before="163"/>
        <w:ind w:firstLine="360"/>
      </w:pPr>
      <w:r>
        <w:rPr>
          <w:rFonts w:hint="eastAsia"/>
        </w:rPr>
        <w:t>（四）水系水体保护</w:t>
      </w:r>
    </w:p>
    <w:p>
      <w:pPr>
        <w:spacing w:before="97" w:beforeLines="30"/>
        <w:ind w:firstLine="480"/>
        <w:rPr>
          <w:rFonts w:cs="宋体"/>
        </w:rPr>
      </w:pPr>
      <w:r>
        <w:rPr>
          <w:rFonts w:hint="eastAsia" w:cs="宋体"/>
        </w:rPr>
        <w:t>风景区内水资源类型多样，泉、池、溪、潭、瀑布、河流、湖泊（水库）为数众多，且涉及众多饮用水水源地。</w:t>
      </w:r>
    </w:p>
    <w:p>
      <w:pPr>
        <w:spacing w:before="163" w:beforeLines="50"/>
        <w:ind w:firstLine="482"/>
        <w:rPr>
          <w:rFonts w:cs="宋体" w:asciiTheme="minorEastAsia" w:hAnsiTheme="minorEastAsia" w:eastAsiaTheme="minorEastAsia"/>
          <w:b/>
        </w:rPr>
      </w:pPr>
      <w:r>
        <w:rPr>
          <w:rFonts w:hint="eastAsia" w:cs="宋体" w:asciiTheme="minorEastAsia" w:hAnsiTheme="minorEastAsia" w:eastAsiaTheme="minorEastAsia"/>
          <w:b/>
        </w:rPr>
        <w:t>1、水源保护</w:t>
      </w:r>
    </w:p>
    <w:p>
      <w:pPr>
        <w:spacing w:before="163" w:beforeLines="50"/>
        <w:ind w:firstLine="480"/>
        <w:rPr>
          <w:rFonts w:cs="宋体"/>
        </w:rPr>
      </w:pPr>
      <w:r>
        <w:rPr>
          <w:rFonts w:hint="eastAsia" w:cs="宋体"/>
        </w:rPr>
        <w:t>风景区内涉及</w:t>
      </w:r>
      <w:r>
        <w:rPr>
          <w:rFonts w:cs="宋体"/>
        </w:rPr>
        <w:t>14</w:t>
      </w:r>
      <w:r>
        <w:rPr>
          <w:rFonts w:hint="eastAsia" w:cs="宋体"/>
        </w:rPr>
        <w:t>处饮用水水源地，包括其中县级以上饮用水水源地1处，为珊溪-赵山渡水库水源地；涉及“千吨万人”饮用水水源地1处，为梅树水库；涉及2</w:t>
      </w:r>
      <w:r>
        <w:rPr>
          <w:rFonts w:cs="宋体"/>
        </w:rPr>
        <w:t>00-1000</w:t>
      </w:r>
      <w:r>
        <w:rPr>
          <w:rFonts w:hint="eastAsia" w:cs="宋体"/>
        </w:rPr>
        <w:t>t农村饮用水水源地12处，包括园丰水库、星岙山塘等。（见</w:t>
      </w:r>
      <w:r>
        <w:rPr>
          <w:rFonts w:hint="eastAsia" w:ascii="宋体" w:hAnsi="宋体"/>
        </w:rPr>
        <w:t>附图6、</w:t>
      </w:r>
      <w:r>
        <w:rPr>
          <w:rFonts w:hint="eastAsia" w:cs="宋体"/>
        </w:rPr>
        <w:t>表2</w:t>
      </w:r>
      <w:r>
        <w:rPr>
          <w:rFonts w:cs="宋体"/>
        </w:rPr>
        <w:t>-4</w:t>
      </w:r>
      <w:r>
        <w:rPr>
          <w:rFonts w:hint="eastAsia" w:cs="宋体"/>
        </w:rPr>
        <w:t>）</w:t>
      </w:r>
    </w:p>
    <w:p>
      <w:pPr>
        <w:spacing w:before="163" w:beforeLines="50"/>
        <w:ind w:firstLine="422"/>
        <w:jc w:val="center"/>
        <w:rPr>
          <w:rFonts w:ascii="宋体" w:hAnsi="宋体"/>
          <w:b/>
          <w:kern w:val="0"/>
          <w:sz w:val="21"/>
          <w:szCs w:val="21"/>
        </w:rPr>
      </w:pPr>
      <w:r>
        <w:rPr>
          <w:rFonts w:hint="eastAsia" w:ascii="宋体" w:hAnsi="宋体"/>
          <w:b/>
          <w:kern w:val="0"/>
          <w:sz w:val="21"/>
          <w:szCs w:val="21"/>
        </w:rPr>
        <w:t>表2</w:t>
      </w:r>
      <w:r>
        <w:rPr>
          <w:rFonts w:ascii="宋体" w:hAnsi="宋体"/>
          <w:b/>
          <w:kern w:val="0"/>
          <w:sz w:val="21"/>
          <w:szCs w:val="21"/>
        </w:rPr>
        <w:t xml:space="preserve">-4 </w:t>
      </w:r>
      <w:r>
        <w:rPr>
          <w:rFonts w:hint="eastAsia" w:ascii="宋体" w:hAnsi="宋体"/>
          <w:b/>
          <w:kern w:val="0"/>
          <w:sz w:val="21"/>
          <w:szCs w:val="21"/>
        </w:rPr>
        <w:t>风景区内涉及饮用水水源保护区情况一览表</w:t>
      </w:r>
    </w:p>
    <w:tbl>
      <w:tblPr>
        <w:tblStyle w:val="215"/>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12"/>
        <w:gridCol w:w="1010"/>
        <w:gridCol w:w="1267"/>
        <w:gridCol w:w="850"/>
        <w:gridCol w:w="992"/>
        <w:gridCol w:w="2410"/>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94" w:hRule="atLeast"/>
        </w:trPr>
        <w:tc>
          <w:tcPr>
            <w:tcW w:w="412" w:type="dxa"/>
            <w:shd w:val="pct10" w:color="auto" w:fill="auto"/>
            <w:vAlign w:val="center"/>
          </w:tcPr>
          <w:p>
            <w:pPr>
              <w:snapToGrid w:val="0"/>
              <w:spacing w:line="240" w:lineRule="auto"/>
              <w:ind w:firstLine="0" w:firstLineChars="0"/>
              <w:jc w:val="center"/>
              <w:rPr>
                <w:rFonts w:asciiTheme="minorEastAsia" w:hAnsiTheme="minorEastAsia" w:eastAsiaTheme="minorEastAsia"/>
                <w:b/>
                <w:sz w:val="18"/>
                <w:szCs w:val="20"/>
              </w:rPr>
            </w:pPr>
            <w:r>
              <w:rPr>
                <w:rFonts w:hint="eastAsia" w:asciiTheme="minorEastAsia" w:hAnsiTheme="minorEastAsia" w:eastAsiaTheme="minorEastAsia"/>
                <w:b/>
                <w:sz w:val="18"/>
                <w:szCs w:val="20"/>
              </w:rPr>
              <w:t>序号</w:t>
            </w:r>
          </w:p>
        </w:tc>
        <w:tc>
          <w:tcPr>
            <w:tcW w:w="1010" w:type="dxa"/>
            <w:shd w:val="pct10" w:color="auto" w:fill="auto"/>
            <w:vAlign w:val="center"/>
          </w:tcPr>
          <w:p>
            <w:pPr>
              <w:snapToGrid w:val="0"/>
              <w:spacing w:line="240" w:lineRule="auto"/>
              <w:ind w:firstLine="0" w:firstLineChars="0"/>
              <w:jc w:val="center"/>
              <w:rPr>
                <w:rFonts w:asciiTheme="minorEastAsia" w:hAnsiTheme="minorEastAsia" w:eastAsiaTheme="minorEastAsia"/>
                <w:b/>
                <w:sz w:val="18"/>
                <w:szCs w:val="20"/>
              </w:rPr>
            </w:pPr>
            <w:r>
              <w:rPr>
                <w:rFonts w:hint="eastAsia" w:asciiTheme="minorEastAsia" w:hAnsiTheme="minorEastAsia" w:eastAsiaTheme="minorEastAsia"/>
                <w:b/>
                <w:sz w:val="18"/>
                <w:szCs w:val="20"/>
              </w:rPr>
              <w:t>名称</w:t>
            </w:r>
          </w:p>
        </w:tc>
        <w:tc>
          <w:tcPr>
            <w:tcW w:w="1267" w:type="dxa"/>
            <w:shd w:val="pct10" w:color="auto" w:fill="auto"/>
            <w:vAlign w:val="center"/>
          </w:tcPr>
          <w:p>
            <w:pPr>
              <w:snapToGrid w:val="0"/>
              <w:spacing w:line="240" w:lineRule="auto"/>
              <w:ind w:firstLine="0" w:firstLineChars="0"/>
              <w:jc w:val="center"/>
              <w:rPr>
                <w:rFonts w:asciiTheme="minorEastAsia" w:hAnsiTheme="minorEastAsia" w:eastAsiaTheme="minorEastAsia"/>
                <w:b/>
                <w:sz w:val="18"/>
                <w:szCs w:val="20"/>
              </w:rPr>
            </w:pPr>
            <w:r>
              <w:rPr>
                <w:rFonts w:hint="eastAsia" w:asciiTheme="minorEastAsia" w:hAnsiTheme="minorEastAsia" w:eastAsiaTheme="minorEastAsia"/>
                <w:b/>
                <w:sz w:val="18"/>
                <w:szCs w:val="20"/>
              </w:rPr>
              <w:t>所在河流（湖库）</w:t>
            </w:r>
          </w:p>
        </w:tc>
        <w:tc>
          <w:tcPr>
            <w:tcW w:w="850" w:type="dxa"/>
            <w:shd w:val="pct10" w:color="auto" w:fill="auto"/>
            <w:vAlign w:val="center"/>
          </w:tcPr>
          <w:p>
            <w:pPr>
              <w:snapToGrid w:val="0"/>
              <w:spacing w:line="240" w:lineRule="auto"/>
              <w:ind w:firstLine="0" w:firstLineChars="0"/>
              <w:jc w:val="center"/>
              <w:rPr>
                <w:rFonts w:asciiTheme="minorEastAsia" w:hAnsiTheme="minorEastAsia" w:eastAsiaTheme="minorEastAsia"/>
                <w:b/>
                <w:sz w:val="18"/>
                <w:szCs w:val="20"/>
              </w:rPr>
            </w:pPr>
            <w:r>
              <w:rPr>
                <w:rFonts w:hint="eastAsia" w:asciiTheme="minorEastAsia" w:hAnsiTheme="minorEastAsia" w:eastAsiaTheme="minorEastAsia"/>
                <w:b/>
                <w:sz w:val="18"/>
                <w:szCs w:val="20"/>
              </w:rPr>
              <w:t>所在位置</w:t>
            </w:r>
          </w:p>
        </w:tc>
        <w:tc>
          <w:tcPr>
            <w:tcW w:w="992" w:type="dxa"/>
            <w:shd w:val="pct10" w:color="auto" w:fill="auto"/>
            <w:vAlign w:val="center"/>
          </w:tcPr>
          <w:p>
            <w:pPr>
              <w:snapToGrid w:val="0"/>
              <w:spacing w:line="240" w:lineRule="auto"/>
              <w:ind w:firstLine="0" w:firstLineChars="0"/>
              <w:jc w:val="center"/>
              <w:rPr>
                <w:rFonts w:asciiTheme="minorEastAsia" w:hAnsiTheme="minorEastAsia" w:eastAsiaTheme="minorEastAsia"/>
                <w:b/>
                <w:sz w:val="18"/>
                <w:szCs w:val="20"/>
              </w:rPr>
            </w:pPr>
            <w:r>
              <w:rPr>
                <w:rFonts w:hint="eastAsia" w:asciiTheme="minorEastAsia" w:hAnsiTheme="minorEastAsia" w:eastAsiaTheme="minorEastAsia"/>
                <w:b/>
                <w:sz w:val="18"/>
                <w:szCs w:val="20"/>
              </w:rPr>
              <w:t>类型</w:t>
            </w:r>
          </w:p>
        </w:tc>
        <w:tc>
          <w:tcPr>
            <w:tcW w:w="2410" w:type="dxa"/>
            <w:shd w:val="pct10" w:color="auto" w:fill="auto"/>
            <w:vAlign w:val="center"/>
          </w:tcPr>
          <w:p>
            <w:pPr>
              <w:snapToGrid w:val="0"/>
              <w:spacing w:line="240" w:lineRule="auto"/>
              <w:ind w:firstLine="0" w:firstLineChars="0"/>
              <w:jc w:val="center"/>
              <w:rPr>
                <w:rFonts w:asciiTheme="minorEastAsia" w:hAnsiTheme="minorEastAsia" w:eastAsiaTheme="minorEastAsia"/>
                <w:b/>
                <w:sz w:val="18"/>
                <w:szCs w:val="20"/>
              </w:rPr>
            </w:pPr>
            <w:r>
              <w:rPr>
                <w:rFonts w:hint="eastAsia" w:asciiTheme="minorEastAsia" w:hAnsiTheme="minorEastAsia" w:eastAsiaTheme="minorEastAsia"/>
                <w:b/>
                <w:sz w:val="18"/>
                <w:szCs w:val="20"/>
              </w:rPr>
              <w:t>主要供水范围</w:t>
            </w:r>
          </w:p>
        </w:tc>
        <w:tc>
          <w:tcPr>
            <w:tcW w:w="1418" w:type="dxa"/>
            <w:shd w:val="pct10" w:color="auto" w:fill="auto"/>
            <w:vAlign w:val="center"/>
          </w:tcPr>
          <w:p>
            <w:pPr>
              <w:snapToGrid w:val="0"/>
              <w:spacing w:line="240" w:lineRule="auto"/>
              <w:ind w:firstLine="0" w:firstLineChars="0"/>
              <w:jc w:val="center"/>
              <w:rPr>
                <w:rFonts w:asciiTheme="minorEastAsia" w:hAnsiTheme="minorEastAsia" w:eastAsiaTheme="minorEastAsia"/>
                <w:b/>
                <w:sz w:val="18"/>
                <w:szCs w:val="20"/>
              </w:rPr>
            </w:pPr>
            <w:r>
              <w:rPr>
                <w:rFonts w:hint="eastAsia" w:asciiTheme="minorEastAsia" w:hAnsiTheme="minorEastAsia" w:eastAsiaTheme="minorEastAsia"/>
                <w:b/>
                <w:sz w:val="18"/>
                <w:szCs w:val="20"/>
              </w:rPr>
              <w:t>涉及饮用水水源保护区级别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870" w:hRule="atLeast"/>
        </w:trPr>
        <w:tc>
          <w:tcPr>
            <w:tcW w:w="412" w:type="dxa"/>
            <w:shd w:val="clear" w:color="auto" w:fill="auto"/>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1</w:t>
            </w:r>
          </w:p>
        </w:tc>
        <w:tc>
          <w:tcPr>
            <w:tcW w:w="1010" w:type="dxa"/>
            <w:shd w:val="clear" w:color="auto" w:fill="auto"/>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珊溪-赵山渡水库水源地</w:t>
            </w:r>
          </w:p>
        </w:tc>
        <w:tc>
          <w:tcPr>
            <w:tcW w:w="1267" w:type="dxa"/>
            <w:shd w:val="clear" w:color="auto" w:fill="auto"/>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珊溪水库、赵山渡水库</w:t>
            </w:r>
          </w:p>
        </w:tc>
        <w:tc>
          <w:tcPr>
            <w:tcW w:w="850" w:type="dxa"/>
            <w:shd w:val="clear" w:color="auto" w:fill="auto"/>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温州市</w:t>
            </w:r>
          </w:p>
        </w:tc>
        <w:tc>
          <w:tcPr>
            <w:tcW w:w="992" w:type="dxa"/>
            <w:shd w:val="clear" w:color="auto" w:fill="auto"/>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集中式城镇饮用水源</w:t>
            </w:r>
          </w:p>
        </w:tc>
        <w:tc>
          <w:tcPr>
            <w:tcW w:w="2410" w:type="dxa"/>
            <w:shd w:val="clear" w:color="auto" w:fill="auto"/>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温州城区、瑞安城区、平阳城区、洞头城区、文成城区等</w:t>
            </w:r>
          </w:p>
        </w:tc>
        <w:tc>
          <w:tcPr>
            <w:tcW w:w="1418" w:type="dxa"/>
            <w:shd w:val="clear" w:color="auto" w:fill="auto"/>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饮用水水源一级保护区、二级保护区、准保护区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72" w:hRule="atLeast"/>
        </w:trPr>
        <w:tc>
          <w:tcPr>
            <w:tcW w:w="412" w:type="dxa"/>
            <w:shd w:val="clear" w:color="auto" w:fill="auto"/>
            <w:vAlign w:val="center"/>
          </w:tcPr>
          <w:p>
            <w:pPr>
              <w:snapToGrid w:val="0"/>
              <w:spacing w:line="240" w:lineRule="auto"/>
              <w:ind w:firstLine="0" w:firstLineChars="0"/>
              <w:rPr>
                <w:rFonts w:asciiTheme="minorEastAsia" w:hAnsiTheme="minorEastAsia" w:eastAsiaTheme="minorEastAsia"/>
                <w:sz w:val="18"/>
                <w:szCs w:val="20"/>
              </w:rPr>
            </w:pPr>
            <w:r>
              <w:rPr>
                <w:rFonts w:asciiTheme="minorEastAsia" w:hAnsiTheme="minorEastAsia" w:eastAsiaTheme="minorEastAsia"/>
                <w:sz w:val="18"/>
                <w:szCs w:val="20"/>
              </w:rPr>
              <w:t>2</w:t>
            </w:r>
          </w:p>
        </w:tc>
        <w:tc>
          <w:tcPr>
            <w:tcW w:w="1010" w:type="dxa"/>
            <w:shd w:val="clear" w:color="auto" w:fill="auto"/>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梅树水库</w:t>
            </w:r>
          </w:p>
        </w:tc>
        <w:tc>
          <w:tcPr>
            <w:tcW w:w="1267" w:type="dxa"/>
            <w:shd w:val="clear" w:color="auto" w:fill="auto"/>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梅树水库</w:t>
            </w:r>
          </w:p>
        </w:tc>
        <w:tc>
          <w:tcPr>
            <w:tcW w:w="850" w:type="dxa"/>
            <w:shd w:val="clear" w:color="auto" w:fill="auto"/>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南田镇</w:t>
            </w:r>
          </w:p>
        </w:tc>
        <w:tc>
          <w:tcPr>
            <w:tcW w:w="992" w:type="dxa"/>
            <w:shd w:val="clear" w:color="auto" w:fill="auto"/>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千吨万人水源地</w:t>
            </w:r>
          </w:p>
        </w:tc>
        <w:tc>
          <w:tcPr>
            <w:tcW w:w="2410" w:type="dxa"/>
            <w:shd w:val="clear" w:color="auto" w:fill="auto"/>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南田镇建成区南村、新岳村、高村村、横山村、龙岙等</w:t>
            </w:r>
          </w:p>
        </w:tc>
        <w:tc>
          <w:tcPr>
            <w:tcW w:w="1418" w:type="dxa"/>
            <w:shd w:val="clear" w:color="auto" w:fill="auto"/>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饮用水水源一级保护区、二级保护区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653" w:hRule="atLeast"/>
        </w:trPr>
        <w:tc>
          <w:tcPr>
            <w:tcW w:w="412" w:type="dxa"/>
            <w:vAlign w:val="center"/>
          </w:tcPr>
          <w:p>
            <w:pPr>
              <w:snapToGrid w:val="0"/>
              <w:spacing w:line="240" w:lineRule="auto"/>
              <w:ind w:firstLine="0" w:firstLineChars="0"/>
              <w:rPr>
                <w:rFonts w:asciiTheme="minorEastAsia" w:hAnsiTheme="minorEastAsia" w:eastAsiaTheme="minorEastAsia"/>
                <w:sz w:val="18"/>
                <w:szCs w:val="20"/>
              </w:rPr>
            </w:pPr>
            <w:r>
              <w:rPr>
                <w:rFonts w:asciiTheme="minorEastAsia" w:hAnsiTheme="minorEastAsia" w:eastAsiaTheme="minorEastAsia"/>
                <w:sz w:val="18"/>
                <w:szCs w:val="20"/>
              </w:rPr>
              <w:t>3</w:t>
            </w:r>
          </w:p>
        </w:tc>
        <w:tc>
          <w:tcPr>
            <w:tcW w:w="1010"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西坑畲族镇水源地</w:t>
            </w:r>
          </w:p>
        </w:tc>
        <w:tc>
          <w:tcPr>
            <w:tcW w:w="1267"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吴岙坑</w:t>
            </w:r>
          </w:p>
        </w:tc>
        <w:tc>
          <w:tcPr>
            <w:tcW w:w="850"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西坑镇</w:t>
            </w:r>
          </w:p>
        </w:tc>
        <w:tc>
          <w:tcPr>
            <w:tcW w:w="992"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农村集中饮用水源</w:t>
            </w:r>
          </w:p>
        </w:tc>
        <w:tc>
          <w:tcPr>
            <w:tcW w:w="2410"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西坑镇西坑村、叶岸村</w:t>
            </w:r>
          </w:p>
        </w:tc>
        <w:tc>
          <w:tcPr>
            <w:tcW w:w="1418"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653" w:hRule="atLeast"/>
        </w:trPr>
        <w:tc>
          <w:tcPr>
            <w:tcW w:w="412"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4</w:t>
            </w:r>
          </w:p>
        </w:tc>
        <w:tc>
          <w:tcPr>
            <w:tcW w:w="1010"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孙岙坑</w:t>
            </w:r>
          </w:p>
        </w:tc>
        <w:tc>
          <w:tcPr>
            <w:tcW w:w="1267"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余山坑（程坑）</w:t>
            </w:r>
            <w:r>
              <w:rPr>
                <w:rFonts w:asciiTheme="minorEastAsia" w:hAnsiTheme="minorEastAsia" w:eastAsiaTheme="minorEastAsia"/>
                <w:sz w:val="18"/>
                <w:szCs w:val="20"/>
              </w:rPr>
              <w:t>-1</w:t>
            </w:r>
          </w:p>
        </w:tc>
        <w:tc>
          <w:tcPr>
            <w:tcW w:w="850"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大峃镇里阳村</w:t>
            </w:r>
          </w:p>
        </w:tc>
        <w:tc>
          <w:tcPr>
            <w:tcW w:w="992"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农村集中饮用水源</w:t>
            </w:r>
          </w:p>
        </w:tc>
        <w:tc>
          <w:tcPr>
            <w:tcW w:w="2410"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大峃镇孙岙村、里川村、垟底村</w:t>
            </w:r>
          </w:p>
        </w:tc>
        <w:tc>
          <w:tcPr>
            <w:tcW w:w="1418"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653" w:hRule="atLeast"/>
        </w:trPr>
        <w:tc>
          <w:tcPr>
            <w:tcW w:w="412"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5</w:t>
            </w:r>
          </w:p>
        </w:tc>
        <w:tc>
          <w:tcPr>
            <w:tcW w:w="1010"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星岙山塘</w:t>
            </w:r>
          </w:p>
        </w:tc>
        <w:tc>
          <w:tcPr>
            <w:tcW w:w="1267"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星岙山塘</w:t>
            </w:r>
          </w:p>
        </w:tc>
        <w:tc>
          <w:tcPr>
            <w:tcW w:w="850"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南田镇五源村</w:t>
            </w:r>
          </w:p>
        </w:tc>
        <w:tc>
          <w:tcPr>
            <w:tcW w:w="992"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农村集中饮用水源</w:t>
            </w:r>
          </w:p>
        </w:tc>
        <w:tc>
          <w:tcPr>
            <w:tcW w:w="2410"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南田镇西垄、隔水、福全岗、回源底、山后、过垟丘自然村</w:t>
            </w:r>
          </w:p>
        </w:tc>
        <w:tc>
          <w:tcPr>
            <w:tcW w:w="1418"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653" w:hRule="atLeast"/>
        </w:trPr>
        <w:tc>
          <w:tcPr>
            <w:tcW w:w="412"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6</w:t>
            </w:r>
          </w:p>
        </w:tc>
        <w:tc>
          <w:tcPr>
            <w:tcW w:w="1010"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光坑</w:t>
            </w:r>
          </w:p>
        </w:tc>
        <w:tc>
          <w:tcPr>
            <w:tcW w:w="1267"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李井坑、兆平岭溪</w:t>
            </w:r>
          </w:p>
        </w:tc>
        <w:tc>
          <w:tcPr>
            <w:tcW w:w="850"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珊溪镇平坑村</w:t>
            </w:r>
          </w:p>
        </w:tc>
        <w:tc>
          <w:tcPr>
            <w:tcW w:w="992"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农村集中饮用水源</w:t>
            </w:r>
          </w:p>
        </w:tc>
        <w:tc>
          <w:tcPr>
            <w:tcW w:w="2410"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珊溪镇李夏、平坑自</w:t>
            </w:r>
          </w:p>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然村、白山下</w:t>
            </w:r>
          </w:p>
        </w:tc>
        <w:tc>
          <w:tcPr>
            <w:tcW w:w="1418"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653" w:hRule="atLeast"/>
        </w:trPr>
        <w:tc>
          <w:tcPr>
            <w:tcW w:w="412"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7</w:t>
            </w:r>
          </w:p>
        </w:tc>
        <w:tc>
          <w:tcPr>
            <w:tcW w:w="1010"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朱川朱坑头小坑</w:t>
            </w:r>
          </w:p>
        </w:tc>
        <w:tc>
          <w:tcPr>
            <w:tcW w:w="1267"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均山岭脚山塘、牛坑溪-1</w:t>
            </w:r>
          </w:p>
        </w:tc>
        <w:tc>
          <w:tcPr>
            <w:tcW w:w="850"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珊溪镇西山村</w:t>
            </w:r>
          </w:p>
        </w:tc>
        <w:tc>
          <w:tcPr>
            <w:tcW w:w="992"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农村集中饮用水源</w:t>
            </w:r>
          </w:p>
        </w:tc>
        <w:tc>
          <w:tcPr>
            <w:tcW w:w="2410"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珊溪镇上岭头、下岭</w:t>
            </w:r>
          </w:p>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头、茶堂、大路外、驮降头、地方、水口等7 个自然村</w:t>
            </w:r>
          </w:p>
        </w:tc>
        <w:tc>
          <w:tcPr>
            <w:tcW w:w="1418"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609" w:hRule="atLeast"/>
        </w:trPr>
        <w:tc>
          <w:tcPr>
            <w:tcW w:w="412"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8</w:t>
            </w:r>
          </w:p>
        </w:tc>
        <w:tc>
          <w:tcPr>
            <w:tcW w:w="1010"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仰天河山塘</w:t>
            </w:r>
          </w:p>
        </w:tc>
        <w:tc>
          <w:tcPr>
            <w:tcW w:w="1267"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仰天河山塘</w:t>
            </w:r>
          </w:p>
        </w:tc>
        <w:tc>
          <w:tcPr>
            <w:tcW w:w="850"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珊溪镇珊瑚村</w:t>
            </w:r>
          </w:p>
        </w:tc>
        <w:tc>
          <w:tcPr>
            <w:tcW w:w="992"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农村集中饮用水源</w:t>
            </w:r>
          </w:p>
        </w:tc>
        <w:tc>
          <w:tcPr>
            <w:tcW w:w="2410"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珊溪镇稽洋塘、翁山</w:t>
            </w:r>
          </w:p>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头、下叶降头、培口、芦山底自然村、垟尾山</w:t>
            </w:r>
          </w:p>
        </w:tc>
        <w:tc>
          <w:tcPr>
            <w:tcW w:w="1418"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653" w:hRule="atLeast"/>
        </w:trPr>
        <w:tc>
          <w:tcPr>
            <w:tcW w:w="412"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9</w:t>
            </w:r>
          </w:p>
        </w:tc>
        <w:tc>
          <w:tcPr>
            <w:tcW w:w="1010"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驮坑小坑</w:t>
            </w:r>
          </w:p>
        </w:tc>
        <w:tc>
          <w:tcPr>
            <w:tcW w:w="1267"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连头溪二、枫树外支二等14条河道</w:t>
            </w:r>
          </w:p>
        </w:tc>
        <w:tc>
          <w:tcPr>
            <w:tcW w:w="850"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珊溪镇南阳村</w:t>
            </w:r>
          </w:p>
        </w:tc>
        <w:tc>
          <w:tcPr>
            <w:tcW w:w="992"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农村集中饮用水源</w:t>
            </w:r>
          </w:p>
        </w:tc>
        <w:tc>
          <w:tcPr>
            <w:tcW w:w="2410"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珊溪镇南阳村</w:t>
            </w:r>
          </w:p>
        </w:tc>
        <w:tc>
          <w:tcPr>
            <w:tcW w:w="1418"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653" w:hRule="atLeast"/>
        </w:trPr>
        <w:tc>
          <w:tcPr>
            <w:tcW w:w="412"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1</w:t>
            </w:r>
            <w:r>
              <w:rPr>
                <w:rFonts w:asciiTheme="minorEastAsia" w:hAnsiTheme="minorEastAsia" w:eastAsiaTheme="minorEastAsia"/>
                <w:sz w:val="18"/>
                <w:szCs w:val="20"/>
              </w:rPr>
              <w:t>0</w:t>
            </w:r>
          </w:p>
        </w:tc>
        <w:tc>
          <w:tcPr>
            <w:tcW w:w="1010"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见坑小坑</w:t>
            </w:r>
          </w:p>
        </w:tc>
        <w:tc>
          <w:tcPr>
            <w:tcW w:w="1267"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奇峰三支、奇峰溪等5条河道</w:t>
            </w:r>
          </w:p>
        </w:tc>
        <w:tc>
          <w:tcPr>
            <w:tcW w:w="850"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珊溪镇五新村</w:t>
            </w:r>
          </w:p>
        </w:tc>
        <w:tc>
          <w:tcPr>
            <w:tcW w:w="992"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农村集中饮用水源</w:t>
            </w:r>
          </w:p>
        </w:tc>
        <w:tc>
          <w:tcPr>
            <w:tcW w:w="2410"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珊溪镇见坑口、驮寨</w:t>
            </w:r>
          </w:p>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脚、岙底头自然村</w:t>
            </w:r>
          </w:p>
        </w:tc>
        <w:tc>
          <w:tcPr>
            <w:tcW w:w="1418"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653" w:hRule="atLeast"/>
        </w:trPr>
        <w:tc>
          <w:tcPr>
            <w:tcW w:w="412"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1</w:t>
            </w:r>
            <w:r>
              <w:rPr>
                <w:rFonts w:asciiTheme="minorEastAsia" w:hAnsiTheme="minorEastAsia" w:eastAsiaTheme="minorEastAsia"/>
                <w:sz w:val="18"/>
                <w:szCs w:val="20"/>
              </w:rPr>
              <w:t>1</w:t>
            </w:r>
          </w:p>
        </w:tc>
        <w:tc>
          <w:tcPr>
            <w:tcW w:w="1010"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东山底坑</w:t>
            </w:r>
          </w:p>
        </w:tc>
        <w:tc>
          <w:tcPr>
            <w:tcW w:w="1267"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石达坑-1</w:t>
            </w:r>
          </w:p>
        </w:tc>
        <w:tc>
          <w:tcPr>
            <w:tcW w:w="850"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珊溪镇联新村</w:t>
            </w:r>
          </w:p>
        </w:tc>
        <w:tc>
          <w:tcPr>
            <w:tcW w:w="992"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农村集中饮用水源</w:t>
            </w:r>
          </w:p>
        </w:tc>
        <w:tc>
          <w:tcPr>
            <w:tcW w:w="2410"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珊溪镇岭坳门、胡石</w:t>
            </w:r>
          </w:p>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口岭坳门、蔡宅、古木垟、胡石口自然村</w:t>
            </w:r>
          </w:p>
        </w:tc>
        <w:tc>
          <w:tcPr>
            <w:tcW w:w="1418"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81" w:hRule="atLeast"/>
        </w:trPr>
        <w:tc>
          <w:tcPr>
            <w:tcW w:w="412"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1</w:t>
            </w:r>
            <w:r>
              <w:rPr>
                <w:rFonts w:asciiTheme="minorEastAsia" w:hAnsiTheme="minorEastAsia" w:eastAsiaTheme="minorEastAsia"/>
                <w:sz w:val="18"/>
                <w:szCs w:val="20"/>
              </w:rPr>
              <w:t>2</w:t>
            </w:r>
          </w:p>
        </w:tc>
        <w:tc>
          <w:tcPr>
            <w:tcW w:w="1010"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园丰水库</w:t>
            </w:r>
          </w:p>
        </w:tc>
        <w:tc>
          <w:tcPr>
            <w:tcW w:w="1267"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园丰水库</w:t>
            </w:r>
          </w:p>
        </w:tc>
        <w:tc>
          <w:tcPr>
            <w:tcW w:w="850"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玉壶镇东头村</w:t>
            </w:r>
          </w:p>
        </w:tc>
        <w:tc>
          <w:tcPr>
            <w:tcW w:w="992"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农村集中饮用水源</w:t>
            </w:r>
          </w:p>
        </w:tc>
        <w:tc>
          <w:tcPr>
            <w:tcW w:w="2410"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玉壶镇东头村</w:t>
            </w:r>
          </w:p>
        </w:tc>
        <w:tc>
          <w:tcPr>
            <w:tcW w:w="1418"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49" w:hRule="atLeast"/>
        </w:trPr>
        <w:tc>
          <w:tcPr>
            <w:tcW w:w="412"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1</w:t>
            </w:r>
            <w:r>
              <w:rPr>
                <w:rFonts w:asciiTheme="minorEastAsia" w:hAnsiTheme="minorEastAsia" w:eastAsiaTheme="minorEastAsia"/>
                <w:sz w:val="18"/>
                <w:szCs w:val="20"/>
              </w:rPr>
              <w:t>3</w:t>
            </w:r>
          </w:p>
        </w:tc>
        <w:tc>
          <w:tcPr>
            <w:tcW w:w="1010"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下垟坑</w:t>
            </w:r>
          </w:p>
        </w:tc>
        <w:tc>
          <w:tcPr>
            <w:tcW w:w="1267"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下垟坑支一-1</w:t>
            </w:r>
          </w:p>
        </w:tc>
        <w:tc>
          <w:tcPr>
            <w:tcW w:w="850"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铜铃山镇下垟村</w:t>
            </w:r>
          </w:p>
        </w:tc>
        <w:tc>
          <w:tcPr>
            <w:tcW w:w="992"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农村集中饮用水源</w:t>
            </w:r>
          </w:p>
        </w:tc>
        <w:tc>
          <w:tcPr>
            <w:tcW w:w="2410"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铜铃山镇下垟村</w:t>
            </w:r>
          </w:p>
        </w:tc>
        <w:tc>
          <w:tcPr>
            <w:tcW w:w="1418"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653" w:hRule="atLeast"/>
        </w:trPr>
        <w:tc>
          <w:tcPr>
            <w:tcW w:w="412"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1</w:t>
            </w:r>
            <w:r>
              <w:rPr>
                <w:rFonts w:asciiTheme="minorEastAsia" w:hAnsiTheme="minorEastAsia" w:eastAsiaTheme="minorEastAsia"/>
                <w:sz w:val="18"/>
                <w:szCs w:val="20"/>
              </w:rPr>
              <w:t>4</w:t>
            </w:r>
          </w:p>
        </w:tc>
        <w:tc>
          <w:tcPr>
            <w:tcW w:w="1010"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张山垟水库</w:t>
            </w:r>
          </w:p>
        </w:tc>
        <w:tc>
          <w:tcPr>
            <w:tcW w:w="1267"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张山垟水库</w:t>
            </w:r>
          </w:p>
        </w:tc>
        <w:tc>
          <w:tcPr>
            <w:tcW w:w="850"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黄坦镇</w:t>
            </w:r>
          </w:p>
        </w:tc>
        <w:tc>
          <w:tcPr>
            <w:tcW w:w="992"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农村集中饮用水源</w:t>
            </w:r>
          </w:p>
        </w:tc>
        <w:tc>
          <w:tcPr>
            <w:tcW w:w="2410"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稽垟村</w:t>
            </w:r>
          </w:p>
        </w:tc>
        <w:tc>
          <w:tcPr>
            <w:tcW w:w="1418" w:type="dxa"/>
            <w:vAlign w:val="center"/>
          </w:tcPr>
          <w:p>
            <w:pPr>
              <w:snapToGrid w:val="0"/>
              <w:spacing w:line="240" w:lineRule="auto"/>
              <w:ind w:firstLine="0" w:firstLineChars="0"/>
              <w:rPr>
                <w:rFonts w:asciiTheme="minorEastAsia" w:hAnsiTheme="minorEastAsia" w:eastAsiaTheme="minorEastAsia"/>
                <w:sz w:val="18"/>
                <w:szCs w:val="20"/>
              </w:rPr>
            </w:pPr>
            <w:r>
              <w:rPr>
                <w:rFonts w:hint="eastAsia" w:asciiTheme="minorEastAsia" w:hAnsiTheme="minorEastAsia" w:eastAsiaTheme="minorEastAsia"/>
                <w:sz w:val="18"/>
                <w:szCs w:val="20"/>
              </w:rPr>
              <w:t>/</w:t>
            </w:r>
          </w:p>
        </w:tc>
      </w:tr>
    </w:tbl>
    <w:p>
      <w:pPr>
        <w:spacing w:before="93"/>
        <w:ind w:firstLine="480"/>
        <w:rPr>
          <w:rFonts w:ascii="宋体" w:hAnsi="宋体"/>
        </w:rPr>
      </w:pPr>
      <w:r>
        <w:rPr>
          <w:rFonts w:hint="eastAsia" w:ascii="宋体" w:hAnsi="宋体"/>
        </w:rPr>
        <w:t>饮用水水源保护区应严格遵守《浙江省饮用水水源保护条例》（2</w:t>
      </w:r>
      <w:r>
        <w:rPr>
          <w:rFonts w:ascii="宋体" w:hAnsi="宋体"/>
        </w:rPr>
        <w:t>020</w:t>
      </w:r>
      <w:r>
        <w:rPr>
          <w:rFonts w:hint="eastAsia" w:ascii="宋体" w:hAnsi="宋体"/>
        </w:rPr>
        <w:t>年修正）等相关法律法规的保护要求。</w:t>
      </w:r>
    </w:p>
    <w:p>
      <w:pPr>
        <w:spacing w:before="93"/>
        <w:ind w:firstLine="480"/>
        <w:rPr>
          <w:rFonts w:ascii="宋体" w:hAnsi="宋体"/>
        </w:rPr>
      </w:pPr>
      <w:r>
        <w:rPr>
          <w:rFonts w:hint="eastAsia" w:ascii="宋体" w:hAnsi="宋体"/>
        </w:rPr>
        <w:t>饮用水水源一级保护区内，除二级保护区内禁止的行为外，还禁止下列行为：（1）新建、改建、扩建与供水设施和保护水源无关的建设项目；（2）网箱养殖、投饵式养殖、旅游、游泳、垂钓；（3）停泊与保护水源无关的船舶；（</w:t>
      </w:r>
      <w:r>
        <w:rPr>
          <w:rFonts w:ascii="宋体" w:hAnsi="宋体"/>
        </w:rPr>
        <w:t>4</w:t>
      </w:r>
      <w:r>
        <w:rPr>
          <w:rFonts w:hint="eastAsia" w:ascii="宋体" w:hAnsi="宋体"/>
        </w:rPr>
        <w:t>）其他可能污染水源的活动。已经建成的与供水设施和保护水源无关的建设项目，限期拆除或者关闭。</w:t>
      </w:r>
    </w:p>
    <w:p>
      <w:pPr>
        <w:spacing w:before="93"/>
        <w:ind w:firstLine="480"/>
        <w:rPr>
          <w:rFonts w:ascii="宋体" w:hAnsi="宋体"/>
        </w:rPr>
      </w:pPr>
      <w:r>
        <w:rPr>
          <w:rFonts w:hint="eastAsia" w:ascii="宋体" w:hAnsi="宋体"/>
        </w:rPr>
        <w:t>饮用水水源二级保护区内，除饮用水水源准保护区内禁止的行为外，还禁止下列行为：（1）设置排污口；（2）新建、改建、扩建排放污染物的建设项目；（3）贮存、堆放可能造成水体污染的固体废弃物和其他污染物；（4）危险货物水上过驳作业；（5）冲洗船舶甲板，向水体排放船舶洗舱水、压载水、生活污水等船舶污染物；（6）使用含磷洗涤剂、农药和化肥。在饮用水水源二级保护区内从事网箱养殖、旅游等活动的，应当按照规定采取措施，防止污染饮用水水体。已建成的排放污染物的建设项目，限期拆除或者关闭。</w:t>
      </w:r>
    </w:p>
    <w:p>
      <w:pPr>
        <w:spacing w:before="93"/>
        <w:ind w:firstLine="480"/>
        <w:rPr>
          <w:rFonts w:ascii="宋体" w:hAnsi="宋体"/>
        </w:rPr>
      </w:pPr>
      <w:r>
        <w:rPr>
          <w:rFonts w:hint="eastAsia" w:ascii="宋体" w:hAnsi="宋体"/>
        </w:rPr>
        <w:t>根据《文成县饮用水源保护规划》要求，对一级水源保护区实施封闭式管理，一级水源保护区原则上拆除所有与水源无关的建筑物，用地进行植被修复，水土保持，改造为水源涵养林，改造保护区内林、灌、草生态系统。</w:t>
      </w:r>
    </w:p>
    <w:p>
      <w:pPr>
        <w:spacing w:before="163" w:beforeLines="50"/>
        <w:ind w:firstLine="482"/>
        <w:rPr>
          <w:rFonts w:cs="宋体"/>
          <w:b/>
        </w:rPr>
      </w:pPr>
      <w:r>
        <w:rPr>
          <w:rFonts w:hint="eastAsia" w:cs="宋体"/>
          <w:b/>
        </w:rPr>
        <w:t>2、岸线与涨落带保护</w:t>
      </w:r>
    </w:p>
    <w:p>
      <w:pPr>
        <w:spacing w:before="93"/>
        <w:ind w:firstLine="480"/>
        <w:rPr>
          <w:rFonts w:ascii="宋体" w:hAnsi="宋体"/>
        </w:rPr>
      </w:pPr>
      <w:r>
        <w:rPr>
          <w:rFonts w:hint="eastAsia" w:ascii="宋体" w:hAnsi="宋体"/>
        </w:rPr>
        <w:t>保护湖湾岸线的自然特征，满足人们水岸游憩的需求。现有码头（非对外开放）应积极采用绿化、台地、材料变化、色彩变化、环境小品和局部自然岸线等措施，丰富和柔化形态。</w:t>
      </w:r>
    </w:p>
    <w:p>
      <w:pPr>
        <w:spacing w:before="93"/>
        <w:ind w:firstLine="480"/>
        <w:rPr>
          <w:rFonts w:ascii="宋体" w:hAnsi="宋体"/>
        </w:rPr>
      </w:pPr>
      <w:r>
        <w:rPr>
          <w:rFonts w:hint="eastAsia" w:ascii="宋体" w:hAnsi="宋体"/>
        </w:rPr>
        <w:t>坡度小于35度的土质涨落带，维持原有良好景观或采用非结构性护岸模式，尽可能采用自然缓坡式水系护岸，按土壤的自然稳态角进行放坡，形成自然草坡到水生植物的生态过渡结构。坡度大于35度的土质涨落带，以水土保护为主，禁止在其沿岸进行各种形式的开发建设。</w:t>
      </w:r>
    </w:p>
    <w:p>
      <w:pPr>
        <w:spacing w:before="163" w:beforeLines="50"/>
        <w:ind w:firstLine="482"/>
        <w:rPr>
          <w:rFonts w:ascii="宋体" w:hAnsi="宋体"/>
        </w:rPr>
      </w:pPr>
      <w:r>
        <w:rPr>
          <w:rFonts w:cs="宋体"/>
          <w:b/>
        </w:rPr>
        <w:t>3</w:t>
      </w:r>
      <w:r>
        <w:rPr>
          <w:rFonts w:hint="eastAsia" w:cs="宋体"/>
          <w:b/>
        </w:rPr>
        <w:t>、水景水域保护</w:t>
      </w:r>
    </w:p>
    <w:p>
      <w:pPr>
        <w:spacing w:before="93"/>
        <w:ind w:firstLine="480"/>
        <w:rPr>
          <w:rFonts w:ascii="宋体" w:hAnsi="宋体"/>
        </w:rPr>
      </w:pPr>
      <w:r>
        <w:rPr>
          <w:rFonts w:hint="eastAsia" w:ascii="宋体" w:hAnsi="宋体"/>
        </w:rPr>
        <w:t>根据《浙江省水域保护办法》，重要水域实行特别保护，非基础设施建设项目一律不得占用重要水域，基础设施建设项目确需占用重要水域的，应当按照有关规定办理审批手续。</w:t>
      </w:r>
    </w:p>
    <w:p>
      <w:pPr>
        <w:spacing w:before="93"/>
        <w:ind w:firstLine="480"/>
        <w:rPr>
          <w:rFonts w:ascii="宋体" w:hAnsi="宋体"/>
        </w:rPr>
      </w:pPr>
      <w:r>
        <w:rPr>
          <w:rFonts w:hint="eastAsia" w:ascii="宋体" w:hAnsi="宋体"/>
        </w:rPr>
        <w:t>溪潭瀑布及其附近200米范围内严禁倾倒或堆放垃圾或废弃物。制止可能导致水体污染、破坏的活动和过度利用，</w:t>
      </w:r>
      <w:r>
        <w:rPr>
          <w:rFonts w:ascii="宋体" w:hAnsi="宋体"/>
        </w:rPr>
        <w:t>特别是飞云湖、</w:t>
      </w:r>
      <w:r>
        <w:rPr>
          <w:rFonts w:hint="eastAsia" w:ascii="宋体" w:hAnsi="宋体"/>
        </w:rPr>
        <w:t>天顶湖</w:t>
      </w:r>
      <w:r>
        <w:rPr>
          <w:rFonts w:ascii="宋体" w:hAnsi="宋体"/>
        </w:rPr>
        <w:t>等流域范围内的污染源要进行严格控制</w:t>
      </w:r>
      <w:r>
        <w:rPr>
          <w:rFonts w:hint="eastAsia" w:ascii="宋体" w:hAnsi="宋体"/>
        </w:rPr>
        <w:t>。实施环境动态监管，加强保护管理力度，</w:t>
      </w:r>
      <w:r>
        <w:rPr>
          <w:rFonts w:ascii="宋体" w:hAnsi="宋体"/>
        </w:rPr>
        <w:t>禁止新增排污口</w:t>
      </w:r>
      <w:r>
        <w:rPr>
          <w:rFonts w:hint="eastAsia" w:ascii="宋体" w:hAnsi="宋体"/>
        </w:rPr>
        <w:t>。尤其要加强对几处著名的瀑布（百丈</w:t>
      </w:r>
      <w:r>
        <w:rPr>
          <w:rFonts w:ascii="宋体" w:hAnsi="宋体"/>
        </w:rPr>
        <w:t>漈、</w:t>
      </w:r>
      <w:r>
        <w:rPr>
          <w:rFonts w:hint="eastAsia" w:ascii="宋体" w:hAnsi="宋体"/>
        </w:rPr>
        <w:t>三重漈、百折瀑、龙瀑、三潭三瀑）上游水源地的保护。对溪流、湖泊、碧潭、坑塘等各类水域须及时进行清理和疏浚，不得擅自、随意围、堵、塞或作其它改变。</w:t>
      </w:r>
    </w:p>
    <w:p>
      <w:pPr>
        <w:spacing w:before="93"/>
        <w:ind w:firstLine="480"/>
        <w:rPr>
          <w:rFonts w:ascii="宋体" w:hAnsi="宋体"/>
        </w:rPr>
      </w:pPr>
      <w:r>
        <w:rPr>
          <w:rFonts w:hint="eastAsia" w:ascii="宋体" w:hAnsi="宋体"/>
        </w:rPr>
        <w:t>区域生态涵养方面，保护、培育水源涵养林，提高林分质量，减少水土流失。加强对水景水域周边环境的绿化，开展自然修复和环境整治，恢复风景名胜区水景特色。近期重点加强对飞云</w:t>
      </w:r>
      <w:r>
        <w:rPr>
          <w:rFonts w:ascii="宋体" w:hAnsi="宋体"/>
        </w:rPr>
        <w:t>湖、天顶湖水域周边的植被恢复与景观营造，形成良好的水域水景</w:t>
      </w:r>
      <w:r>
        <w:rPr>
          <w:rFonts w:hint="eastAsia" w:ascii="宋体" w:hAnsi="宋体"/>
        </w:rPr>
        <w:t>。</w:t>
      </w:r>
    </w:p>
    <w:p>
      <w:pPr>
        <w:spacing w:before="93"/>
        <w:ind w:firstLine="480"/>
        <w:rPr>
          <w:rFonts w:ascii="宋体" w:hAnsi="宋体"/>
        </w:rPr>
      </w:pPr>
      <w:r>
        <w:rPr>
          <w:rFonts w:hint="eastAsia" w:ascii="宋体" w:hAnsi="宋体"/>
        </w:rPr>
        <w:t>严禁采用开挖、开凿、堆砌等形式随意改变溪岸和泉潭瀑周围的地形。严禁在瀑潭及其50米范围以内破坏植被或开凿岩壁等方式修建步游道以及其它人工设施。沿溪岸修建或拓宽规划确定的道路，不得占用河道减少河床宽度，对山坡造成的创伤面必须进行修复处理。严格保护风景河段和泉潭瀑及游览视线可及区域的风景环境，不得在风景石和溪潭上修建人工化设施。风景名胜区建设要按照相关法律法规要求保护水域空间，涉及占用水域的，按照《浙江省建设项目占用水域管理办法》相关规定处理。</w:t>
      </w:r>
    </w:p>
    <w:p>
      <w:pPr>
        <w:spacing w:before="163" w:beforeLines="50"/>
        <w:ind w:firstLine="482"/>
        <w:rPr>
          <w:rFonts w:ascii="宋体" w:hAnsi="宋体"/>
        </w:rPr>
      </w:pPr>
      <w:r>
        <w:rPr>
          <w:rFonts w:cs="宋体"/>
          <w:b/>
        </w:rPr>
        <w:t>4</w:t>
      </w:r>
      <w:r>
        <w:rPr>
          <w:rFonts w:hint="eastAsia" w:cs="宋体"/>
          <w:b/>
        </w:rPr>
        <w:t>、水利工程保护</w:t>
      </w:r>
    </w:p>
    <w:p>
      <w:pPr>
        <w:spacing w:before="93"/>
        <w:ind w:firstLine="480"/>
        <w:rPr>
          <w:rFonts w:ascii="Calibri" w:hAnsi="Calibri"/>
          <w:szCs w:val="22"/>
        </w:rPr>
      </w:pPr>
      <w:r>
        <w:rPr>
          <w:rFonts w:hint="eastAsia" w:ascii="Calibri" w:hAnsi="Calibri"/>
          <w:szCs w:val="22"/>
        </w:rPr>
        <w:t>在水利工程管理和保护范围内，必须遵循《水库大坝安全管理条例》《中华人民共和国河道管理条例》《浙江省水利工程安全管理条例》等有关法律法规，严禁在水利工程管理与保护范围内发生法律法规规定的禁止性行为。</w:t>
      </w:r>
    </w:p>
    <w:p>
      <w:pPr>
        <w:pStyle w:val="4"/>
        <w:spacing w:before="163"/>
        <w:ind w:firstLine="360"/>
      </w:pPr>
      <w:r>
        <w:rPr>
          <w:rFonts w:hint="eastAsia"/>
        </w:rPr>
        <w:t>（五）地质遗迹保护</w:t>
      </w:r>
    </w:p>
    <w:p>
      <w:pPr>
        <w:spacing w:before="93"/>
        <w:ind w:firstLine="480"/>
        <w:rPr>
          <w:rFonts w:ascii="宋体" w:hAnsi="宋体"/>
        </w:rPr>
      </w:pPr>
      <w:r>
        <w:rPr>
          <w:rFonts w:hint="eastAsia" w:ascii="宋体" w:hAnsi="宋体"/>
        </w:rPr>
        <w:t>风景区内山景、奇峰、洞府、石景一应俱全，其中山景有龙麒山、蝙蝠山、龟山、石圃山等，峡谷有岩门大峡谷等，石林石景有枫林石岭、擎天柱、将军岩、老鹰岩等，洞府有罗汉洞、风洞、红军洞等。</w:t>
      </w:r>
    </w:p>
    <w:p>
      <w:pPr>
        <w:spacing w:before="93"/>
        <w:ind w:firstLine="480"/>
        <w:rPr>
          <w:rFonts w:ascii="宋体" w:hAnsi="宋体"/>
        </w:rPr>
      </w:pPr>
      <w:r>
        <w:rPr>
          <w:rFonts w:hint="eastAsia" w:ascii="宋体" w:hAnsi="宋体"/>
        </w:rPr>
        <w:t>1、重点保护</w:t>
      </w:r>
      <w:r>
        <w:rPr>
          <w:rFonts w:ascii="宋体" w:hAnsi="宋体"/>
        </w:rPr>
        <w:t>地质断裂</w:t>
      </w:r>
      <w:r>
        <w:rPr>
          <w:rFonts w:hint="eastAsia" w:ascii="宋体" w:hAnsi="宋体"/>
        </w:rPr>
        <w:t xml:space="preserve">景观等具有独特性和唯一性的地质特征，保护代表主要地质演化历史阶段的突出模式的地质景观类型，并扩大和促进其相关研究。 </w:t>
      </w:r>
    </w:p>
    <w:p>
      <w:pPr>
        <w:spacing w:before="93"/>
        <w:ind w:firstLine="480"/>
        <w:rPr>
          <w:rFonts w:ascii="宋体" w:hAnsi="宋体"/>
        </w:rPr>
      </w:pPr>
      <w:r>
        <w:rPr>
          <w:rFonts w:hint="eastAsia" w:ascii="宋体" w:hAnsi="宋体"/>
        </w:rPr>
        <w:t>2、保护并培育植被环境，对现已存在并影响观览视线的创伤面实行植被绿化处理。对其周围的植被实施保育措施，维护良好的植被状况，禁止在坡度25度以上山地开垦，防止因水土流失而引起的山石崩塌、泥石流等地质灾害。</w:t>
      </w:r>
    </w:p>
    <w:p>
      <w:pPr>
        <w:spacing w:before="93"/>
        <w:ind w:firstLine="480"/>
        <w:rPr>
          <w:rFonts w:ascii="宋体" w:hAnsi="宋体"/>
        </w:rPr>
      </w:pPr>
      <w:r>
        <w:rPr>
          <w:rFonts w:hint="eastAsia" w:ascii="宋体" w:hAnsi="宋体"/>
        </w:rPr>
        <w:t>3、建设活动限制方面，保护峰谷奇石的地形地貌，严禁一切危及资源稳定、导致资源残损和消失的人为活动，不得破坏原有的视觉景观效果。保护各种地质遗迹的自然形态，不得随意开采、凿刻、涂抹。不得在峰谷、奇石上新建人工设施，原影响观览视线的建构筑物必须拆除。在峡谷两侧增设游览步道等设施应与地形地貌环境相协调，并经充分论证并按程序审批。各项建设工程必须加强地质勘探，避免在滑坡体、断裂带及易发生地质灾害的地段上建设。</w:t>
      </w:r>
    </w:p>
    <w:p>
      <w:pPr>
        <w:spacing w:before="93"/>
        <w:ind w:firstLine="480"/>
        <w:rPr>
          <w:rFonts w:ascii="宋体" w:hAnsi="宋体"/>
        </w:rPr>
      </w:pPr>
      <w:r>
        <w:rPr>
          <w:rFonts w:hint="eastAsia" w:ascii="宋体" w:hAnsi="宋体"/>
        </w:rPr>
        <w:t>4、管理方面，实行挂牌保护，标明地质遗迹的类型、形成年代、成因、价值、保护等级等。对景区内地质遗迹进行普查，建立确认、评级、备案和档案制度，实行动态管理。制定相应的管理措施和生态修复规划，对部分遭到破坏的山体、岩石要必须给予科学合理的人为保护和处理（局部修建形式自然的挡土墙或护栏、人工覆以植被、实施基础加固支撑、划定隔离带），防止山体滑坡和水土流失。实行划界保护，维护地质结构周边环境的完整，在保护区周边形成缓冲过渡林带。</w:t>
      </w:r>
    </w:p>
    <w:p>
      <w:pPr>
        <w:pStyle w:val="4"/>
        <w:spacing w:before="163"/>
        <w:ind w:firstLine="360"/>
        <w:rPr>
          <w:rFonts w:ascii="Calibri" w:hAnsi="Calibri"/>
          <w:b/>
          <w:szCs w:val="32"/>
        </w:rPr>
      </w:pPr>
      <w:r>
        <w:rPr>
          <w:rFonts w:hint="eastAsia"/>
        </w:rPr>
        <w:t>（六）文物古迹保护</w:t>
      </w:r>
    </w:p>
    <w:p>
      <w:pPr>
        <w:spacing w:before="163" w:beforeLines="50" w:line="520" w:lineRule="exact"/>
        <w:ind w:firstLine="482"/>
        <w:rPr>
          <w:rFonts w:ascii="宋体" w:hAnsi="宋体"/>
          <w:b/>
          <w:szCs w:val="21"/>
        </w:rPr>
      </w:pPr>
      <w:r>
        <w:rPr>
          <w:rFonts w:hint="eastAsia" w:ascii="宋体" w:hAnsi="宋体"/>
          <w:b/>
          <w:szCs w:val="21"/>
        </w:rPr>
        <w:t>1、历史文化名村/传统村落</w:t>
      </w:r>
    </w:p>
    <w:p>
      <w:pPr>
        <w:spacing w:before="163" w:beforeLines="50" w:line="520" w:lineRule="exact"/>
        <w:ind w:firstLine="480"/>
        <w:rPr>
          <w:rFonts w:ascii="宋体" w:hAnsi="宋体"/>
          <w:szCs w:val="21"/>
        </w:rPr>
      </w:pPr>
      <w:r>
        <w:rPr>
          <w:rFonts w:hint="eastAsia" w:ascii="宋体" w:hAnsi="宋体"/>
          <w:szCs w:val="21"/>
        </w:rPr>
        <w:t>风景区内有1处省级历史文化名村，为南田镇武阳村；有</w:t>
      </w:r>
      <w:r>
        <w:rPr>
          <w:rFonts w:ascii="宋体" w:hAnsi="宋体"/>
          <w:szCs w:val="21"/>
        </w:rPr>
        <w:t>3</w:t>
      </w:r>
      <w:r>
        <w:rPr>
          <w:rFonts w:hint="eastAsia" w:ascii="宋体" w:hAnsi="宋体"/>
          <w:szCs w:val="21"/>
        </w:rPr>
        <w:t>处传统村落，其中国家级1处，为珊溪镇朱川村，省级</w:t>
      </w:r>
      <w:r>
        <w:rPr>
          <w:rFonts w:ascii="宋体" w:hAnsi="宋体"/>
          <w:szCs w:val="21"/>
        </w:rPr>
        <w:t>2</w:t>
      </w:r>
      <w:r>
        <w:rPr>
          <w:rFonts w:hint="eastAsia" w:ascii="宋体" w:hAnsi="宋体"/>
          <w:szCs w:val="21"/>
        </w:rPr>
        <w:t>处，为南田镇武阳村及铜铃山镇下庄村。历史文化名村需严格遵循《历史文化名城名镇名村保护条例》《浙江省历史文化名城名镇名村保护条例》等相关法律法规的保护管理要求，依法划定核心保护范围及建设控制地带。</w:t>
      </w:r>
    </w:p>
    <w:p>
      <w:pPr>
        <w:spacing w:before="163" w:beforeLines="50" w:after="240" w:line="520" w:lineRule="exact"/>
        <w:ind w:firstLine="482"/>
        <w:rPr>
          <w:rFonts w:ascii="宋体" w:hAnsi="宋体"/>
          <w:b/>
          <w:szCs w:val="21"/>
        </w:rPr>
      </w:pPr>
      <w:r>
        <w:rPr>
          <w:rFonts w:hint="eastAsia" w:ascii="宋体" w:hAnsi="宋体"/>
          <w:b/>
          <w:szCs w:val="21"/>
        </w:rPr>
        <w:t>2、文物保护单位</w:t>
      </w:r>
    </w:p>
    <w:p>
      <w:pPr>
        <w:spacing w:before="163" w:beforeLines="50"/>
        <w:ind w:firstLine="480"/>
        <w:contextualSpacing/>
        <w:rPr>
          <w:rFonts w:ascii="宋体" w:hAnsi="宋体"/>
          <w:szCs w:val="21"/>
        </w:rPr>
      </w:pPr>
      <w:r>
        <w:rPr>
          <w:rFonts w:hint="eastAsia" w:ascii="宋体" w:hAnsi="宋体"/>
          <w:szCs w:val="21"/>
        </w:rPr>
        <w:t>风景名胜区范围内共涉及11处文物保护单位。其中，省级文物保护单位</w:t>
      </w:r>
      <w:r>
        <w:rPr>
          <w:rFonts w:ascii="宋体" w:hAnsi="宋体"/>
          <w:szCs w:val="21"/>
        </w:rPr>
        <w:t>1处</w:t>
      </w:r>
      <w:r>
        <w:rPr>
          <w:rFonts w:hint="eastAsia" w:ascii="宋体" w:hAnsi="宋体"/>
          <w:szCs w:val="21"/>
        </w:rPr>
        <w:t>，为大会岭古道、道岭古道；县级文物保护单位</w:t>
      </w:r>
      <w:r>
        <w:rPr>
          <w:rFonts w:ascii="宋体" w:hAnsi="宋体"/>
          <w:szCs w:val="21"/>
        </w:rPr>
        <w:t>10</w:t>
      </w:r>
      <w:r>
        <w:rPr>
          <w:rFonts w:hint="eastAsia" w:ascii="宋体" w:hAnsi="宋体"/>
          <w:szCs w:val="21"/>
        </w:rPr>
        <w:t>处，包括刘基故里（刘基故里碑、</w:t>
      </w:r>
      <w:r>
        <w:rPr>
          <w:rFonts w:hint="eastAsia"/>
        </w:rPr>
        <w:t>施茶亭</w:t>
      </w:r>
      <w:r>
        <w:rPr>
          <w:rFonts w:hint="eastAsia" w:ascii="宋体" w:hAnsi="宋体"/>
          <w:szCs w:val="21"/>
        </w:rPr>
        <w:t>）、武阳岭根岭古道、刘庭槐（刘基祖父）墓、刘集（刘基高祖）墓、刘琏（刘基长子）墓、周攀龙墓、明星寺、雅庄古民居、金山节孝坊（节孝石牌坊）、夏时光墓道坊。（见表2</w:t>
      </w:r>
      <w:r>
        <w:rPr>
          <w:rFonts w:ascii="宋体" w:hAnsi="宋体"/>
          <w:szCs w:val="21"/>
        </w:rPr>
        <w:t>-5</w:t>
      </w:r>
      <w:r>
        <w:rPr>
          <w:rFonts w:hint="eastAsia" w:ascii="宋体" w:hAnsi="宋体"/>
          <w:szCs w:val="21"/>
        </w:rPr>
        <w:t>、附图7）</w:t>
      </w:r>
    </w:p>
    <w:p>
      <w:pPr>
        <w:spacing w:before="163" w:beforeLines="50"/>
        <w:ind w:firstLine="480"/>
        <w:contextualSpacing/>
        <w:rPr>
          <w:rFonts w:ascii="宋体" w:hAnsi="宋体"/>
          <w:szCs w:val="21"/>
        </w:rPr>
      </w:pPr>
      <w:r>
        <w:rPr>
          <w:rFonts w:hint="eastAsia" w:ascii="宋体" w:hAnsi="宋体"/>
          <w:szCs w:val="21"/>
        </w:rPr>
        <w:t>文物保护单位保护应按照《中华人民共和国文物保护法》《浙江省文物保护管理条例》等法律法规要求严格执行，切实严格保护文物本体及环境风貌的完整性与真实性。文物保护单位的保护范围及建设控制地带内，不得建设污染文物保护单位及其环境的设施，不得进行可能影响文物保护单位安全及其环境的活动。</w:t>
      </w:r>
    </w:p>
    <w:p>
      <w:pPr>
        <w:spacing w:before="163" w:beforeLines="50"/>
        <w:ind w:firstLine="0" w:firstLineChars="0"/>
        <w:contextualSpacing/>
        <w:rPr>
          <w:rFonts w:ascii="宋体" w:hAnsi="宋体"/>
          <w:b/>
          <w:szCs w:val="21"/>
        </w:rPr>
      </w:pPr>
      <w:r>
        <w:rPr>
          <w:rFonts w:hint="eastAsia" w:ascii="宋体" w:hAnsi="宋体"/>
          <w:szCs w:val="21"/>
        </w:rPr>
        <w:t>加强文物周围自然生态环境的保护，避免因自然生态环境的破坏危及文物。</w:t>
      </w:r>
    </w:p>
    <w:p>
      <w:pPr>
        <w:spacing w:before="163" w:beforeLines="50"/>
        <w:ind w:firstLine="422"/>
        <w:contextualSpacing/>
        <w:jc w:val="center"/>
        <w:rPr>
          <w:rFonts w:ascii="宋体" w:hAnsi="宋体"/>
          <w:b/>
          <w:szCs w:val="21"/>
        </w:rPr>
      </w:pPr>
      <w:r>
        <w:rPr>
          <w:rFonts w:hint="eastAsia" w:ascii="宋体" w:hAnsi="宋体"/>
          <w:b/>
          <w:sz w:val="21"/>
          <w:szCs w:val="21"/>
        </w:rPr>
        <w:t>表</w:t>
      </w:r>
      <w:r>
        <w:rPr>
          <w:rFonts w:ascii="宋体" w:hAnsi="宋体"/>
          <w:b/>
          <w:sz w:val="21"/>
          <w:szCs w:val="21"/>
        </w:rPr>
        <w:t xml:space="preserve">2-5 </w:t>
      </w:r>
      <w:r>
        <w:rPr>
          <w:rFonts w:hint="eastAsia" w:ascii="宋体" w:hAnsi="宋体"/>
          <w:b/>
          <w:sz w:val="21"/>
          <w:szCs w:val="21"/>
        </w:rPr>
        <w:t>文物保护单位名录</w:t>
      </w:r>
    </w:p>
    <w:tbl>
      <w:tblPr>
        <w:tblStyle w:val="225"/>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1158"/>
        <w:gridCol w:w="2786"/>
        <w:gridCol w:w="608"/>
        <w:gridCol w:w="1038"/>
        <w:gridCol w:w="1375"/>
        <w:gridCol w:w="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7" w:type="dxa"/>
            <w:shd w:val="clear" w:color="auto" w:fill="E2E2E2"/>
            <w:vAlign w:val="center"/>
          </w:tcPr>
          <w:p>
            <w:pPr>
              <w:spacing w:line="240" w:lineRule="auto"/>
              <w:ind w:firstLine="0" w:firstLineChars="0"/>
              <w:jc w:val="center"/>
              <w:rPr>
                <w:b/>
                <w:sz w:val="18"/>
                <w:szCs w:val="18"/>
              </w:rPr>
            </w:pPr>
            <w:r>
              <w:rPr>
                <w:rFonts w:hint="eastAsia"/>
                <w:b/>
                <w:sz w:val="18"/>
                <w:szCs w:val="18"/>
              </w:rPr>
              <w:t>序号</w:t>
            </w:r>
          </w:p>
        </w:tc>
        <w:tc>
          <w:tcPr>
            <w:tcW w:w="1158" w:type="dxa"/>
            <w:shd w:val="clear" w:color="auto" w:fill="E2E2E2"/>
            <w:vAlign w:val="center"/>
          </w:tcPr>
          <w:p>
            <w:pPr>
              <w:spacing w:line="240" w:lineRule="auto"/>
              <w:ind w:firstLine="0" w:firstLineChars="0"/>
              <w:jc w:val="center"/>
              <w:rPr>
                <w:b/>
                <w:sz w:val="18"/>
                <w:szCs w:val="18"/>
              </w:rPr>
            </w:pPr>
            <w:r>
              <w:rPr>
                <w:rFonts w:hint="eastAsia"/>
                <w:b/>
                <w:sz w:val="18"/>
                <w:szCs w:val="18"/>
              </w:rPr>
              <w:t>名称</w:t>
            </w:r>
          </w:p>
        </w:tc>
        <w:tc>
          <w:tcPr>
            <w:tcW w:w="2786" w:type="dxa"/>
            <w:shd w:val="clear" w:color="auto" w:fill="E2E2E2"/>
            <w:vAlign w:val="center"/>
          </w:tcPr>
          <w:p>
            <w:pPr>
              <w:spacing w:line="240" w:lineRule="auto"/>
              <w:ind w:firstLine="0" w:firstLineChars="0"/>
              <w:jc w:val="center"/>
              <w:rPr>
                <w:b/>
                <w:sz w:val="18"/>
                <w:szCs w:val="18"/>
              </w:rPr>
            </w:pPr>
            <w:r>
              <w:rPr>
                <w:rFonts w:hint="eastAsia"/>
                <w:b/>
                <w:sz w:val="18"/>
                <w:szCs w:val="18"/>
              </w:rPr>
              <w:t>位置</w:t>
            </w:r>
          </w:p>
        </w:tc>
        <w:tc>
          <w:tcPr>
            <w:tcW w:w="608" w:type="dxa"/>
            <w:shd w:val="clear" w:color="auto" w:fill="E2E2E2"/>
            <w:vAlign w:val="center"/>
          </w:tcPr>
          <w:p>
            <w:pPr>
              <w:spacing w:line="240" w:lineRule="auto"/>
              <w:ind w:firstLine="0" w:firstLineChars="0"/>
              <w:jc w:val="center"/>
              <w:rPr>
                <w:b/>
                <w:sz w:val="18"/>
                <w:szCs w:val="18"/>
              </w:rPr>
            </w:pPr>
            <w:r>
              <w:rPr>
                <w:rFonts w:hint="eastAsia"/>
                <w:b/>
                <w:sz w:val="18"/>
                <w:szCs w:val="18"/>
              </w:rPr>
              <w:t>级别</w:t>
            </w:r>
          </w:p>
        </w:tc>
        <w:tc>
          <w:tcPr>
            <w:tcW w:w="1038" w:type="dxa"/>
            <w:shd w:val="clear" w:color="auto" w:fill="E2E2E2"/>
            <w:vAlign w:val="center"/>
          </w:tcPr>
          <w:p>
            <w:pPr>
              <w:spacing w:line="240" w:lineRule="auto"/>
              <w:ind w:firstLine="0" w:firstLineChars="0"/>
              <w:jc w:val="center"/>
              <w:rPr>
                <w:b/>
                <w:sz w:val="18"/>
                <w:szCs w:val="18"/>
              </w:rPr>
            </w:pPr>
            <w:r>
              <w:rPr>
                <w:rFonts w:hint="eastAsia"/>
                <w:b/>
                <w:sz w:val="18"/>
                <w:szCs w:val="18"/>
              </w:rPr>
              <w:t>公布时间</w:t>
            </w:r>
          </w:p>
        </w:tc>
        <w:tc>
          <w:tcPr>
            <w:tcW w:w="1375" w:type="dxa"/>
            <w:shd w:val="clear" w:color="auto" w:fill="E2E2E2"/>
            <w:vAlign w:val="center"/>
          </w:tcPr>
          <w:p>
            <w:pPr>
              <w:spacing w:line="240" w:lineRule="auto"/>
              <w:ind w:firstLine="0" w:firstLineChars="0"/>
              <w:jc w:val="center"/>
              <w:rPr>
                <w:b/>
                <w:sz w:val="18"/>
                <w:szCs w:val="18"/>
              </w:rPr>
            </w:pPr>
            <w:r>
              <w:rPr>
                <w:rFonts w:hint="eastAsia"/>
                <w:b/>
                <w:sz w:val="18"/>
                <w:szCs w:val="18"/>
              </w:rPr>
              <w:t>批次</w:t>
            </w:r>
          </w:p>
        </w:tc>
        <w:tc>
          <w:tcPr>
            <w:tcW w:w="744" w:type="dxa"/>
            <w:shd w:val="clear" w:color="auto" w:fill="E2E2E2"/>
            <w:vAlign w:val="center"/>
          </w:tcPr>
          <w:p>
            <w:pPr>
              <w:spacing w:line="240" w:lineRule="auto"/>
              <w:ind w:firstLine="0" w:firstLineChars="0"/>
              <w:jc w:val="center"/>
              <w:rPr>
                <w:b/>
                <w:sz w:val="18"/>
                <w:szCs w:val="18"/>
              </w:rPr>
            </w:pPr>
            <w:r>
              <w:rPr>
                <w:rFonts w:hint="eastAsia"/>
                <w:b/>
                <w:sz w:val="18"/>
                <w:szCs w:val="18"/>
              </w:rPr>
              <w:t>时代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87" w:type="dxa"/>
            <w:vAlign w:val="center"/>
          </w:tcPr>
          <w:p>
            <w:pPr>
              <w:spacing w:before="163" w:beforeLines="50" w:line="240" w:lineRule="auto"/>
              <w:ind w:firstLine="0" w:firstLineChars="0"/>
              <w:contextualSpacing/>
              <w:rPr>
                <w:rFonts w:ascii="宋体" w:hAnsi="宋体"/>
                <w:sz w:val="18"/>
                <w:szCs w:val="18"/>
              </w:rPr>
            </w:pPr>
            <w:r>
              <w:rPr>
                <w:rFonts w:hint="eastAsia" w:ascii="宋体" w:hAnsi="宋体"/>
                <w:sz w:val="18"/>
                <w:szCs w:val="18"/>
              </w:rPr>
              <w:t>1</w:t>
            </w:r>
          </w:p>
        </w:tc>
        <w:tc>
          <w:tcPr>
            <w:tcW w:w="1158" w:type="dxa"/>
            <w:vAlign w:val="center"/>
          </w:tcPr>
          <w:p>
            <w:pPr>
              <w:spacing w:before="163" w:beforeLines="50" w:line="240" w:lineRule="auto"/>
              <w:ind w:firstLine="0" w:firstLineChars="0"/>
              <w:contextualSpacing/>
              <w:rPr>
                <w:rFonts w:ascii="Calibri" w:hAnsi="Calibri"/>
                <w:sz w:val="18"/>
                <w:szCs w:val="18"/>
              </w:rPr>
            </w:pPr>
            <w:r>
              <w:rPr>
                <w:rFonts w:hint="eastAsia" w:ascii="Calibri" w:hAnsi="Calibri"/>
                <w:sz w:val="18"/>
                <w:szCs w:val="18"/>
              </w:rPr>
              <w:t>大会岭、道岭古道</w:t>
            </w:r>
          </w:p>
          <w:p>
            <w:pPr>
              <w:spacing w:line="240" w:lineRule="auto"/>
              <w:ind w:firstLine="0" w:firstLineChars="0"/>
              <w:rPr>
                <w:rFonts w:ascii="Calibri" w:hAnsi="Calibri"/>
                <w:sz w:val="18"/>
                <w:szCs w:val="18"/>
              </w:rPr>
            </w:pPr>
          </w:p>
        </w:tc>
        <w:tc>
          <w:tcPr>
            <w:tcW w:w="2786" w:type="dxa"/>
            <w:vAlign w:val="center"/>
          </w:tcPr>
          <w:p>
            <w:pPr>
              <w:spacing w:line="240" w:lineRule="auto"/>
              <w:ind w:firstLine="0" w:firstLineChars="0"/>
              <w:rPr>
                <w:rFonts w:ascii="Calibri" w:hAnsi="Calibri"/>
                <w:sz w:val="18"/>
                <w:szCs w:val="18"/>
              </w:rPr>
            </w:pPr>
            <w:r>
              <w:rPr>
                <w:rFonts w:hint="eastAsia" w:ascii="Calibri" w:hAnsi="Calibri"/>
                <w:sz w:val="18"/>
                <w:szCs w:val="18"/>
              </w:rPr>
              <w:t>大会岭古道位于大峃镇岭脚村至百丈漈镇富垟村岭头自然村</w:t>
            </w:r>
          </w:p>
          <w:p>
            <w:pPr>
              <w:spacing w:line="240" w:lineRule="auto"/>
              <w:ind w:firstLine="0" w:firstLineChars="0"/>
              <w:rPr>
                <w:rFonts w:ascii="Calibri" w:hAnsi="Calibri"/>
                <w:sz w:val="18"/>
                <w:szCs w:val="18"/>
              </w:rPr>
            </w:pPr>
            <w:r>
              <w:rPr>
                <w:rFonts w:hint="eastAsia" w:ascii="Calibri" w:hAnsi="Calibri"/>
                <w:sz w:val="18"/>
                <w:szCs w:val="18"/>
              </w:rPr>
              <w:t>道岭古道位于大峃镇吴垟村岭脚至二源镇呈岭村岭头</w:t>
            </w:r>
          </w:p>
        </w:tc>
        <w:tc>
          <w:tcPr>
            <w:tcW w:w="608" w:type="dxa"/>
            <w:vAlign w:val="center"/>
          </w:tcPr>
          <w:p>
            <w:pPr>
              <w:spacing w:line="240" w:lineRule="auto"/>
              <w:ind w:firstLine="0" w:firstLineChars="0"/>
              <w:rPr>
                <w:sz w:val="18"/>
                <w:szCs w:val="18"/>
              </w:rPr>
            </w:pPr>
            <w:r>
              <w:rPr>
                <w:rFonts w:hint="eastAsia"/>
                <w:sz w:val="18"/>
                <w:szCs w:val="18"/>
              </w:rPr>
              <w:t>省级</w:t>
            </w:r>
          </w:p>
        </w:tc>
        <w:tc>
          <w:tcPr>
            <w:tcW w:w="1038" w:type="dxa"/>
            <w:vAlign w:val="center"/>
          </w:tcPr>
          <w:p>
            <w:pPr>
              <w:spacing w:line="240" w:lineRule="auto"/>
              <w:ind w:firstLine="0" w:firstLineChars="0"/>
              <w:rPr>
                <w:rFonts w:ascii="宋体" w:hAnsi="宋体"/>
                <w:sz w:val="18"/>
                <w:szCs w:val="18"/>
              </w:rPr>
            </w:pPr>
            <w:r>
              <w:rPr>
                <w:rFonts w:hint="eastAsia" w:ascii="宋体" w:hAnsi="宋体"/>
                <w:sz w:val="18"/>
                <w:szCs w:val="18"/>
              </w:rPr>
              <w:t>2</w:t>
            </w:r>
            <w:r>
              <w:rPr>
                <w:rFonts w:ascii="宋体" w:hAnsi="宋体"/>
                <w:sz w:val="18"/>
                <w:szCs w:val="18"/>
              </w:rPr>
              <w:t>011</w:t>
            </w:r>
            <w:r>
              <w:rPr>
                <w:rFonts w:hint="eastAsia" w:ascii="宋体" w:hAnsi="宋体"/>
                <w:sz w:val="18"/>
                <w:szCs w:val="18"/>
              </w:rPr>
              <w:t>年</w:t>
            </w:r>
          </w:p>
        </w:tc>
        <w:tc>
          <w:tcPr>
            <w:tcW w:w="1375" w:type="dxa"/>
            <w:vAlign w:val="center"/>
          </w:tcPr>
          <w:p>
            <w:pPr>
              <w:spacing w:line="240" w:lineRule="auto"/>
              <w:ind w:firstLine="0" w:firstLineChars="0"/>
              <w:rPr>
                <w:rFonts w:ascii="宋体" w:hAnsi="宋体"/>
                <w:sz w:val="18"/>
                <w:szCs w:val="18"/>
              </w:rPr>
            </w:pPr>
            <w:r>
              <w:rPr>
                <w:rFonts w:hint="eastAsia" w:ascii="宋体" w:hAnsi="宋体"/>
                <w:sz w:val="18"/>
                <w:szCs w:val="18"/>
              </w:rPr>
              <w:t>浙江省第六批</w:t>
            </w:r>
          </w:p>
        </w:tc>
        <w:tc>
          <w:tcPr>
            <w:tcW w:w="744" w:type="dxa"/>
            <w:vAlign w:val="center"/>
          </w:tcPr>
          <w:p>
            <w:pPr>
              <w:spacing w:line="240" w:lineRule="auto"/>
              <w:ind w:firstLine="0" w:firstLineChars="0"/>
              <w:rPr>
                <w:sz w:val="18"/>
                <w:szCs w:val="18"/>
              </w:rPr>
            </w:pPr>
            <w:r>
              <w:rPr>
                <w:rFonts w:hint="eastAsia"/>
                <w:sz w:val="18"/>
                <w:szCs w:val="18"/>
              </w:rPr>
              <w:t>元至民国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7" w:type="dxa"/>
            <w:vAlign w:val="center"/>
          </w:tcPr>
          <w:p>
            <w:pPr>
              <w:spacing w:line="240" w:lineRule="auto"/>
              <w:ind w:firstLine="0" w:firstLineChars="0"/>
              <w:rPr>
                <w:sz w:val="18"/>
                <w:szCs w:val="18"/>
              </w:rPr>
            </w:pPr>
            <w:r>
              <w:rPr>
                <w:rFonts w:hint="eastAsia"/>
                <w:sz w:val="18"/>
                <w:szCs w:val="18"/>
              </w:rPr>
              <w:t>2</w:t>
            </w:r>
          </w:p>
        </w:tc>
        <w:tc>
          <w:tcPr>
            <w:tcW w:w="1158" w:type="dxa"/>
            <w:vAlign w:val="center"/>
          </w:tcPr>
          <w:p>
            <w:pPr>
              <w:spacing w:line="240" w:lineRule="auto"/>
              <w:ind w:firstLine="0" w:firstLineChars="0"/>
              <w:rPr>
                <w:rFonts w:ascii="Calibri" w:hAnsi="Calibri"/>
                <w:sz w:val="18"/>
                <w:szCs w:val="18"/>
              </w:rPr>
            </w:pPr>
            <w:r>
              <w:rPr>
                <w:rFonts w:hint="eastAsia" w:ascii="Calibri" w:hAnsi="Calibri"/>
                <w:sz w:val="18"/>
                <w:szCs w:val="18"/>
              </w:rPr>
              <w:t>刘基故里</w:t>
            </w:r>
          </w:p>
        </w:tc>
        <w:tc>
          <w:tcPr>
            <w:tcW w:w="2786" w:type="dxa"/>
            <w:vAlign w:val="center"/>
          </w:tcPr>
          <w:p>
            <w:pPr>
              <w:spacing w:line="240" w:lineRule="auto"/>
              <w:ind w:firstLine="0" w:firstLineChars="0"/>
              <w:rPr>
                <w:rFonts w:ascii="Calibri" w:hAnsi="Calibri"/>
                <w:sz w:val="18"/>
                <w:szCs w:val="18"/>
              </w:rPr>
            </w:pPr>
            <w:r>
              <w:rPr>
                <w:rFonts w:hint="eastAsia" w:ascii="Calibri" w:hAnsi="Calibri"/>
                <w:sz w:val="18"/>
                <w:szCs w:val="18"/>
              </w:rPr>
              <w:t>南田镇武阳村</w:t>
            </w:r>
          </w:p>
        </w:tc>
        <w:tc>
          <w:tcPr>
            <w:tcW w:w="608" w:type="dxa"/>
            <w:vAlign w:val="center"/>
          </w:tcPr>
          <w:p>
            <w:pPr>
              <w:spacing w:line="240" w:lineRule="auto"/>
              <w:ind w:firstLine="0" w:firstLineChars="0"/>
              <w:rPr>
                <w:sz w:val="18"/>
                <w:szCs w:val="18"/>
              </w:rPr>
            </w:pPr>
            <w:r>
              <w:rPr>
                <w:rFonts w:hint="eastAsia"/>
                <w:sz w:val="18"/>
                <w:szCs w:val="18"/>
              </w:rPr>
              <w:t>县级</w:t>
            </w:r>
          </w:p>
        </w:tc>
        <w:tc>
          <w:tcPr>
            <w:tcW w:w="1038" w:type="dxa"/>
            <w:vAlign w:val="center"/>
          </w:tcPr>
          <w:p>
            <w:pPr>
              <w:spacing w:line="240" w:lineRule="auto"/>
              <w:ind w:firstLine="0" w:firstLineChars="0"/>
              <w:rPr>
                <w:sz w:val="18"/>
                <w:szCs w:val="18"/>
              </w:rPr>
            </w:pPr>
            <w:r>
              <w:rPr>
                <w:rFonts w:hint="eastAsia"/>
                <w:sz w:val="18"/>
                <w:szCs w:val="18"/>
              </w:rPr>
              <w:t>1</w:t>
            </w:r>
            <w:r>
              <w:rPr>
                <w:sz w:val="18"/>
                <w:szCs w:val="18"/>
              </w:rPr>
              <w:t>987</w:t>
            </w:r>
            <w:r>
              <w:rPr>
                <w:rFonts w:hint="eastAsia"/>
                <w:sz w:val="18"/>
                <w:szCs w:val="18"/>
              </w:rPr>
              <w:t>年</w:t>
            </w:r>
          </w:p>
        </w:tc>
        <w:tc>
          <w:tcPr>
            <w:tcW w:w="1375" w:type="dxa"/>
            <w:vAlign w:val="center"/>
          </w:tcPr>
          <w:p>
            <w:pPr>
              <w:spacing w:line="240" w:lineRule="auto"/>
              <w:ind w:firstLine="0" w:firstLineChars="0"/>
              <w:rPr>
                <w:sz w:val="18"/>
                <w:szCs w:val="18"/>
              </w:rPr>
            </w:pPr>
            <w:r>
              <w:rPr>
                <w:rFonts w:hint="eastAsia"/>
                <w:sz w:val="18"/>
                <w:szCs w:val="18"/>
              </w:rPr>
              <w:t>文成县第三批</w:t>
            </w:r>
          </w:p>
        </w:tc>
        <w:tc>
          <w:tcPr>
            <w:tcW w:w="744" w:type="dxa"/>
            <w:vAlign w:val="center"/>
          </w:tcPr>
          <w:p>
            <w:pPr>
              <w:spacing w:line="240" w:lineRule="auto"/>
              <w:ind w:firstLine="0" w:firstLineChars="0"/>
              <w:rPr>
                <w:sz w:val="18"/>
                <w:szCs w:val="18"/>
              </w:rPr>
            </w:pPr>
            <w:r>
              <w:rPr>
                <w:rFonts w:hint="eastAsia"/>
                <w:sz w:val="18"/>
                <w:szCs w:val="18"/>
              </w:rPr>
              <w:t>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7" w:type="dxa"/>
            <w:vAlign w:val="center"/>
          </w:tcPr>
          <w:p>
            <w:pPr>
              <w:spacing w:line="240" w:lineRule="auto"/>
              <w:ind w:firstLine="0" w:firstLineChars="0"/>
              <w:rPr>
                <w:rFonts w:ascii="宋体" w:hAnsi="宋体"/>
                <w:sz w:val="18"/>
                <w:szCs w:val="18"/>
              </w:rPr>
            </w:pPr>
            <w:r>
              <w:rPr>
                <w:rFonts w:hint="eastAsia" w:ascii="宋体" w:hAnsi="宋体"/>
                <w:sz w:val="18"/>
                <w:szCs w:val="18"/>
              </w:rPr>
              <w:t>3</w:t>
            </w:r>
          </w:p>
        </w:tc>
        <w:tc>
          <w:tcPr>
            <w:tcW w:w="1158" w:type="dxa"/>
            <w:vAlign w:val="center"/>
          </w:tcPr>
          <w:p>
            <w:pPr>
              <w:spacing w:line="240" w:lineRule="auto"/>
              <w:ind w:firstLine="0" w:firstLineChars="0"/>
              <w:rPr>
                <w:rFonts w:ascii="Calibri" w:hAnsi="Calibri"/>
                <w:sz w:val="18"/>
                <w:szCs w:val="18"/>
              </w:rPr>
            </w:pPr>
            <w:r>
              <w:rPr>
                <w:rFonts w:hint="eastAsia" w:ascii="Calibri" w:hAnsi="Calibri"/>
                <w:sz w:val="18"/>
                <w:szCs w:val="18"/>
              </w:rPr>
              <w:t>武阳岭根岭古道</w:t>
            </w:r>
          </w:p>
        </w:tc>
        <w:tc>
          <w:tcPr>
            <w:tcW w:w="2786" w:type="dxa"/>
            <w:vAlign w:val="center"/>
          </w:tcPr>
          <w:p>
            <w:pPr>
              <w:spacing w:line="240" w:lineRule="auto"/>
              <w:ind w:firstLine="0" w:firstLineChars="0"/>
              <w:rPr>
                <w:rFonts w:ascii="Calibri" w:hAnsi="Calibri"/>
                <w:sz w:val="18"/>
                <w:szCs w:val="18"/>
              </w:rPr>
            </w:pPr>
            <w:r>
              <w:rPr>
                <w:rFonts w:hint="eastAsia" w:ascii="Calibri" w:hAnsi="Calibri"/>
                <w:sz w:val="18"/>
                <w:szCs w:val="18"/>
              </w:rPr>
              <w:t>南田镇武阳村至青田县岭根乡岭根村滩坑水库南岸埠头</w:t>
            </w:r>
          </w:p>
        </w:tc>
        <w:tc>
          <w:tcPr>
            <w:tcW w:w="608" w:type="dxa"/>
            <w:vAlign w:val="center"/>
          </w:tcPr>
          <w:p>
            <w:pPr>
              <w:spacing w:line="240" w:lineRule="auto"/>
              <w:ind w:firstLine="0" w:firstLineChars="0"/>
              <w:rPr>
                <w:sz w:val="18"/>
                <w:szCs w:val="18"/>
              </w:rPr>
            </w:pPr>
            <w:r>
              <w:rPr>
                <w:rFonts w:hint="eastAsia"/>
                <w:sz w:val="18"/>
                <w:szCs w:val="18"/>
              </w:rPr>
              <w:t>县级</w:t>
            </w:r>
          </w:p>
        </w:tc>
        <w:tc>
          <w:tcPr>
            <w:tcW w:w="1038" w:type="dxa"/>
            <w:vAlign w:val="center"/>
          </w:tcPr>
          <w:p>
            <w:pPr>
              <w:spacing w:line="240" w:lineRule="auto"/>
              <w:ind w:firstLine="0" w:firstLineChars="0"/>
              <w:rPr>
                <w:rFonts w:ascii="宋体" w:hAnsi="宋体"/>
                <w:sz w:val="18"/>
                <w:szCs w:val="18"/>
              </w:rPr>
            </w:pPr>
            <w:r>
              <w:rPr>
                <w:rFonts w:hint="eastAsia" w:ascii="宋体" w:hAnsi="宋体"/>
                <w:sz w:val="18"/>
                <w:szCs w:val="18"/>
              </w:rPr>
              <w:t>2</w:t>
            </w:r>
            <w:r>
              <w:rPr>
                <w:rFonts w:ascii="宋体" w:hAnsi="宋体"/>
                <w:sz w:val="18"/>
                <w:szCs w:val="18"/>
              </w:rPr>
              <w:t>009</w:t>
            </w:r>
            <w:r>
              <w:rPr>
                <w:rFonts w:hint="eastAsia" w:ascii="宋体" w:hAnsi="宋体"/>
                <w:sz w:val="18"/>
                <w:szCs w:val="18"/>
              </w:rPr>
              <w:t>年</w:t>
            </w:r>
          </w:p>
        </w:tc>
        <w:tc>
          <w:tcPr>
            <w:tcW w:w="1375" w:type="dxa"/>
            <w:vAlign w:val="center"/>
          </w:tcPr>
          <w:p>
            <w:pPr>
              <w:spacing w:line="240" w:lineRule="auto"/>
              <w:ind w:firstLine="0" w:firstLineChars="0"/>
              <w:rPr>
                <w:rFonts w:ascii="宋体" w:hAnsi="宋体"/>
                <w:sz w:val="18"/>
                <w:szCs w:val="18"/>
              </w:rPr>
            </w:pPr>
            <w:r>
              <w:rPr>
                <w:rFonts w:hint="eastAsia"/>
                <w:sz w:val="18"/>
                <w:szCs w:val="18"/>
              </w:rPr>
              <w:t>文成县</w:t>
            </w:r>
            <w:r>
              <w:rPr>
                <w:rFonts w:hint="eastAsia" w:ascii="宋体" w:hAnsi="宋体"/>
                <w:sz w:val="18"/>
                <w:szCs w:val="18"/>
              </w:rPr>
              <w:t>第六批</w:t>
            </w:r>
          </w:p>
        </w:tc>
        <w:tc>
          <w:tcPr>
            <w:tcW w:w="744" w:type="dxa"/>
            <w:vAlign w:val="center"/>
          </w:tcPr>
          <w:p>
            <w:pPr>
              <w:spacing w:line="240" w:lineRule="auto"/>
              <w:ind w:firstLine="0" w:firstLineChars="0"/>
              <w:rPr>
                <w:sz w:val="18"/>
                <w:szCs w:val="18"/>
              </w:rPr>
            </w:pPr>
            <w:r>
              <w:rPr>
                <w:rFonts w:hint="eastAsia" w:ascii="宋体" w:hAnsi="宋体"/>
                <w:sz w:val="18"/>
                <w:szCs w:val="1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7" w:type="dxa"/>
            <w:vAlign w:val="center"/>
          </w:tcPr>
          <w:p>
            <w:pPr>
              <w:spacing w:line="240" w:lineRule="auto"/>
              <w:ind w:firstLine="0" w:firstLineChars="0"/>
              <w:rPr>
                <w:rFonts w:ascii="宋体" w:hAnsi="宋体"/>
                <w:sz w:val="18"/>
                <w:szCs w:val="18"/>
              </w:rPr>
            </w:pPr>
            <w:r>
              <w:rPr>
                <w:rFonts w:hint="eastAsia" w:ascii="宋体" w:hAnsi="宋体"/>
                <w:sz w:val="18"/>
                <w:szCs w:val="18"/>
              </w:rPr>
              <w:t>4</w:t>
            </w:r>
          </w:p>
        </w:tc>
        <w:tc>
          <w:tcPr>
            <w:tcW w:w="1158" w:type="dxa"/>
            <w:vAlign w:val="center"/>
          </w:tcPr>
          <w:p>
            <w:pPr>
              <w:spacing w:line="240" w:lineRule="auto"/>
              <w:ind w:firstLine="0" w:firstLineChars="0"/>
              <w:rPr>
                <w:rFonts w:ascii="Calibri" w:hAnsi="Calibri"/>
                <w:sz w:val="18"/>
                <w:szCs w:val="18"/>
              </w:rPr>
            </w:pPr>
            <w:r>
              <w:rPr>
                <w:rFonts w:hint="eastAsia" w:ascii="Calibri" w:hAnsi="Calibri"/>
                <w:sz w:val="18"/>
                <w:szCs w:val="18"/>
              </w:rPr>
              <w:t>刘庭槐墓</w:t>
            </w:r>
          </w:p>
        </w:tc>
        <w:tc>
          <w:tcPr>
            <w:tcW w:w="2786" w:type="dxa"/>
            <w:vAlign w:val="center"/>
          </w:tcPr>
          <w:p>
            <w:pPr>
              <w:spacing w:line="240" w:lineRule="auto"/>
              <w:ind w:firstLine="0" w:firstLineChars="0"/>
              <w:rPr>
                <w:rFonts w:ascii="Calibri" w:hAnsi="Calibri"/>
                <w:sz w:val="18"/>
                <w:szCs w:val="18"/>
              </w:rPr>
            </w:pPr>
            <w:r>
              <w:rPr>
                <w:rFonts w:hint="eastAsia" w:ascii="Calibri" w:hAnsi="Calibri"/>
                <w:sz w:val="18"/>
                <w:szCs w:val="18"/>
              </w:rPr>
              <w:t>南田镇武阳村武阳自然村后山</w:t>
            </w:r>
          </w:p>
        </w:tc>
        <w:tc>
          <w:tcPr>
            <w:tcW w:w="608" w:type="dxa"/>
            <w:vAlign w:val="center"/>
          </w:tcPr>
          <w:p>
            <w:pPr>
              <w:spacing w:line="240" w:lineRule="auto"/>
              <w:ind w:firstLine="0" w:firstLineChars="0"/>
              <w:rPr>
                <w:sz w:val="18"/>
                <w:szCs w:val="18"/>
              </w:rPr>
            </w:pPr>
            <w:r>
              <w:rPr>
                <w:rFonts w:hint="eastAsia"/>
                <w:sz w:val="18"/>
                <w:szCs w:val="18"/>
              </w:rPr>
              <w:t>县级</w:t>
            </w:r>
          </w:p>
        </w:tc>
        <w:tc>
          <w:tcPr>
            <w:tcW w:w="1038" w:type="dxa"/>
            <w:vAlign w:val="center"/>
          </w:tcPr>
          <w:p>
            <w:pPr>
              <w:spacing w:line="240" w:lineRule="auto"/>
              <w:ind w:firstLine="0" w:firstLineChars="0"/>
              <w:rPr>
                <w:rFonts w:ascii="宋体" w:hAnsi="宋体"/>
                <w:sz w:val="18"/>
                <w:szCs w:val="18"/>
              </w:rPr>
            </w:pPr>
            <w:r>
              <w:rPr>
                <w:rFonts w:hint="eastAsia" w:ascii="宋体" w:hAnsi="宋体"/>
                <w:sz w:val="18"/>
                <w:szCs w:val="18"/>
              </w:rPr>
              <w:t>2</w:t>
            </w:r>
            <w:r>
              <w:rPr>
                <w:rFonts w:ascii="宋体" w:hAnsi="宋体"/>
                <w:sz w:val="18"/>
                <w:szCs w:val="18"/>
              </w:rPr>
              <w:t>012</w:t>
            </w:r>
            <w:r>
              <w:rPr>
                <w:rFonts w:hint="eastAsia" w:ascii="宋体" w:hAnsi="宋体"/>
                <w:sz w:val="18"/>
                <w:szCs w:val="18"/>
              </w:rPr>
              <w:t>年</w:t>
            </w:r>
          </w:p>
        </w:tc>
        <w:tc>
          <w:tcPr>
            <w:tcW w:w="1375" w:type="dxa"/>
            <w:vAlign w:val="center"/>
          </w:tcPr>
          <w:p>
            <w:pPr>
              <w:spacing w:line="240" w:lineRule="auto"/>
              <w:ind w:firstLine="0" w:firstLineChars="0"/>
              <w:rPr>
                <w:rFonts w:ascii="宋体" w:hAnsi="宋体"/>
                <w:sz w:val="18"/>
                <w:szCs w:val="18"/>
              </w:rPr>
            </w:pPr>
            <w:r>
              <w:rPr>
                <w:rFonts w:hint="eastAsia"/>
                <w:sz w:val="18"/>
                <w:szCs w:val="18"/>
              </w:rPr>
              <w:t>文成县</w:t>
            </w:r>
            <w:r>
              <w:rPr>
                <w:rFonts w:hint="eastAsia" w:ascii="宋体" w:hAnsi="宋体"/>
                <w:sz w:val="18"/>
                <w:szCs w:val="18"/>
              </w:rPr>
              <w:t>第七批</w:t>
            </w:r>
          </w:p>
        </w:tc>
        <w:tc>
          <w:tcPr>
            <w:tcW w:w="744" w:type="dxa"/>
            <w:vAlign w:val="center"/>
          </w:tcPr>
          <w:p>
            <w:pPr>
              <w:spacing w:line="240" w:lineRule="auto"/>
              <w:ind w:firstLine="0" w:firstLineChars="0"/>
              <w:rPr>
                <w:sz w:val="18"/>
                <w:szCs w:val="18"/>
              </w:rPr>
            </w:pPr>
            <w:r>
              <w:rPr>
                <w:rFonts w:hint="eastAsia" w:ascii="宋体" w:hAnsi="宋体"/>
                <w:sz w:val="18"/>
                <w:szCs w:val="18"/>
              </w:rPr>
              <w:t>明代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7" w:type="dxa"/>
            <w:vAlign w:val="center"/>
          </w:tcPr>
          <w:p>
            <w:pPr>
              <w:spacing w:line="240" w:lineRule="auto"/>
              <w:ind w:firstLine="0" w:firstLineChars="0"/>
              <w:rPr>
                <w:rFonts w:ascii="宋体" w:hAnsi="宋体"/>
                <w:sz w:val="18"/>
                <w:szCs w:val="18"/>
              </w:rPr>
            </w:pPr>
            <w:r>
              <w:rPr>
                <w:rFonts w:hint="eastAsia" w:ascii="宋体" w:hAnsi="宋体"/>
                <w:sz w:val="18"/>
                <w:szCs w:val="18"/>
              </w:rPr>
              <w:t>5</w:t>
            </w:r>
          </w:p>
        </w:tc>
        <w:tc>
          <w:tcPr>
            <w:tcW w:w="1158" w:type="dxa"/>
            <w:vAlign w:val="center"/>
          </w:tcPr>
          <w:p>
            <w:pPr>
              <w:spacing w:line="240" w:lineRule="auto"/>
              <w:ind w:firstLine="0" w:firstLineChars="0"/>
              <w:rPr>
                <w:rFonts w:ascii="Calibri" w:hAnsi="Calibri"/>
                <w:sz w:val="18"/>
                <w:szCs w:val="18"/>
              </w:rPr>
            </w:pPr>
            <w:r>
              <w:rPr>
                <w:rFonts w:hint="eastAsia" w:ascii="Calibri" w:hAnsi="Calibri"/>
                <w:sz w:val="18"/>
                <w:szCs w:val="18"/>
              </w:rPr>
              <w:t>刘集墓</w:t>
            </w:r>
          </w:p>
        </w:tc>
        <w:tc>
          <w:tcPr>
            <w:tcW w:w="2786" w:type="dxa"/>
            <w:vAlign w:val="center"/>
          </w:tcPr>
          <w:p>
            <w:pPr>
              <w:spacing w:line="240" w:lineRule="auto"/>
              <w:ind w:firstLine="0" w:firstLineChars="0"/>
              <w:rPr>
                <w:rFonts w:ascii="Calibri" w:hAnsi="Calibri"/>
                <w:sz w:val="18"/>
                <w:szCs w:val="18"/>
              </w:rPr>
            </w:pPr>
            <w:r>
              <w:rPr>
                <w:rFonts w:hint="eastAsia" w:ascii="Calibri" w:hAnsi="Calibri"/>
                <w:sz w:val="18"/>
                <w:szCs w:val="18"/>
              </w:rPr>
              <w:t>南田镇武阳村武阳自然村莲花墩</w:t>
            </w:r>
          </w:p>
        </w:tc>
        <w:tc>
          <w:tcPr>
            <w:tcW w:w="608" w:type="dxa"/>
            <w:vAlign w:val="center"/>
          </w:tcPr>
          <w:p>
            <w:pPr>
              <w:spacing w:line="240" w:lineRule="auto"/>
              <w:ind w:firstLine="0" w:firstLineChars="0"/>
              <w:rPr>
                <w:sz w:val="18"/>
                <w:szCs w:val="18"/>
              </w:rPr>
            </w:pPr>
            <w:r>
              <w:rPr>
                <w:rFonts w:hint="eastAsia"/>
                <w:sz w:val="18"/>
                <w:szCs w:val="18"/>
              </w:rPr>
              <w:t>县级</w:t>
            </w:r>
          </w:p>
        </w:tc>
        <w:tc>
          <w:tcPr>
            <w:tcW w:w="1038" w:type="dxa"/>
            <w:vAlign w:val="center"/>
          </w:tcPr>
          <w:p>
            <w:pPr>
              <w:spacing w:line="240" w:lineRule="auto"/>
              <w:ind w:firstLine="0" w:firstLineChars="0"/>
              <w:rPr>
                <w:rFonts w:ascii="宋体" w:hAnsi="宋体"/>
                <w:sz w:val="18"/>
                <w:szCs w:val="18"/>
              </w:rPr>
            </w:pPr>
            <w:r>
              <w:rPr>
                <w:rFonts w:hint="eastAsia" w:ascii="宋体" w:hAnsi="宋体"/>
                <w:sz w:val="18"/>
                <w:szCs w:val="18"/>
              </w:rPr>
              <w:t>2</w:t>
            </w:r>
            <w:r>
              <w:rPr>
                <w:rFonts w:ascii="宋体" w:hAnsi="宋体"/>
                <w:sz w:val="18"/>
                <w:szCs w:val="18"/>
              </w:rPr>
              <w:t>012</w:t>
            </w:r>
            <w:r>
              <w:rPr>
                <w:rFonts w:hint="eastAsia" w:ascii="宋体" w:hAnsi="宋体"/>
                <w:sz w:val="18"/>
                <w:szCs w:val="18"/>
              </w:rPr>
              <w:t>年</w:t>
            </w:r>
          </w:p>
        </w:tc>
        <w:tc>
          <w:tcPr>
            <w:tcW w:w="1375" w:type="dxa"/>
            <w:vAlign w:val="center"/>
          </w:tcPr>
          <w:p>
            <w:pPr>
              <w:spacing w:line="240" w:lineRule="auto"/>
              <w:ind w:firstLine="0" w:firstLineChars="0"/>
              <w:rPr>
                <w:rFonts w:ascii="宋体" w:hAnsi="宋体"/>
                <w:sz w:val="18"/>
                <w:szCs w:val="18"/>
              </w:rPr>
            </w:pPr>
            <w:r>
              <w:rPr>
                <w:rFonts w:hint="eastAsia"/>
                <w:sz w:val="18"/>
                <w:szCs w:val="18"/>
              </w:rPr>
              <w:t>文成县</w:t>
            </w:r>
            <w:r>
              <w:rPr>
                <w:rFonts w:hint="eastAsia" w:ascii="宋体" w:hAnsi="宋体"/>
                <w:sz w:val="18"/>
                <w:szCs w:val="18"/>
              </w:rPr>
              <w:t>第七批</w:t>
            </w:r>
          </w:p>
        </w:tc>
        <w:tc>
          <w:tcPr>
            <w:tcW w:w="744" w:type="dxa"/>
            <w:vAlign w:val="center"/>
          </w:tcPr>
          <w:p>
            <w:pPr>
              <w:spacing w:line="240" w:lineRule="auto"/>
              <w:ind w:firstLine="0" w:firstLineChars="0"/>
              <w:rPr>
                <w:sz w:val="18"/>
                <w:szCs w:val="18"/>
              </w:rPr>
            </w:pPr>
            <w:r>
              <w:rPr>
                <w:rFonts w:hint="eastAsia" w:ascii="宋体" w:hAnsi="宋体"/>
                <w:sz w:val="18"/>
                <w:szCs w:val="18"/>
              </w:rPr>
              <w:t>宋代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7" w:type="dxa"/>
            <w:vAlign w:val="center"/>
          </w:tcPr>
          <w:p>
            <w:pPr>
              <w:spacing w:line="240" w:lineRule="auto"/>
              <w:ind w:firstLine="0" w:firstLineChars="0"/>
              <w:rPr>
                <w:rFonts w:ascii="宋体" w:hAnsi="宋体"/>
                <w:sz w:val="18"/>
                <w:szCs w:val="18"/>
              </w:rPr>
            </w:pPr>
            <w:r>
              <w:rPr>
                <w:rFonts w:hint="eastAsia" w:ascii="宋体" w:hAnsi="宋体"/>
                <w:sz w:val="18"/>
                <w:szCs w:val="18"/>
              </w:rPr>
              <w:t>6</w:t>
            </w:r>
          </w:p>
        </w:tc>
        <w:tc>
          <w:tcPr>
            <w:tcW w:w="1158" w:type="dxa"/>
            <w:vAlign w:val="center"/>
          </w:tcPr>
          <w:p>
            <w:pPr>
              <w:spacing w:line="240" w:lineRule="auto"/>
              <w:ind w:firstLine="0" w:firstLineChars="0"/>
              <w:rPr>
                <w:rFonts w:ascii="Calibri" w:hAnsi="Calibri"/>
                <w:sz w:val="18"/>
                <w:szCs w:val="18"/>
              </w:rPr>
            </w:pPr>
            <w:r>
              <w:rPr>
                <w:rFonts w:hint="eastAsia" w:ascii="Calibri" w:hAnsi="Calibri"/>
                <w:sz w:val="18"/>
                <w:szCs w:val="18"/>
              </w:rPr>
              <w:t>刘琏墓</w:t>
            </w:r>
          </w:p>
        </w:tc>
        <w:tc>
          <w:tcPr>
            <w:tcW w:w="2786" w:type="dxa"/>
            <w:vAlign w:val="center"/>
          </w:tcPr>
          <w:p>
            <w:pPr>
              <w:spacing w:line="240" w:lineRule="auto"/>
              <w:ind w:firstLine="0" w:firstLineChars="0"/>
              <w:rPr>
                <w:rFonts w:ascii="Calibri" w:hAnsi="Calibri"/>
                <w:sz w:val="18"/>
                <w:szCs w:val="18"/>
              </w:rPr>
            </w:pPr>
            <w:r>
              <w:rPr>
                <w:rFonts w:hint="eastAsia" w:ascii="Calibri" w:hAnsi="Calibri"/>
                <w:sz w:val="18"/>
                <w:szCs w:val="18"/>
              </w:rPr>
              <w:t>南田镇梅树村龙岙自然村东田门前岗</w:t>
            </w:r>
          </w:p>
        </w:tc>
        <w:tc>
          <w:tcPr>
            <w:tcW w:w="608" w:type="dxa"/>
            <w:vAlign w:val="center"/>
          </w:tcPr>
          <w:p>
            <w:pPr>
              <w:spacing w:line="240" w:lineRule="auto"/>
              <w:ind w:firstLine="0" w:firstLineChars="0"/>
              <w:rPr>
                <w:sz w:val="18"/>
                <w:szCs w:val="18"/>
              </w:rPr>
            </w:pPr>
            <w:r>
              <w:rPr>
                <w:rFonts w:hint="eastAsia"/>
                <w:sz w:val="18"/>
                <w:szCs w:val="18"/>
              </w:rPr>
              <w:t>县级</w:t>
            </w:r>
          </w:p>
        </w:tc>
        <w:tc>
          <w:tcPr>
            <w:tcW w:w="1038" w:type="dxa"/>
            <w:vAlign w:val="center"/>
          </w:tcPr>
          <w:p>
            <w:pPr>
              <w:spacing w:line="240" w:lineRule="auto"/>
              <w:ind w:firstLine="0" w:firstLineChars="0"/>
              <w:rPr>
                <w:rFonts w:ascii="宋体" w:hAnsi="宋体"/>
                <w:sz w:val="18"/>
                <w:szCs w:val="18"/>
              </w:rPr>
            </w:pPr>
            <w:r>
              <w:rPr>
                <w:rFonts w:hint="eastAsia" w:ascii="宋体" w:hAnsi="宋体"/>
                <w:sz w:val="18"/>
                <w:szCs w:val="18"/>
              </w:rPr>
              <w:t>2</w:t>
            </w:r>
            <w:r>
              <w:rPr>
                <w:rFonts w:ascii="宋体" w:hAnsi="宋体"/>
                <w:sz w:val="18"/>
                <w:szCs w:val="18"/>
              </w:rPr>
              <w:t>012</w:t>
            </w:r>
            <w:r>
              <w:rPr>
                <w:rFonts w:hint="eastAsia" w:ascii="宋体" w:hAnsi="宋体"/>
                <w:sz w:val="18"/>
                <w:szCs w:val="18"/>
              </w:rPr>
              <w:t>年</w:t>
            </w:r>
          </w:p>
        </w:tc>
        <w:tc>
          <w:tcPr>
            <w:tcW w:w="1375" w:type="dxa"/>
            <w:vAlign w:val="center"/>
          </w:tcPr>
          <w:p>
            <w:pPr>
              <w:spacing w:line="240" w:lineRule="auto"/>
              <w:ind w:firstLine="0" w:firstLineChars="0"/>
              <w:rPr>
                <w:rFonts w:ascii="宋体" w:hAnsi="宋体"/>
                <w:sz w:val="18"/>
                <w:szCs w:val="18"/>
              </w:rPr>
            </w:pPr>
            <w:r>
              <w:rPr>
                <w:rFonts w:hint="eastAsia"/>
                <w:sz w:val="18"/>
                <w:szCs w:val="18"/>
              </w:rPr>
              <w:t>文成县</w:t>
            </w:r>
            <w:r>
              <w:rPr>
                <w:rFonts w:hint="eastAsia" w:ascii="宋体" w:hAnsi="宋体"/>
                <w:sz w:val="18"/>
                <w:szCs w:val="18"/>
              </w:rPr>
              <w:t>第七批</w:t>
            </w:r>
          </w:p>
        </w:tc>
        <w:tc>
          <w:tcPr>
            <w:tcW w:w="744" w:type="dxa"/>
            <w:vAlign w:val="center"/>
          </w:tcPr>
          <w:p>
            <w:pPr>
              <w:spacing w:line="240" w:lineRule="auto"/>
              <w:ind w:firstLine="0" w:firstLineChars="0"/>
              <w:rPr>
                <w:rFonts w:ascii="宋体" w:hAnsi="宋体"/>
                <w:sz w:val="18"/>
                <w:szCs w:val="18"/>
              </w:rPr>
            </w:pPr>
            <w:r>
              <w:rPr>
                <w:rFonts w:hint="eastAsia" w:ascii="宋体" w:hAnsi="宋体"/>
                <w:sz w:val="18"/>
                <w:szCs w:val="18"/>
              </w:rPr>
              <w:t>明代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7" w:type="dxa"/>
            <w:vAlign w:val="center"/>
          </w:tcPr>
          <w:p>
            <w:pPr>
              <w:spacing w:line="240" w:lineRule="auto"/>
              <w:ind w:firstLine="0" w:firstLineChars="0"/>
              <w:rPr>
                <w:rFonts w:ascii="宋体" w:hAnsi="宋体"/>
                <w:sz w:val="18"/>
                <w:szCs w:val="18"/>
              </w:rPr>
            </w:pPr>
            <w:r>
              <w:rPr>
                <w:rFonts w:hint="eastAsia" w:ascii="宋体" w:hAnsi="宋体"/>
                <w:sz w:val="18"/>
                <w:szCs w:val="18"/>
              </w:rPr>
              <w:t>7</w:t>
            </w:r>
          </w:p>
        </w:tc>
        <w:tc>
          <w:tcPr>
            <w:tcW w:w="1158" w:type="dxa"/>
            <w:vAlign w:val="center"/>
          </w:tcPr>
          <w:p>
            <w:pPr>
              <w:spacing w:line="240" w:lineRule="auto"/>
              <w:ind w:firstLine="0" w:firstLineChars="0"/>
              <w:rPr>
                <w:rFonts w:ascii="Calibri" w:hAnsi="Calibri"/>
                <w:sz w:val="18"/>
                <w:szCs w:val="18"/>
              </w:rPr>
            </w:pPr>
            <w:r>
              <w:rPr>
                <w:rFonts w:hint="eastAsia" w:ascii="Calibri" w:hAnsi="Calibri"/>
                <w:sz w:val="18"/>
                <w:szCs w:val="18"/>
              </w:rPr>
              <w:t>周攀龙墓</w:t>
            </w:r>
          </w:p>
        </w:tc>
        <w:tc>
          <w:tcPr>
            <w:tcW w:w="2786" w:type="dxa"/>
            <w:vAlign w:val="center"/>
          </w:tcPr>
          <w:p>
            <w:pPr>
              <w:spacing w:line="240" w:lineRule="auto"/>
              <w:ind w:firstLine="0" w:firstLineChars="0"/>
              <w:rPr>
                <w:rFonts w:ascii="Calibri" w:hAnsi="Calibri"/>
                <w:sz w:val="18"/>
                <w:szCs w:val="18"/>
              </w:rPr>
            </w:pPr>
            <w:r>
              <w:rPr>
                <w:rFonts w:hint="eastAsia" w:ascii="Calibri" w:hAnsi="Calibri"/>
                <w:sz w:val="18"/>
                <w:szCs w:val="18"/>
              </w:rPr>
              <w:t>南田镇郑岙村龙虎丘自然村坟头岗南坡</w:t>
            </w:r>
          </w:p>
        </w:tc>
        <w:tc>
          <w:tcPr>
            <w:tcW w:w="608" w:type="dxa"/>
            <w:vAlign w:val="center"/>
          </w:tcPr>
          <w:p>
            <w:pPr>
              <w:spacing w:line="240" w:lineRule="auto"/>
              <w:ind w:firstLine="0" w:firstLineChars="0"/>
              <w:rPr>
                <w:sz w:val="18"/>
                <w:szCs w:val="18"/>
              </w:rPr>
            </w:pPr>
            <w:r>
              <w:rPr>
                <w:rFonts w:hint="eastAsia"/>
                <w:sz w:val="18"/>
                <w:szCs w:val="18"/>
              </w:rPr>
              <w:t>县级</w:t>
            </w:r>
          </w:p>
        </w:tc>
        <w:tc>
          <w:tcPr>
            <w:tcW w:w="1038" w:type="dxa"/>
            <w:vAlign w:val="center"/>
          </w:tcPr>
          <w:p>
            <w:pPr>
              <w:spacing w:line="240" w:lineRule="auto"/>
              <w:ind w:firstLine="0" w:firstLineChars="0"/>
              <w:rPr>
                <w:rFonts w:ascii="宋体" w:hAnsi="宋体"/>
                <w:sz w:val="18"/>
                <w:szCs w:val="18"/>
              </w:rPr>
            </w:pPr>
            <w:r>
              <w:rPr>
                <w:rFonts w:hint="eastAsia" w:ascii="宋体" w:hAnsi="宋体"/>
                <w:sz w:val="18"/>
                <w:szCs w:val="18"/>
              </w:rPr>
              <w:t>1</w:t>
            </w:r>
            <w:r>
              <w:rPr>
                <w:rFonts w:ascii="宋体" w:hAnsi="宋体"/>
                <w:sz w:val="18"/>
                <w:szCs w:val="18"/>
              </w:rPr>
              <w:t>984</w:t>
            </w:r>
            <w:r>
              <w:rPr>
                <w:rFonts w:hint="eastAsia" w:ascii="宋体" w:hAnsi="宋体"/>
                <w:sz w:val="18"/>
                <w:szCs w:val="18"/>
              </w:rPr>
              <w:t>年</w:t>
            </w:r>
          </w:p>
        </w:tc>
        <w:tc>
          <w:tcPr>
            <w:tcW w:w="1375" w:type="dxa"/>
            <w:vAlign w:val="center"/>
          </w:tcPr>
          <w:p>
            <w:pPr>
              <w:spacing w:line="240" w:lineRule="auto"/>
              <w:ind w:firstLine="0" w:firstLineChars="0"/>
              <w:rPr>
                <w:rFonts w:ascii="宋体" w:hAnsi="宋体"/>
                <w:sz w:val="18"/>
                <w:szCs w:val="18"/>
              </w:rPr>
            </w:pPr>
            <w:r>
              <w:rPr>
                <w:rFonts w:hint="eastAsia"/>
                <w:sz w:val="18"/>
                <w:szCs w:val="18"/>
              </w:rPr>
              <w:t>文成县</w:t>
            </w:r>
            <w:r>
              <w:rPr>
                <w:rFonts w:hint="eastAsia" w:ascii="宋体" w:hAnsi="宋体"/>
                <w:sz w:val="18"/>
                <w:szCs w:val="18"/>
              </w:rPr>
              <w:t>第二批</w:t>
            </w:r>
          </w:p>
        </w:tc>
        <w:tc>
          <w:tcPr>
            <w:tcW w:w="744" w:type="dxa"/>
            <w:vAlign w:val="center"/>
          </w:tcPr>
          <w:p>
            <w:pPr>
              <w:spacing w:line="240" w:lineRule="auto"/>
              <w:ind w:firstLine="0" w:firstLineChars="0"/>
              <w:rPr>
                <w:rFonts w:ascii="宋体" w:hAnsi="宋体"/>
                <w:sz w:val="18"/>
                <w:szCs w:val="18"/>
              </w:rPr>
            </w:pPr>
            <w:r>
              <w:rPr>
                <w:rFonts w:hint="eastAsia" w:ascii="宋体" w:hAnsi="宋体"/>
                <w:sz w:val="18"/>
                <w:szCs w:val="18"/>
              </w:rPr>
              <w:t>清光绪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7" w:type="dxa"/>
            <w:vAlign w:val="center"/>
          </w:tcPr>
          <w:p>
            <w:pPr>
              <w:spacing w:line="240" w:lineRule="auto"/>
              <w:ind w:firstLine="0" w:firstLineChars="0"/>
              <w:rPr>
                <w:rFonts w:ascii="宋体" w:hAnsi="宋体"/>
                <w:sz w:val="18"/>
                <w:szCs w:val="18"/>
              </w:rPr>
            </w:pPr>
            <w:r>
              <w:rPr>
                <w:rFonts w:hint="eastAsia" w:ascii="宋体" w:hAnsi="宋体"/>
                <w:sz w:val="18"/>
                <w:szCs w:val="18"/>
              </w:rPr>
              <w:t>8</w:t>
            </w:r>
          </w:p>
        </w:tc>
        <w:tc>
          <w:tcPr>
            <w:tcW w:w="1158" w:type="dxa"/>
            <w:vAlign w:val="center"/>
          </w:tcPr>
          <w:p>
            <w:pPr>
              <w:spacing w:line="240" w:lineRule="auto"/>
              <w:ind w:firstLine="0" w:firstLineChars="0"/>
              <w:rPr>
                <w:rFonts w:ascii="Calibri" w:hAnsi="Calibri"/>
                <w:sz w:val="18"/>
                <w:szCs w:val="18"/>
              </w:rPr>
            </w:pPr>
            <w:r>
              <w:rPr>
                <w:rFonts w:hint="eastAsia" w:ascii="Calibri" w:hAnsi="Calibri"/>
                <w:sz w:val="18"/>
                <w:szCs w:val="18"/>
              </w:rPr>
              <w:t>明星寺</w:t>
            </w:r>
          </w:p>
        </w:tc>
        <w:tc>
          <w:tcPr>
            <w:tcW w:w="2786" w:type="dxa"/>
            <w:vAlign w:val="center"/>
          </w:tcPr>
          <w:p>
            <w:pPr>
              <w:spacing w:line="240" w:lineRule="auto"/>
              <w:ind w:firstLine="0" w:firstLineChars="0"/>
              <w:rPr>
                <w:rFonts w:ascii="Calibri" w:hAnsi="Calibri"/>
                <w:sz w:val="18"/>
                <w:szCs w:val="18"/>
              </w:rPr>
            </w:pPr>
            <w:r>
              <w:rPr>
                <w:rFonts w:hint="eastAsia" w:ascii="Calibri" w:hAnsi="Calibri"/>
                <w:sz w:val="18"/>
                <w:szCs w:val="18"/>
              </w:rPr>
              <w:t>二源镇谈阳村后山</w:t>
            </w:r>
          </w:p>
        </w:tc>
        <w:tc>
          <w:tcPr>
            <w:tcW w:w="608" w:type="dxa"/>
            <w:vAlign w:val="center"/>
          </w:tcPr>
          <w:p>
            <w:pPr>
              <w:spacing w:line="240" w:lineRule="auto"/>
              <w:ind w:firstLine="0" w:firstLineChars="0"/>
              <w:rPr>
                <w:sz w:val="18"/>
                <w:szCs w:val="18"/>
              </w:rPr>
            </w:pPr>
            <w:r>
              <w:rPr>
                <w:rFonts w:hint="eastAsia"/>
                <w:sz w:val="18"/>
                <w:szCs w:val="18"/>
              </w:rPr>
              <w:t>县级</w:t>
            </w:r>
          </w:p>
        </w:tc>
        <w:tc>
          <w:tcPr>
            <w:tcW w:w="1038" w:type="dxa"/>
            <w:vAlign w:val="center"/>
          </w:tcPr>
          <w:p>
            <w:pPr>
              <w:spacing w:line="240" w:lineRule="auto"/>
              <w:ind w:firstLine="0" w:firstLineChars="0"/>
              <w:rPr>
                <w:rFonts w:ascii="宋体" w:hAnsi="宋体"/>
                <w:sz w:val="18"/>
                <w:szCs w:val="18"/>
              </w:rPr>
            </w:pPr>
            <w:r>
              <w:rPr>
                <w:rFonts w:hint="eastAsia" w:ascii="宋体" w:hAnsi="宋体"/>
                <w:sz w:val="18"/>
                <w:szCs w:val="18"/>
              </w:rPr>
              <w:t>1</w:t>
            </w:r>
            <w:r>
              <w:rPr>
                <w:rFonts w:ascii="宋体" w:hAnsi="宋体"/>
                <w:sz w:val="18"/>
                <w:szCs w:val="18"/>
              </w:rPr>
              <w:t>992</w:t>
            </w:r>
            <w:r>
              <w:rPr>
                <w:rFonts w:hint="eastAsia" w:ascii="宋体" w:hAnsi="宋体"/>
                <w:sz w:val="18"/>
                <w:szCs w:val="18"/>
              </w:rPr>
              <w:t>年</w:t>
            </w:r>
          </w:p>
        </w:tc>
        <w:tc>
          <w:tcPr>
            <w:tcW w:w="1375" w:type="dxa"/>
            <w:vAlign w:val="center"/>
          </w:tcPr>
          <w:p>
            <w:pPr>
              <w:spacing w:line="240" w:lineRule="auto"/>
              <w:ind w:firstLine="0" w:firstLineChars="0"/>
              <w:rPr>
                <w:rFonts w:ascii="宋体" w:hAnsi="宋体"/>
                <w:sz w:val="18"/>
                <w:szCs w:val="18"/>
              </w:rPr>
            </w:pPr>
            <w:r>
              <w:rPr>
                <w:rFonts w:hint="eastAsia"/>
                <w:sz w:val="18"/>
                <w:szCs w:val="18"/>
              </w:rPr>
              <w:t>文成县</w:t>
            </w:r>
            <w:r>
              <w:rPr>
                <w:rFonts w:hint="eastAsia" w:ascii="宋体" w:hAnsi="宋体"/>
                <w:sz w:val="18"/>
                <w:szCs w:val="18"/>
              </w:rPr>
              <w:t>第四批</w:t>
            </w:r>
          </w:p>
        </w:tc>
        <w:tc>
          <w:tcPr>
            <w:tcW w:w="744" w:type="dxa"/>
            <w:vAlign w:val="center"/>
          </w:tcPr>
          <w:p>
            <w:pPr>
              <w:spacing w:line="240" w:lineRule="auto"/>
              <w:ind w:firstLine="0" w:firstLineChars="0"/>
              <w:rPr>
                <w:rFonts w:ascii="宋体" w:hAnsi="宋体"/>
                <w:sz w:val="18"/>
                <w:szCs w:val="18"/>
              </w:rPr>
            </w:pPr>
            <w:r>
              <w:rPr>
                <w:rFonts w:hint="eastAsia" w:ascii="宋体" w:hAnsi="宋体"/>
                <w:sz w:val="18"/>
                <w:szCs w:val="18"/>
              </w:rPr>
              <w:t>清道光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7" w:type="dxa"/>
            <w:vAlign w:val="center"/>
          </w:tcPr>
          <w:p>
            <w:pPr>
              <w:spacing w:line="240" w:lineRule="auto"/>
              <w:ind w:firstLine="0" w:firstLineChars="0"/>
              <w:rPr>
                <w:rFonts w:ascii="宋体" w:hAnsi="宋体"/>
                <w:sz w:val="18"/>
                <w:szCs w:val="18"/>
              </w:rPr>
            </w:pPr>
            <w:r>
              <w:rPr>
                <w:rFonts w:hint="eastAsia" w:ascii="宋体" w:hAnsi="宋体"/>
                <w:sz w:val="18"/>
                <w:szCs w:val="18"/>
              </w:rPr>
              <w:t>9</w:t>
            </w:r>
          </w:p>
        </w:tc>
        <w:tc>
          <w:tcPr>
            <w:tcW w:w="1158" w:type="dxa"/>
            <w:vAlign w:val="center"/>
          </w:tcPr>
          <w:p>
            <w:pPr>
              <w:spacing w:line="240" w:lineRule="auto"/>
              <w:ind w:firstLine="0" w:firstLineChars="0"/>
              <w:rPr>
                <w:rFonts w:ascii="Calibri" w:hAnsi="Calibri"/>
                <w:sz w:val="18"/>
                <w:szCs w:val="18"/>
              </w:rPr>
            </w:pPr>
            <w:r>
              <w:rPr>
                <w:rFonts w:hint="eastAsia" w:ascii="Calibri" w:hAnsi="Calibri"/>
                <w:sz w:val="18"/>
                <w:szCs w:val="18"/>
              </w:rPr>
              <w:t>雅庄古民居</w:t>
            </w:r>
          </w:p>
        </w:tc>
        <w:tc>
          <w:tcPr>
            <w:tcW w:w="2786" w:type="dxa"/>
            <w:vAlign w:val="center"/>
          </w:tcPr>
          <w:p>
            <w:pPr>
              <w:spacing w:line="240" w:lineRule="auto"/>
              <w:ind w:firstLine="0" w:firstLineChars="0"/>
              <w:rPr>
                <w:rFonts w:ascii="Calibri" w:hAnsi="Calibri"/>
                <w:sz w:val="18"/>
                <w:szCs w:val="18"/>
              </w:rPr>
            </w:pPr>
            <w:r>
              <w:rPr>
                <w:rFonts w:hint="eastAsia" w:ascii="Calibri" w:hAnsi="Calibri"/>
                <w:sz w:val="18"/>
                <w:szCs w:val="18"/>
              </w:rPr>
              <w:t>铜铃山镇下庄村雅庄自然村</w:t>
            </w:r>
          </w:p>
        </w:tc>
        <w:tc>
          <w:tcPr>
            <w:tcW w:w="608" w:type="dxa"/>
            <w:vAlign w:val="center"/>
          </w:tcPr>
          <w:p>
            <w:pPr>
              <w:spacing w:line="240" w:lineRule="auto"/>
              <w:ind w:firstLine="0" w:firstLineChars="0"/>
              <w:rPr>
                <w:sz w:val="18"/>
                <w:szCs w:val="18"/>
              </w:rPr>
            </w:pPr>
            <w:r>
              <w:rPr>
                <w:rFonts w:hint="eastAsia"/>
                <w:sz w:val="18"/>
                <w:szCs w:val="18"/>
              </w:rPr>
              <w:t>县级</w:t>
            </w:r>
          </w:p>
        </w:tc>
        <w:tc>
          <w:tcPr>
            <w:tcW w:w="1038" w:type="dxa"/>
            <w:vAlign w:val="center"/>
          </w:tcPr>
          <w:p>
            <w:pPr>
              <w:spacing w:line="240" w:lineRule="auto"/>
              <w:ind w:firstLine="0" w:firstLineChars="0"/>
              <w:rPr>
                <w:rFonts w:ascii="宋体" w:hAnsi="宋体"/>
                <w:sz w:val="18"/>
                <w:szCs w:val="18"/>
              </w:rPr>
            </w:pPr>
            <w:r>
              <w:rPr>
                <w:rFonts w:hint="eastAsia" w:ascii="宋体" w:hAnsi="宋体"/>
                <w:sz w:val="18"/>
                <w:szCs w:val="18"/>
              </w:rPr>
              <w:t>2</w:t>
            </w:r>
            <w:r>
              <w:rPr>
                <w:rFonts w:ascii="宋体" w:hAnsi="宋体"/>
                <w:sz w:val="18"/>
                <w:szCs w:val="18"/>
              </w:rPr>
              <w:t>012</w:t>
            </w:r>
            <w:r>
              <w:rPr>
                <w:rFonts w:hint="eastAsia" w:ascii="宋体" w:hAnsi="宋体"/>
                <w:sz w:val="18"/>
                <w:szCs w:val="18"/>
              </w:rPr>
              <w:t>年</w:t>
            </w:r>
          </w:p>
        </w:tc>
        <w:tc>
          <w:tcPr>
            <w:tcW w:w="1375" w:type="dxa"/>
            <w:vAlign w:val="center"/>
          </w:tcPr>
          <w:p>
            <w:pPr>
              <w:spacing w:line="240" w:lineRule="auto"/>
              <w:ind w:firstLine="0" w:firstLineChars="0"/>
              <w:rPr>
                <w:rFonts w:ascii="宋体" w:hAnsi="宋体"/>
                <w:sz w:val="18"/>
                <w:szCs w:val="18"/>
              </w:rPr>
            </w:pPr>
            <w:r>
              <w:rPr>
                <w:rFonts w:hint="eastAsia"/>
                <w:sz w:val="18"/>
                <w:szCs w:val="18"/>
              </w:rPr>
              <w:t>文成县</w:t>
            </w:r>
            <w:r>
              <w:rPr>
                <w:rFonts w:hint="eastAsia" w:ascii="宋体" w:hAnsi="宋体"/>
                <w:sz w:val="18"/>
                <w:szCs w:val="18"/>
              </w:rPr>
              <w:t>第七批</w:t>
            </w:r>
          </w:p>
        </w:tc>
        <w:tc>
          <w:tcPr>
            <w:tcW w:w="744" w:type="dxa"/>
            <w:vAlign w:val="center"/>
          </w:tcPr>
          <w:p>
            <w:pPr>
              <w:spacing w:line="240" w:lineRule="auto"/>
              <w:ind w:firstLine="0" w:firstLineChars="0"/>
              <w:rPr>
                <w:rFonts w:ascii="宋体" w:hAnsi="宋体"/>
                <w:sz w:val="18"/>
                <w:szCs w:val="18"/>
              </w:rPr>
            </w:pPr>
            <w:r>
              <w:rPr>
                <w:rFonts w:hint="eastAsia" w:ascii="宋体" w:hAnsi="宋体"/>
                <w:sz w:val="18"/>
                <w:szCs w:val="18"/>
              </w:rPr>
              <w:t>清嘉庆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7" w:type="dxa"/>
            <w:vAlign w:val="center"/>
          </w:tcPr>
          <w:p>
            <w:pPr>
              <w:spacing w:line="240" w:lineRule="auto"/>
              <w:ind w:firstLine="0" w:firstLineChars="0"/>
              <w:rPr>
                <w:rFonts w:ascii="宋体" w:hAnsi="宋体"/>
                <w:sz w:val="18"/>
                <w:szCs w:val="18"/>
              </w:rPr>
            </w:pPr>
            <w:r>
              <w:rPr>
                <w:rFonts w:hint="eastAsia" w:ascii="宋体" w:hAnsi="宋体"/>
                <w:sz w:val="18"/>
                <w:szCs w:val="18"/>
              </w:rPr>
              <w:t>1</w:t>
            </w:r>
            <w:r>
              <w:rPr>
                <w:rFonts w:ascii="宋体" w:hAnsi="宋体"/>
                <w:sz w:val="18"/>
                <w:szCs w:val="18"/>
              </w:rPr>
              <w:t>0</w:t>
            </w:r>
          </w:p>
        </w:tc>
        <w:tc>
          <w:tcPr>
            <w:tcW w:w="1158" w:type="dxa"/>
            <w:vAlign w:val="center"/>
          </w:tcPr>
          <w:p>
            <w:pPr>
              <w:spacing w:line="240" w:lineRule="auto"/>
              <w:ind w:firstLine="0" w:firstLineChars="0"/>
              <w:rPr>
                <w:rFonts w:ascii="Calibri" w:hAnsi="Calibri"/>
                <w:sz w:val="18"/>
                <w:szCs w:val="18"/>
              </w:rPr>
            </w:pPr>
            <w:r>
              <w:rPr>
                <w:rFonts w:hint="eastAsia" w:ascii="Calibri" w:hAnsi="Calibri"/>
                <w:sz w:val="18"/>
                <w:szCs w:val="18"/>
              </w:rPr>
              <w:t>金山节孝坊</w:t>
            </w:r>
          </w:p>
        </w:tc>
        <w:tc>
          <w:tcPr>
            <w:tcW w:w="2786" w:type="dxa"/>
            <w:vAlign w:val="center"/>
          </w:tcPr>
          <w:p>
            <w:pPr>
              <w:spacing w:line="240" w:lineRule="auto"/>
              <w:ind w:firstLine="0" w:firstLineChars="0"/>
              <w:rPr>
                <w:rFonts w:ascii="Calibri" w:hAnsi="Calibri"/>
                <w:sz w:val="18"/>
                <w:szCs w:val="18"/>
              </w:rPr>
            </w:pPr>
            <w:r>
              <w:rPr>
                <w:rFonts w:hint="eastAsia" w:ascii="Calibri" w:hAnsi="Calibri"/>
                <w:sz w:val="18"/>
                <w:szCs w:val="18"/>
              </w:rPr>
              <w:t>黄坦镇上金村金山自然村</w:t>
            </w:r>
          </w:p>
        </w:tc>
        <w:tc>
          <w:tcPr>
            <w:tcW w:w="608" w:type="dxa"/>
            <w:vAlign w:val="center"/>
          </w:tcPr>
          <w:p>
            <w:pPr>
              <w:spacing w:line="240" w:lineRule="auto"/>
              <w:ind w:firstLine="0" w:firstLineChars="0"/>
              <w:rPr>
                <w:sz w:val="18"/>
                <w:szCs w:val="18"/>
              </w:rPr>
            </w:pPr>
            <w:r>
              <w:rPr>
                <w:rFonts w:hint="eastAsia"/>
                <w:sz w:val="18"/>
                <w:szCs w:val="18"/>
              </w:rPr>
              <w:t>县级</w:t>
            </w:r>
          </w:p>
        </w:tc>
        <w:tc>
          <w:tcPr>
            <w:tcW w:w="1038" w:type="dxa"/>
            <w:vAlign w:val="center"/>
          </w:tcPr>
          <w:p>
            <w:pPr>
              <w:spacing w:line="240" w:lineRule="auto"/>
              <w:ind w:firstLine="0" w:firstLineChars="0"/>
              <w:rPr>
                <w:rFonts w:ascii="宋体" w:hAnsi="宋体"/>
                <w:sz w:val="18"/>
                <w:szCs w:val="18"/>
              </w:rPr>
            </w:pPr>
            <w:r>
              <w:rPr>
                <w:rFonts w:hint="eastAsia" w:ascii="宋体" w:hAnsi="宋体"/>
                <w:sz w:val="18"/>
                <w:szCs w:val="18"/>
              </w:rPr>
              <w:t>1</w:t>
            </w:r>
            <w:r>
              <w:rPr>
                <w:rFonts w:ascii="宋体" w:hAnsi="宋体"/>
                <w:sz w:val="18"/>
                <w:szCs w:val="18"/>
              </w:rPr>
              <w:t>984</w:t>
            </w:r>
            <w:r>
              <w:rPr>
                <w:rFonts w:hint="eastAsia" w:ascii="宋体" w:hAnsi="宋体"/>
                <w:sz w:val="18"/>
                <w:szCs w:val="18"/>
              </w:rPr>
              <w:t>年</w:t>
            </w:r>
          </w:p>
        </w:tc>
        <w:tc>
          <w:tcPr>
            <w:tcW w:w="1375" w:type="dxa"/>
            <w:vAlign w:val="center"/>
          </w:tcPr>
          <w:p>
            <w:pPr>
              <w:spacing w:line="240" w:lineRule="auto"/>
              <w:ind w:firstLine="0" w:firstLineChars="0"/>
              <w:rPr>
                <w:rFonts w:ascii="宋体" w:hAnsi="宋体"/>
                <w:sz w:val="18"/>
                <w:szCs w:val="18"/>
              </w:rPr>
            </w:pPr>
            <w:r>
              <w:rPr>
                <w:rFonts w:hint="eastAsia"/>
                <w:sz w:val="18"/>
                <w:szCs w:val="18"/>
              </w:rPr>
              <w:t>文成县</w:t>
            </w:r>
            <w:r>
              <w:rPr>
                <w:rFonts w:hint="eastAsia" w:ascii="宋体" w:hAnsi="宋体"/>
                <w:sz w:val="18"/>
                <w:szCs w:val="18"/>
              </w:rPr>
              <w:t>第二批</w:t>
            </w:r>
          </w:p>
        </w:tc>
        <w:tc>
          <w:tcPr>
            <w:tcW w:w="744" w:type="dxa"/>
            <w:vAlign w:val="center"/>
          </w:tcPr>
          <w:p>
            <w:pPr>
              <w:spacing w:line="240" w:lineRule="auto"/>
              <w:ind w:firstLine="0" w:firstLineChars="0"/>
              <w:rPr>
                <w:rFonts w:ascii="宋体" w:hAnsi="宋体"/>
                <w:sz w:val="18"/>
                <w:szCs w:val="18"/>
              </w:rPr>
            </w:pPr>
            <w:r>
              <w:rPr>
                <w:rFonts w:hint="eastAsia" w:ascii="宋体" w:hAnsi="宋体"/>
                <w:sz w:val="18"/>
                <w:szCs w:val="18"/>
              </w:rPr>
              <w:t>民国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7" w:type="dxa"/>
            <w:vAlign w:val="center"/>
          </w:tcPr>
          <w:p>
            <w:pPr>
              <w:spacing w:line="240" w:lineRule="auto"/>
              <w:ind w:firstLine="0" w:firstLineChars="0"/>
              <w:rPr>
                <w:rFonts w:ascii="宋体" w:hAnsi="宋体"/>
                <w:sz w:val="18"/>
                <w:szCs w:val="18"/>
              </w:rPr>
            </w:pPr>
            <w:r>
              <w:rPr>
                <w:rFonts w:hint="eastAsia" w:ascii="宋体" w:hAnsi="宋体"/>
                <w:sz w:val="18"/>
                <w:szCs w:val="18"/>
              </w:rPr>
              <w:t>1</w:t>
            </w:r>
            <w:r>
              <w:rPr>
                <w:rFonts w:ascii="宋体" w:hAnsi="宋体"/>
                <w:sz w:val="18"/>
                <w:szCs w:val="18"/>
              </w:rPr>
              <w:t>1</w:t>
            </w:r>
          </w:p>
        </w:tc>
        <w:tc>
          <w:tcPr>
            <w:tcW w:w="1158" w:type="dxa"/>
            <w:vAlign w:val="center"/>
          </w:tcPr>
          <w:p>
            <w:pPr>
              <w:spacing w:line="240" w:lineRule="auto"/>
              <w:ind w:firstLine="0" w:firstLineChars="0"/>
              <w:rPr>
                <w:rFonts w:ascii="Calibri" w:hAnsi="Calibri"/>
                <w:sz w:val="18"/>
                <w:szCs w:val="18"/>
              </w:rPr>
            </w:pPr>
            <w:r>
              <w:rPr>
                <w:rFonts w:hint="eastAsia" w:ascii="Calibri" w:hAnsi="Calibri"/>
                <w:sz w:val="18"/>
                <w:szCs w:val="18"/>
              </w:rPr>
              <w:t>夏时光墓道坊</w:t>
            </w:r>
          </w:p>
        </w:tc>
        <w:tc>
          <w:tcPr>
            <w:tcW w:w="2786" w:type="dxa"/>
            <w:vAlign w:val="center"/>
          </w:tcPr>
          <w:p>
            <w:pPr>
              <w:spacing w:line="240" w:lineRule="auto"/>
              <w:ind w:firstLine="0" w:firstLineChars="0"/>
              <w:rPr>
                <w:rFonts w:ascii="Calibri" w:hAnsi="Calibri"/>
                <w:sz w:val="18"/>
                <w:szCs w:val="18"/>
              </w:rPr>
            </w:pPr>
            <w:r>
              <w:rPr>
                <w:rFonts w:hint="eastAsia" w:ascii="Calibri" w:hAnsi="Calibri"/>
                <w:sz w:val="18"/>
                <w:szCs w:val="18"/>
              </w:rPr>
              <w:t>黄坦镇上坪村陈山自然村处下坑岭头</w:t>
            </w:r>
          </w:p>
        </w:tc>
        <w:tc>
          <w:tcPr>
            <w:tcW w:w="608" w:type="dxa"/>
            <w:vAlign w:val="center"/>
          </w:tcPr>
          <w:p>
            <w:pPr>
              <w:spacing w:line="240" w:lineRule="auto"/>
              <w:ind w:firstLine="0" w:firstLineChars="0"/>
              <w:rPr>
                <w:sz w:val="18"/>
                <w:szCs w:val="18"/>
              </w:rPr>
            </w:pPr>
            <w:r>
              <w:rPr>
                <w:rFonts w:hint="eastAsia"/>
                <w:sz w:val="18"/>
                <w:szCs w:val="18"/>
              </w:rPr>
              <w:t>县级</w:t>
            </w:r>
          </w:p>
        </w:tc>
        <w:tc>
          <w:tcPr>
            <w:tcW w:w="1038" w:type="dxa"/>
            <w:vAlign w:val="center"/>
          </w:tcPr>
          <w:p>
            <w:pPr>
              <w:spacing w:line="240" w:lineRule="auto"/>
              <w:ind w:firstLine="0" w:firstLineChars="0"/>
              <w:rPr>
                <w:sz w:val="18"/>
                <w:szCs w:val="18"/>
              </w:rPr>
            </w:pPr>
            <w:r>
              <w:rPr>
                <w:rFonts w:hint="eastAsia"/>
                <w:sz w:val="18"/>
                <w:szCs w:val="18"/>
              </w:rPr>
              <w:t>2</w:t>
            </w:r>
            <w:r>
              <w:rPr>
                <w:sz w:val="18"/>
                <w:szCs w:val="18"/>
              </w:rPr>
              <w:t>012</w:t>
            </w:r>
            <w:r>
              <w:rPr>
                <w:rFonts w:hint="eastAsia"/>
                <w:sz w:val="18"/>
                <w:szCs w:val="18"/>
              </w:rPr>
              <w:t>年</w:t>
            </w:r>
          </w:p>
        </w:tc>
        <w:tc>
          <w:tcPr>
            <w:tcW w:w="1375" w:type="dxa"/>
            <w:vAlign w:val="center"/>
          </w:tcPr>
          <w:p>
            <w:pPr>
              <w:spacing w:line="240" w:lineRule="auto"/>
              <w:ind w:firstLine="0" w:firstLineChars="0"/>
              <w:rPr>
                <w:sz w:val="18"/>
                <w:szCs w:val="18"/>
              </w:rPr>
            </w:pPr>
            <w:r>
              <w:rPr>
                <w:rFonts w:hint="eastAsia"/>
                <w:sz w:val="18"/>
                <w:szCs w:val="18"/>
              </w:rPr>
              <w:t>文成县第七批</w:t>
            </w:r>
          </w:p>
        </w:tc>
        <w:tc>
          <w:tcPr>
            <w:tcW w:w="744" w:type="dxa"/>
            <w:vAlign w:val="center"/>
          </w:tcPr>
          <w:p>
            <w:pPr>
              <w:spacing w:line="240" w:lineRule="auto"/>
              <w:ind w:firstLine="0" w:firstLineChars="0"/>
              <w:rPr>
                <w:rFonts w:ascii="宋体" w:hAnsi="宋体"/>
                <w:sz w:val="18"/>
                <w:szCs w:val="18"/>
              </w:rPr>
            </w:pPr>
            <w:r>
              <w:rPr>
                <w:rFonts w:hint="eastAsia"/>
                <w:sz w:val="18"/>
                <w:szCs w:val="18"/>
              </w:rPr>
              <w:t>清嘉庆</w:t>
            </w:r>
          </w:p>
        </w:tc>
      </w:tr>
    </w:tbl>
    <w:p>
      <w:pPr>
        <w:pStyle w:val="3"/>
        <w:spacing w:before="326"/>
      </w:pPr>
      <w:bookmarkStart w:id="28" w:name="_Toc426579250"/>
      <w:bookmarkStart w:id="29" w:name="_Toc176456003"/>
      <w:r>
        <w:rPr>
          <w:rFonts w:hint="eastAsia"/>
        </w:rPr>
        <w:t>三、建设控制管理</w:t>
      </w:r>
      <w:bookmarkEnd w:id="28"/>
      <w:bookmarkEnd w:id="29"/>
    </w:p>
    <w:p>
      <w:pPr>
        <w:spacing w:before="97" w:beforeLines="30"/>
        <w:ind w:firstLine="480"/>
        <w:rPr>
          <w:rFonts w:ascii="宋体" w:hAnsi="宋体"/>
        </w:rPr>
      </w:pPr>
      <w:bookmarkStart w:id="30" w:name="_Toc426579251"/>
      <w:r>
        <w:rPr>
          <w:rFonts w:hint="eastAsia" w:ascii="宋体" w:hAnsi="宋体"/>
        </w:rPr>
        <w:t>规划确定了各保护区的分区控制与管理要求，包括设施控制与管理、人类活动控制与管理两个方面的内容。</w:t>
      </w:r>
    </w:p>
    <w:p>
      <w:pPr>
        <w:pStyle w:val="4"/>
        <w:spacing w:before="163"/>
        <w:ind w:firstLine="360"/>
      </w:pPr>
      <w:r>
        <w:rPr>
          <w:rFonts w:hint="eastAsia"/>
        </w:rPr>
        <w:t>（一）分区设施控制管理</w:t>
      </w:r>
    </w:p>
    <w:p>
      <w:pPr>
        <w:spacing w:before="97" w:beforeLines="30"/>
        <w:ind w:firstLine="480"/>
        <w:rPr>
          <w:rFonts w:ascii="宋体" w:hAnsi="宋体"/>
        </w:rPr>
      </w:pPr>
      <w:r>
        <w:rPr>
          <w:rFonts w:hint="eastAsia" w:ascii="宋体" w:hAnsi="宋体"/>
        </w:rPr>
        <w:t>风景名胜区内因为生产、生活及旅游要求，需要进行一些必要的设施建设，根据百丈漈—飞云湖风景名胜区的情况，可分为道路交通、餐饮、住宿、宣讲咨询、购物、卫生保健、管理设施、游览设施、基础设施及其他设施等类型，具体控制与管理要求见下表：</w:t>
      </w:r>
    </w:p>
    <w:p>
      <w:pPr>
        <w:spacing w:before="163" w:beforeLines="50"/>
        <w:ind w:firstLine="422"/>
        <w:jc w:val="center"/>
        <w:rPr>
          <w:rFonts w:ascii="宋体" w:hAnsi="宋体"/>
          <w:b/>
          <w:kern w:val="0"/>
          <w:sz w:val="21"/>
          <w:szCs w:val="21"/>
        </w:rPr>
      </w:pPr>
      <w:r>
        <w:rPr>
          <w:rFonts w:hint="eastAsia" w:ascii="宋体" w:hAnsi="宋体"/>
          <w:b/>
          <w:kern w:val="0"/>
          <w:sz w:val="21"/>
          <w:szCs w:val="21"/>
        </w:rPr>
        <w:t>表2</w:t>
      </w:r>
      <w:r>
        <w:rPr>
          <w:rFonts w:ascii="宋体" w:hAnsi="宋体"/>
          <w:b/>
          <w:kern w:val="0"/>
          <w:sz w:val="21"/>
          <w:szCs w:val="21"/>
        </w:rPr>
        <w:t>-</w:t>
      </w:r>
      <w:r>
        <w:rPr>
          <w:rFonts w:hint="eastAsia" w:ascii="宋体" w:hAnsi="宋体"/>
          <w:b/>
          <w:kern w:val="0"/>
          <w:sz w:val="21"/>
          <w:szCs w:val="21"/>
        </w:rPr>
        <w:t>6</w:t>
      </w:r>
      <w:r>
        <w:rPr>
          <w:rFonts w:ascii="宋体" w:hAnsi="宋体"/>
          <w:b/>
          <w:kern w:val="0"/>
          <w:sz w:val="21"/>
          <w:szCs w:val="21"/>
        </w:rPr>
        <w:t xml:space="preserve"> </w:t>
      </w:r>
      <w:r>
        <w:rPr>
          <w:rFonts w:hint="eastAsia" w:ascii="宋体" w:hAnsi="宋体"/>
          <w:b/>
          <w:kern w:val="0"/>
          <w:sz w:val="21"/>
          <w:szCs w:val="21"/>
        </w:rPr>
        <w:t>分区设施控制管理一览表</w:t>
      </w:r>
    </w:p>
    <w:tbl>
      <w:tblPr>
        <w:tblStyle w:val="42"/>
        <w:tblW w:w="82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1761"/>
        <w:gridCol w:w="1782"/>
        <w:gridCol w:w="1782"/>
        <w:gridCol w:w="1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2855" w:type="dxa"/>
            <w:gridSpan w:val="2"/>
            <w:shd w:val="clear" w:color="auto" w:fill="E2E2E2"/>
            <w:vAlign w:val="center"/>
          </w:tcPr>
          <w:p>
            <w:pPr>
              <w:spacing w:line="240" w:lineRule="auto"/>
              <w:ind w:firstLine="0" w:firstLineChars="0"/>
              <w:jc w:val="center"/>
              <w:rPr>
                <w:b/>
                <w:sz w:val="18"/>
                <w:szCs w:val="20"/>
              </w:rPr>
            </w:pPr>
            <w:r>
              <w:rPr>
                <w:rFonts w:hint="eastAsia"/>
                <w:b/>
                <w:sz w:val="18"/>
                <w:szCs w:val="20"/>
              </w:rPr>
              <w:t>设施类型</w:t>
            </w:r>
          </w:p>
        </w:tc>
        <w:tc>
          <w:tcPr>
            <w:tcW w:w="1782" w:type="dxa"/>
            <w:shd w:val="clear" w:color="auto" w:fill="E2E2E2"/>
            <w:vAlign w:val="center"/>
          </w:tcPr>
          <w:p>
            <w:pPr>
              <w:spacing w:line="240" w:lineRule="auto"/>
              <w:ind w:firstLine="0" w:firstLineChars="0"/>
              <w:jc w:val="center"/>
              <w:rPr>
                <w:b/>
                <w:sz w:val="18"/>
                <w:szCs w:val="20"/>
              </w:rPr>
            </w:pPr>
            <w:r>
              <w:rPr>
                <w:rFonts w:hint="eastAsia"/>
                <w:b/>
                <w:sz w:val="18"/>
                <w:szCs w:val="20"/>
              </w:rPr>
              <w:t>一级保护区</w:t>
            </w:r>
          </w:p>
        </w:tc>
        <w:tc>
          <w:tcPr>
            <w:tcW w:w="1782" w:type="dxa"/>
            <w:shd w:val="clear" w:color="auto" w:fill="E2E2E2"/>
            <w:vAlign w:val="center"/>
          </w:tcPr>
          <w:p>
            <w:pPr>
              <w:spacing w:line="240" w:lineRule="auto"/>
              <w:ind w:firstLine="0" w:firstLineChars="0"/>
              <w:jc w:val="center"/>
              <w:rPr>
                <w:b/>
                <w:sz w:val="18"/>
                <w:szCs w:val="20"/>
              </w:rPr>
            </w:pPr>
            <w:r>
              <w:rPr>
                <w:rFonts w:hint="eastAsia"/>
                <w:b/>
                <w:sz w:val="18"/>
                <w:szCs w:val="20"/>
              </w:rPr>
              <w:t>二级保护区</w:t>
            </w:r>
          </w:p>
        </w:tc>
        <w:tc>
          <w:tcPr>
            <w:tcW w:w="1782" w:type="dxa"/>
            <w:shd w:val="clear" w:color="auto" w:fill="E2E2E2"/>
            <w:vAlign w:val="center"/>
          </w:tcPr>
          <w:p>
            <w:pPr>
              <w:spacing w:line="240" w:lineRule="auto"/>
              <w:ind w:firstLine="0" w:firstLineChars="0"/>
              <w:jc w:val="center"/>
              <w:rPr>
                <w:b/>
                <w:sz w:val="18"/>
                <w:szCs w:val="20"/>
              </w:rPr>
            </w:pPr>
            <w:r>
              <w:rPr>
                <w:rFonts w:hint="eastAsia"/>
                <w:b/>
                <w:sz w:val="18"/>
                <w:szCs w:val="20"/>
              </w:rPr>
              <w:t>三级保护区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094" w:type="dxa"/>
            <w:vMerge w:val="restart"/>
            <w:vAlign w:val="center"/>
          </w:tcPr>
          <w:p>
            <w:pPr>
              <w:spacing w:line="240" w:lineRule="auto"/>
              <w:ind w:firstLine="0" w:firstLineChars="0"/>
              <w:jc w:val="left"/>
              <w:rPr>
                <w:sz w:val="18"/>
                <w:szCs w:val="20"/>
              </w:rPr>
            </w:pPr>
            <w:r>
              <w:rPr>
                <w:sz w:val="18"/>
                <w:szCs w:val="20"/>
              </w:rPr>
              <w:t>1.</w:t>
            </w:r>
            <w:r>
              <w:rPr>
                <w:rFonts w:hint="eastAsia"/>
                <w:sz w:val="18"/>
                <w:szCs w:val="20"/>
              </w:rPr>
              <w:t>道路交通</w:t>
            </w:r>
          </w:p>
        </w:tc>
        <w:tc>
          <w:tcPr>
            <w:tcW w:w="1761" w:type="dxa"/>
            <w:vAlign w:val="center"/>
          </w:tcPr>
          <w:p>
            <w:pPr>
              <w:spacing w:line="240" w:lineRule="auto"/>
              <w:ind w:firstLine="0" w:firstLineChars="0"/>
              <w:jc w:val="left"/>
              <w:rPr>
                <w:sz w:val="18"/>
                <w:szCs w:val="20"/>
              </w:rPr>
            </w:pPr>
            <w:r>
              <w:rPr>
                <w:rFonts w:hint="eastAsia"/>
                <w:sz w:val="18"/>
                <w:szCs w:val="20"/>
              </w:rPr>
              <w:t>索道等垂直交通</w:t>
            </w:r>
          </w:p>
        </w:tc>
        <w:tc>
          <w:tcPr>
            <w:tcW w:w="1782" w:type="dxa"/>
            <w:vAlign w:val="center"/>
          </w:tcPr>
          <w:p>
            <w:pPr>
              <w:widowControl/>
              <w:spacing w:line="240" w:lineRule="auto"/>
              <w:ind w:firstLine="0" w:firstLineChars="0"/>
              <w:jc w:val="center"/>
              <w:rPr>
                <w:kern w:val="0"/>
                <w:sz w:val="18"/>
                <w:szCs w:val="20"/>
              </w:rPr>
            </w:pPr>
            <w:r>
              <w:rPr>
                <w:rFonts w:hint="eastAsia" w:ascii="Calibri" w:hAnsi="Calibri"/>
                <w:kern w:val="0"/>
                <w:sz w:val="18"/>
                <w:szCs w:val="20"/>
              </w:rPr>
              <w:sym w:font="Wingdings 2" w:char="F0A3"/>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094" w:type="dxa"/>
            <w:vMerge w:val="continue"/>
            <w:vAlign w:val="center"/>
          </w:tcPr>
          <w:p>
            <w:pPr>
              <w:spacing w:line="240" w:lineRule="auto"/>
              <w:ind w:firstLine="0" w:firstLineChars="0"/>
              <w:jc w:val="center"/>
              <w:rPr>
                <w:sz w:val="18"/>
                <w:szCs w:val="20"/>
              </w:rPr>
            </w:pPr>
          </w:p>
        </w:tc>
        <w:tc>
          <w:tcPr>
            <w:tcW w:w="1761" w:type="dxa"/>
            <w:vAlign w:val="center"/>
          </w:tcPr>
          <w:p>
            <w:pPr>
              <w:spacing w:line="240" w:lineRule="auto"/>
              <w:ind w:firstLine="0" w:firstLineChars="0"/>
              <w:jc w:val="left"/>
              <w:rPr>
                <w:sz w:val="18"/>
                <w:szCs w:val="20"/>
              </w:rPr>
            </w:pPr>
            <w:r>
              <w:rPr>
                <w:rFonts w:hint="eastAsia"/>
                <w:sz w:val="18"/>
                <w:szCs w:val="20"/>
              </w:rPr>
              <w:t>机动车道、停车场</w:t>
            </w:r>
          </w:p>
        </w:tc>
        <w:tc>
          <w:tcPr>
            <w:tcW w:w="1782" w:type="dxa"/>
            <w:vAlign w:val="center"/>
          </w:tcPr>
          <w:p>
            <w:pPr>
              <w:widowControl/>
              <w:spacing w:line="240" w:lineRule="auto"/>
              <w:ind w:firstLine="0" w:firstLineChars="0"/>
              <w:jc w:val="center"/>
              <w:rPr>
                <w:kern w:val="0"/>
                <w:sz w:val="18"/>
                <w:szCs w:val="20"/>
              </w:rPr>
            </w:pPr>
            <w:r>
              <w:rPr>
                <w:rFonts w:hint="eastAsia"/>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094" w:type="dxa"/>
            <w:vMerge w:val="continue"/>
            <w:vAlign w:val="center"/>
          </w:tcPr>
          <w:p>
            <w:pPr>
              <w:spacing w:line="240" w:lineRule="auto"/>
              <w:ind w:firstLine="0" w:firstLineChars="0"/>
              <w:jc w:val="center"/>
              <w:rPr>
                <w:sz w:val="18"/>
                <w:szCs w:val="20"/>
              </w:rPr>
            </w:pPr>
          </w:p>
        </w:tc>
        <w:tc>
          <w:tcPr>
            <w:tcW w:w="1761" w:type="dxa"/>
            <w:vAlign w:val="center"/>
          </w:tcPr>
          <w:p>
            <w:pPr>
              <w:spacing w:line="240" w:lineRule="auto"/>
              <w:ind w:firstLine="0" w:firstLineChars="0"/>
              <w:jc w:val="left"/>
              <w:rPr>
                <w:sz w:val="18"/>
                <w:szCs w:val="20"/>
              </w:rPr>
            </w:pPr>
            <w:r>
              <w:rPr>
                <w:rFonts w:hint="eastAsia"/>
                <w:sz w:val="18"/>
                <w:szCs w:val="20"/>
              </w:rPr>
              <w:t>游船码头</w:t>
            </w:r>
          </w:p>
        </w:tc>
        <w:tc>
          <w:tcPr>
            <w:tcW w:w="1782" w:type="dxa"/>
            <w:vAlign w:val="center"/>
          </w:tcPr>
          <w:p>
            <w:pPr>
              <w:widowControl/>
              <w:spacing w:line="240" w:lineRule="auto"/>
              <w:ind w:firstLine="0" w:firstLineChars="0"/>
              <w:jc w:val="center"/>
              <w:rPr>
                <w:kern w:val="0"/>
                <w:sz w:val="18"/>
                <w:szCs w:val="20"/>
              </w:rPr>
            </w:pPr>
            <w:r>
              <w:rPr>
                <w:rFonts w:hint="eastAsia"/>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094" w:type="dxa"/>
            <w:vMerge w:val="continue"/>
            <w:vAlign w:val="center"/>
          </w:tcPr>
          <w:p>
            <w:pPr>
              <w:widowControl/>
              <w:spacing w:line="240" w:lineRule="auto"/>
              <w:ind w:firstLine="0" w:firstLineChars="0"/>
              <w:jc w:val="left"/>
              <w:rPr>
                <w:color w:val="000000"/>
                <w:kern w:val="0"/>
                <w:sz w:val="18"/>
                <w:szCs w:val="18"/>
              </w:rPr>
            </w:pPr>
          </w:p>
        </w:tc>
        <w:tc>
          <w:tcPr>
            <w:tcW w:w="1761" w:type="dxa"/>
            <w:vAlign w:val="center"/>
          </w:tcPr>
          <w:p>
            <w:pPr>
              <w:spacing w:line="240" w:lineRule="auto"/>
              <w:ind w:firstLine="0" w:firstLineChars="0"/>
              <w:jc w:val="left"/>
              <w:rPr>
                <w:sz w:val="18"/>
                <w:szCs w:val="20"/>
              </w:rPr>
            </w:pPr>
            <w:r>
              <w:rPr>
                <w:rFonts w:hint="eastAsia"/>
                <w:sz w:val="18"/>
                <w:szCs w:val="20"/>
              </w:rPr>
              <w:t>栈道</w:t>
            </w:r>
          </w:p>
        </w:tc>
        <w:tc>
          <w:tcPr>
            <w:tcW w:w="1782" w:type="dxa"/>
            <w:vAlign w:val="center"/>
          </w:tcPr>
          <w:p>
            <w:pPr>
              <w:spacing w:line="240" w:lineRule="auto"/>
              <w:ind w:firstLine="0" w:firstLineChars="0"/>
              <w:jc w:val="center"/>
              <w:rPr>
                <w:sz w:val="18"/>
                <w:szCs w:val="20"/>
              </w:rPr>
            </w:pPr>
            <w:r>
              <w:rPr>
                <w:rFonts w:hint="eastAsia"/>
                <w:sz w:val="18"/>
                <w:szCs w:val="20"/>
              </w:rPr>
              <w:t>○</w:t>
            </w:r>
          </w:p>
        </w:tc>
        <w:tc>
          <w:tcPr>
            <w:tcW w:w="1782" w:type="dxa"/>
            <w:vAlign w:val="center"/>
          </w:tcPr>
          <w:p>
            <w:pPr>
              <w:spacing w:line="240" w:lineRule="auto"/>
              <w:ind w:firstLine="0" w:firstLineChars="0"/>
              <w:jc w:val="center"/>
              <w:rPr>
                <w:sz w:val="18"/>
                <w:szCs w:val="20"/>
              </w:rPr>
            </w:pPr>
            <w:r>
              <w:rPr>
                <w:rFonts w:hint="eastAsia"/>
                <w:sz w:val="18"/>
                <w:szCs w:val="20"/>
              </w:rPr>
              <w:t>○</w:t>
            </w:r>
          </w:p>
        </w:tc>
        <w:tc>
          <w:tcPr>
            <w:tcW w:w="1782" w:type="dxa"/>
            <w:vAlign w:val="center"/>
          </w:tcPr>
          <w:p>
            <w:pPr>
              <w:spacing w:line="240" w:lineRule="auto"/>
              <w:ind w:firstLine="0" w:firstLineChars="0"/>
              <w:jc w:val="center"/>
              <w:rPr>
                <w:sz w:val="18"/>
                <w:szCs w:val="20"/>
              </w:rPr>
            </w:pPr>
            <w:r>
              <w:rPr>
                <w:rFonts w:hint="eastAsia"/>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094" w:type="dxa"/>
            <w:vMerge w:val="continue"/>
            <w:vAlign w:val="center"/>
          </w:tcPr>
          <w:p>
            <w:pPr>
              <w:widowControl/>
              <w:spacing w:line="240" w:lineRule="auto"/>
              <w:ind w:firstLine="0" w:firstLineChars="0"/>
              <w:jc w:val="left"/>
              <w:rPr>
                <w:color w:val="000000"/>
                <w:kern w:val="0"/>
                <w:sz w:val="18"/>
                <w:szCs w:val="18"/>
              </w:rPr>
            </w:pPr>
          </w:p>
        </w:tc>
        <w:tc>
          <w:tcPr>
            <w:tcW w:w="1761" w:type="dxa"/>
            <w:vAlign w:val="center"/>
          </w:tcPr>
          <w:p>
            <w:pPr>
              <w:spacing w:line="240" w:lineRule="auto"/>
              <w:ind w:firstLine="0" w:firstLineChars="0"/>
              <w:jc w:val="left"/>
              <w:rPr>
                <w:sz w:val="18"/>
                <w:szCs w:val="20"/>
              </w:rPr>
            </w:pPr>
            <w:r>
              <w:rPr>
                <w:rFonts w:hint="eastAsia"/>
                <w:sz w:val="18"/>
                <w:szCs w:val="20"/>
              </w:rPr>
              <w:t>土路</w:t>
            </w:r>
          </w:p>
        </w:tc>
        <w:tc>
          <w:tcPr>
            <w:tcW w:w="1782" w:type="dxa"/>
            <w:vAlign w:val="center"/>
          </w:tcPr>
          <w:p>
            <w:pPr>
              <w:spacing w:line="240" w:lineRule="auto"/>
              <w:ind w:firstLine="0" w:firstLineChars="0"/>
              <w:jc w:val="center"/>
              <w:rPr>
                <w:sz w:val="18"/>
                <w:szCs w:val="20"/>
              </w:rPr>
            </w:pPr>
            <w:r>
              <w:rPr>
                <w:rFonts w:hint="eastAsia"/>
                <w:sz w:val="18"/>
                <w:szCs w:val="20"/>
              </w:rPr>
              <w:t>○</w:t>
            </w:r>
          </w:p>
        </w:tc>
        <w:tc>
          <w:tcPr>
            <w:tcW w:w="1782" w:type="dxa"/>
            <w:vAlign w:val="center"/>
          </w:tcPr>
          <w:p>
            <w:pPr>
              <w:spacing w:line="240" w:lineRule="auto"/>
              <w:ind w:firstLine="0" w:firstLineChars="0"/>
              <w:jc w:val="center"/>
              <w:rPr>
                <w:sz w:val="18"/>
                <w:szCs w:val="20"/>
              </w:rPr>
            </w:pPr>
            <w:r>
              <w:rPr>
                <w:rFonts w:hint="eastAsia"/>
                <w:sz w:val="18"/>
                <w:szCs w:val="20"/>
              </w:rPr>
              <w:t>○</w:t>
            </w:r>
          </w:p>
        </w:tc>
        <w:tc>
          <w:tcPr>
            <w:tcW w:w="1782" w:type="dxa"/>
            <w:vAlign w:val="center"/>
          </w:tcPr>
          <w:p>
            <w:pPr>
              <w:spacing w:line="240" w:lineRule="auto"/>
              <w:ind w:firstLine="0" w:firstLineChars="0"/>
              <w:jc w:val="center"/>
              <w:rPr>
                <w:sz w:val="18"/>
                <w:szCs w:val="20"/>
              </w:rPr>
            </w:pPr>
            <w:r>
              <w:rPr>
                <w:rFonts w:hint="eastAsia"/>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094" w:type="dxa"/>
            <w:vMerge w:val="continue"/>
            <w:vAlign w:val="center"/>
          </w:tcPr>
          <w:p>
            <w:pPr>
              <w:widowControl/>
              <w:spacing w:line="240" w:lineRule="auto"/>
              <w:ind w:firstLine="0" w:firstLineChars="0"/>
              <w:jc w:val="left"/>
              <w:rPr>
                <w:color w:val="000000"/>
                <w:kern w:val="0"/>
                <w:sz w:val="18"/>
                <w:szCs w:val="18"/>
              </w:rPr>
            </w:pPr>
          </w:p>
        </w:tc>
        <w:tc>
          <w:tcPr>
            <w:tcW w:w="1761" w:type="dxa"/>
            <w:vAlign w:val="center"/>
          </w:tcPr>
          <w:p>
            <w:pPr>
              <w:spacing w:line="240" w:lineRule="auto"/>
              <w:ind w:firstLine="0" w:firstLineChars="0"/>
              <w:jc w:val="left"/>
              <w:rPr>
                <w:sz w:val="18"/>
                <w:szCs w:val="20"/>
              </w:rPr>
            </w:pPr>
            <w:r>
              <w:rPr>
                <w:rFonts w:hint="eastAsia"/>
                <w:sz w:val="18"/>
                <w:szCs w:val="20"/>
              </w:rPr>
              <w:t>石砌步道</w:t>
            </w:r>
          </w:p>
        </w:tc>
        <w:tc>
          <w:tcPr>
            <w:tcW w:w="1782" w:type="dxa"/>
            <w:vAlign w:val="center"/>
          </w:tcPr>
          <w:p>
            <w:pPr>
              <w:spacing w:line="240" w:lineRule="auto"/>
              <w:ind w:firstLine="0" w:firstLineChars="0"/>
              <w:jc w:val="center"/>
              <w:rPr>
                <w:sz w:val="18"/>
                <w:szCs w:val="20"/>
              </w:rPr>
            </w:pPr>
            <w:r>
              <w:rPr>
                <w:rFonts w:hint="eastAsia"/>
                <w:sz w:val="18"/>
                <w:szCs w:val="20"/>
              </w:rPr>
              <w:t>○</w:t>
            </w:r>
          </w:p>
        </w:tc>
        <w:tc>
          <w:tcPr>
            <w:tcW w:w="1782" w:type="dxa"/>
            <w:vAlign w:val="center"/>
          </w:tcPr>
          <w:p>
            <w:pPr>
              <w:spacing w:line="240" w:lineRule="auto"/>
              <w:ind w:firstLine="0" w:firstLineChars="0"/>
              <w:jc w:val="center"/>
              <w:rPr>
                <w:sz w:val="18"/>
                <w:szCs w:val="20"/>
              </w:rPr>
            </w:pPr>
            <w:r>
              <w:rPr>
                <w:rFonts w:hint="eastAsia"/>
                <w:sz w:val="18"/>
                <w:szCs w:val="20"/>
              </w:rPr>
              <w:t>○</w:t>
            </w:r>
          </w:p>
        </w:tc>
        <w:tc>
          <w:tcPr>
            <w:tcW w:w="1782" w:type="dxa"/>
            <w:vAlign w:val="center"/>
          </w:tcPr>
          <w:p>
            <w:pPr>
              <w:spacing w:line="240" w:lineRule="auto"/>
              <w:ind w:firstLine="0" w:firstLineChars="0"/>
              <w:jc w:val="center"/>
              <w:rPr>
                <w:sz w:val="18"/>
                <w:szCs w:val="20"/>
              </w:rPr>
            </w:pPr>
            <w:r>
              <w:rPr>
                <w:rFonts w:hint="eastAsia"/>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094" w:type="dxa"/>
            <w:vMerge w:val="continue"/>
            <w:vAlign w:val="center"/>
          </w:tcPr>
          <w:p>
            <w:pPr>
              <w:widowControl/>
              <w:spacing w:line="240" w:lineRule="auto"/>
              <w:ind w:firstLine="0" w:firstLineChars="0"/>
              <w:jc w:val="left"/>
              <w:rPr>
                <w:color w:val="000000"/>
                <w:kern w:val="0"/>
                <w:sz w:val="18"/>
                <w:szCs w:val="18"/>
              </w:rPr>
            </w:pPr>
          </w:p>
        </w:tc>
        <w:tc>
          <w:tcPr>
            <w:tcW w:w="1761" w:type="dxa"/>
            <w:vAlign w:val="center"/>
          </w:tcPr>
          <w:p>
            <w:pPr>
              <w:spacing w:line="240" w:lineRule="auto"/>
              <w:ind w:firstLine="0" w:firstLineChars="0"/>
              <w:jc w:val="left"/>
              <w:rPr>
                <w:sz w:val="18"/>
                <w:szCs w:val="20"/>
              </w:rPr>
            </w:pPr>
            <w:r>
              <w:rPr>
                <w:rFonts w:hint="eastAsia"/>
                <w:sz w:val="18"/>
                <w:szCs w:val="20"/>
              </w:rPr>
              <w:t>其它铺装</w:t>
            </w:r>
          </w:p>
        </w:tc>
        <w:tc>
          <w:tcPr>
            <w:tcW w:w="1782" w:type="dxa"/>
            <w:vAlign w:val="center"/>
          </w:tcPr>
          <w:p>
            <w:pPr>
              <w:spacing w:line="240" w:lineRule="auto"/>
              <w:ind w:firstLine="0" w:firstLineChars="0"/>
              <w:jc w:val="center"/>
              <w:rPr>
                <w:sz w:val="18"/>
                <w:szCs w:val="20"/>
              </w:rPr>
            </w:pPr>
            <w:r>
              <w:rPr>
                <w:rFonts w:hint="eastAsia"/>
                <w:sz w:val="18"/>
                <w:szCs w:val="20"/>
              </w:rPr>
              <w:t>○</w:t>
            </w:r>
          </w:p>
        </w:tc>
        <w:tc>
          <w:tcPr>
            <w:tcW w:w="1782" w:type="dxa"/>
            <w:vAlign w:val="center"/>
          </w:tcPr>
          <w:p>
            <w:pPr>
              <w:spacing w:line="240" w:lineRule="auto"/>
              <w:ind w:firstLine="0" w:firstLineChars="0"/>
              <w:jc w:val="center"/>
              <w:rPr>
                <w:sz w:val="18"/>
                <w:szCs w:val="20"/>
              </w:rPr>
            </w:pPr>
            <w:r>
              <w:rPr>
                <w:rFonts w:hint="eastAsia"/>
                <w:sz w:val="18"/>
                <w:szCs w:val="20"/>
              </w:rPr>
              <w:t>○</w:t>
            </w:r>
          </w:p>
        </w:tc>
        <w:tc>
          <w:tcPr>
            <w:tcW w:w="1782" w:type="dxa"/>
            <w:vAlign w:val="center"/>
          </w:tcPr>
          <w:p>
            <w:pPr>
              <w:spacing w:line="240" w:lineRule="auto"/>
              <w:ind w:firstLine="0" w:firstLineChars="0"/>
              <w:jc w:val="center"/>
              <w:rPr>
                <w:sz w:val="18"/>
                <w:szCs w:val="20"/>
              </w:rPr>
            </w:pPr>
            <w:r>
              <w:rPr>
                <w:rFonts w:hint="eastAsia"/>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094" w:type="dxa"/>
            <w:vMerge w:val="continue"/>
            <w:vAlign w:val="center"/>
          </w:tcPr>
          <w:p>
            <w:pPr>
              <w:widowControl/>
              <w:spacing w:line="240" w:lineRule="auto"/>
              <w:ind w:firstLine="0" w:firstLineChars="0"/>
              <w:jc w:val="left"/>
              <w:rPr>
                <w:color w:val="000000"/>
                <w:kern w:val="0"/>
                <w:sz w:val="18"/>
                <w:szCs w:val="18"/>
              </w:rPr>
            </w:pPr>
          </w:p>
        </w:tc>
        <w:tc>
          <w:tcPr>
            <w:tcW w:w="1761" w:type="dxa"/>
            <w:vAlign w:val="center"/>
          </w:tcPr>
          <w:p>
            <w:pPr>
              <w:spacing w:line="240" w:lineRule="auto"/>
              <w:ind w:firstLine="0" w:firstLineChars="0"/>
              <w:jc w:val="left"/>
              <w:rPr>
                <w:sz w:val="18"/>
                <w:szCs w:val="20"/>
              </w:rPr>
            </w:pPr>
            <w:r>
              <w:rPr>
                <w:rFonts w:hint="eastAsia"/>
                <w:sz w:val="18"/>
                <w:szCs w:val="20"/>
              </w:rPr>
              <w:t>游览车停靠站</w:t>
            </w:r>
          </w:p>
        </w:tc>
        <w:tc>
          <w:tcPr>
            <w:tcW w:w="1782" w:type="dxa"/>
            <w:vAlign w:val="center"/>
          </w:tcPr>
          <w:p>
            <w:pPr>
              <w:spacing w:line="240" w:lineRule="auto"/>
              <w:ind w:firstLine="0" w:firstLineChars="0"/>
              <w:jc w:val="center"/>
              <w:rPr>
                <w:sz w:val="18"/>
                <w:szCs w:val="20"/>
              </w:rPr>
            </w:pPr>
            <w:r>
              <w:rPr>
                <w:rFonts w:hint="eastAsia"/>
                <w:sz w:val="18"/>
                <w:szCs w:val="20"/>
              </w:rPr>
              <w:t>○</w:t>
            </w:r>
          </w:p>
        </w:tc>
        <w:tc>
          <w:tcPr>
            <w:tcW w:w="1782" w:type="dxa"/>
            <w:vAlign w:val="center"/>
          </w:tcPr>
          <w:p>
            <w:pPr>
              <w:spacing w:line="240" w:lineRule="auto"/>
              <w:ind w:firstLine="0" w:firstLineChars="0"/>
              <w:jc w:val="center"/>
              <w:rPr>
                <w:sz w:val="18"/>
                <w:szCs w:val="20"/>
              </w:rPr>
            </w:pPr>
            <w:r>
              <w:rPr>
                <w:rFonts w:hint="eastAsia"/>
                <w:sz w:val="18"/>
                <w:szCs w:val="20"/>
              </w:rPr>
              <w:t>○</w:t>
            </w:r>
          </w:p>
        </w:tc>
        <w:tc>
          <w:tcPr>
            <w:tcW w:w="1782" w:type="dxa"/>
            <w:vAlign w:val="center"/>
          </w:tcPr>
          <w:p>
            <w:pPr>
              <w:spacing w:line="240" w:lineRule="auto"/>
              <w:ind w:firstLine="0" w:firstLineChars="0"/>
              <w:jc w:val="center"/>
              <w:rPr>
                <w:sz w:val="18"/>
                <w:szCs w:val="20"/>
              </w:rPr>
            </w:pPr>
            <w:r>
              <w:rPr>
                <w:rFonts w:hint="eastAsia"/>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094" w:type="dxa"/>
            <w:vMerge w:val="restart"/>
            <w:vAlign w:val="center"/>
          </w:tcPr>
          <w:p>
            <w:pPr>
              <w:spacing w:line="240" w:lineRule="auto"/>
              <w:ind w:firstLine="0" w:firstLineChars="0"/>
              <w:jc w:val="left"/>
              <w:rPr>
                <w:sz w:val="18"/>
                <w:szCs w:val="20"/>
              </w:rPr>
            </w:pPr>
            <w:r>
              <w:rPr>
                <w:sz w:val="18"/>
                <w:szCs w:val="20"/>
              </w:rPr>
              <w:t>2.</w:t>
            </w:r>
            <w:r>
              <w:rPr>
                <w:rFonts w:hint="eastAsia"/>
                <w:sz w:val="18"/>
                <w:szCs w:val="20"/>
              </w:rPr>
              <w:t>餐饮</w:t>
            </w:r>
          </w:p>
        </w:tc>
        <w:tc>
          <w:tcPr>
            <w:tcW w:w="1761" w:type="dxa"/>
          </w:tcPr>
          <w:p>
            <w:pPr>
              <w:spacing w:line="240" w:lineRule="auto"/>
              <w:ind w:firstLine="0" w:firstLineChars="0"/>
              <w:jc w:val="left"/>
              <w:rPr>
                <w:sz w:val="18"/>
                <w:szCs w:val="20"/>
              </w:rPr>
            </w:pPr>
            <w:r>
              <w:rPr>
                <w:rFonts w:hint="eastAsia"/>
                <w:sz w:val="18"/>
                <w:szCs w:val="20"/>
              </w:rPr>
              <w:t>饮食点</w:t>
            </w:r>
          </w:p>
        </w:tc>
        <w:tc>
          <w:tcPr>
            <w:tcW w:w="1782" w:type="dxa"/>
          </w:tcPr>
          <w:p>
            <w:pPr>
              <w:spacing w:line="240" w:lineRule="auto"/>
              <w:ind w:firstLine="0" w:firstLineChars="0"/>
              <w:jc w:val="center"/>
              <w:rPr>
                <w:sz w:val="18"/>
                <w:szCs w:val="20"/>
              </w:rPr>
            </w:pPr>
            <w:r>
              <w:rPr>
                <w:rFonts w:hint="eastAsia"/>
                <w:sz w:val="18"/>
                <w:szCs w:val="20"/>
              </w:rPr>
              <w:t>○</w:t>
            </w:r>
          </w:p>
        </w:tc>
        <w:tc>
          <w:tcPr>
            <w:tcW w:w="1782" w:type="dxa"/>
          </w:tcPr>
          <w:p>
            <w:pPr>
              <w:spacing w:line="240" w:lineRule="auto"/>
              <w:ind w:firstLine="0" w:firstLineChars="0"/>
              <w:jc w:val="center"/>
              <w:rPr>
                <w:sz w:val="18"/>
                <w:szCs w:val="20"/>
              </w:rPr>
            </w:pPr>
            <w:r>
              <w:rPr>
                <w:rFonts w:hint="eastAsia"/>
                <w:sz w:val="18"/>
                <w:szCs w:val="20"/>
              </w:rPr>
              <w:t>△</w:t>
            </w:r>
          </w:p>
        </w:tc>
        <w:tc>
          <w:tcPr>
            <w:tcW w:w="1782" w:type="dxa"/>
          </w:tcPr>
          <w:p>
            <w:pPr>
              <w:spacing w:line="240" w:lineRule="auto"/>
              <w:ind w:firstLine="0" w:firstLineChars="0"/>
              <w:jc w:val="center"/>
              <w:rPr>
                <w:sz w:val="18"/>
                <w:szCs w:val="20"/>
              </w:rPr>
            </w:pPr>
            <w:r>
              <w:rPr>
                <w:rFonts w:hint="eastAsia"/>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094" w:type="dxa"/>
            <w:vMerge w:val="continue"/>
            <w:vAlign w:val="center"/>
          </w:tcPr>
          <w:p>
            <w:pPr>
              <w:spacing w:line="240" w:lineRule="auto"/>
              <w:ind w:firstLine="0" w:firstLineChars="0"/>
              <w:jc w:val="left"/>
              <w:rPr>
                <w:sz w:val="18"/>
                <w:szCs w:val="20"/>
              </w:rPr>
            </w:pPr>
          </w:p>
        </w:tc>
        <w:tc>
          <w:tcPr>
            <w:tcW w:w="1761" w:type="dxa"/>
          </w:tcPr>
          <w:p>
            <w:pPr>
              <w:spacing w:line="240" w:lineRule="auto"/>
              <w:ind w:firstLine="0" w:firstLineChars="0"/>
              <w:jc w:val="left"/>
              <w:rPr>
                <w:sz w:val="18"/>
                <w:szCs w:val="20"/>
              </w:rPr>
            </w:pPr>
            <w:r>
              <w:rPr>
                <w:rFonts w:hint="eastAsia"/>
                <w:sz w:val="18"/>
                <w:szCs w:val="20"/>
              </w:rPr>
              <w:t>野餐点</w:t>
            </w:r>
          </w:p>
        </w:tc>
        <w:tc>
          <w:tcPr>
            <w:tcW w:w="1782" w:type="dxa"/>
          </w:tcPr>
          <w:p>
            <w:pPr>
              <w:spacing w:line="240" w:lineRule="auto"/>
              <w:ind w:firstLine="0" w:firstLineChars="0"/>
              <w:jc w:val="center"/>
              <w:rPr>
                <w:sz w:val="18"/>
                <w:szCs w:val="20"/>
              </w:rPr>
            </w:pPr>
            <w:r>
              <w:rPr>
                <w:rFonts w:hint="eastAsia"/>
                <w:sz w:val="18"/>
                <w:szCs w:val="20"/>
              </w:rPr>
              <w:t>○</w:t>
            </w:r>
          </w:p>
        </w:tc>
        <w:tc>
          <w:tcPr>
            <w:tcW w:w="1782" w:type="dxa"/>
          </w:tcPr>
          <w:p>
            <w:pPr>
              <w:spacing w:line="240" w:lineRule="auto"/>
              <w:ind w:firstLine="0" w:firstLineChars="0"/>
              <w:jc w:val="center"/>
              <w:rPr>
                <w:sz w:val="18"/>
                <w:szCs w:val="20"/>
              </w:rPr>
            </w:pPr>
            <w:r>
              <w:rPr>
                <w:rFonts w:hint="eastAsia"/>
                <w:sz w:val="18"/>
                <w:szCs w:val="20"/>
              </w:rPr>
              <w:t>△</w:t>
            </w:r>
          </w:p>
        </w:tc>
        <w:tc>
          <w:tcPr>
            <w:tcW w:w="1782" w:type="dxa"/>
          </w:tcPr>
          <w:p>
            <w:pPr>
              <w:spacing w:line="240" w:lineRule="auto"/>
              <w:ind w:firstLine="0" w:firstLineChars="0"/>
              <w:jc w:val="center"/>
              <w:rPr>
                <w:sz w:val="18"/>
                <w:szCs w:val="20"/>
              </w:rPr>
            </w:pPr>
            <w:r>
              <w:rPr>
                <w:rFonts w:hint="eastAsia"/>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094" w:type="dxa"/>
            <w:vMerge w:val="continue"/>
            <w:vAlign w:val="center"/>
          </w:tcPr>
          <w:p>
            <w:pPr>
              <w:spacing w:line="240" w:lineRule="auto"/>
              <w:ind w:firstLine="0" w:firstLineChars="0"/>
              <w:jc w:val="left"/>
              <w:rPr>
                <w:sz w:val="18"/>
                <w:szCs w:val="20"/>
              </w:rPr>
            </w:pPr>
          </w:p>
        </w:tc>
        <w:tc>
          <w:tcPr>
            <w:tcW w:w="1761" w:type="dxa"/>
          </w:tcPr>
          <w:p>
            <w:pPr>
              <w:spacing w:line="240" w:lineRule="auto"/>
              <w:ind w:firstLine="0" w:firstLineChars="0"/>
              <w:jc w:val="left"/>
              <w:rPr>
                <w:sz w:val="18"/>
                <w:szCs w:val="20"/>
              </w:rPr>
            </w:pPr>
            <w:r>
              <w:rPr>
                <w:rFonts w:hint="eastAsia"/>
                <w:sz w:val="18"/>
                <w:szCs w:val="20"/>
              </w:rPr>
              <w:t>小型餐厅</w:t>
            </w:r>
          </w:p>
        </w:tc>
        <w:tc>
          <w:tcPr>
            <w:tcW w:w="1782" w:type="dxa"/>
          </w:tcPr>
          <w:p>
            <w:pPr>
              <w:spacing w:line="240" w:lineRule="auto"/>
              <w:ind w:firstLine="0" w:firstLineChars="0"/>
              <w:jc w:val="center"/>
              <w:rPr>
                <w:sz w:val="18"/>
                <w:szCs w:val="20"/>
              </w:rPr>
            </w:pPr>
            <w:r>
              <w:rPr>
                <w:rFonts w:hint="eastAsia"/>
                <w:kern w:val="0"/>
                <w:sz w:val="18"/>
                <w:szCs w:val="20"/>
              </w:rPr>
              <w:t>△</w:t>
            </w:r>
          </w:p>
        </w:tc>
        <w:tc>
          <w:tcPr>
            <w:tcW w:w="1782" w:type="dxa"/>
          </w:tcPr>
          <w:p>
            <w:pPr>
              <w:spacing w:line="240" w:lineRule="auto"/>
              <w:ind w:firstLine="0" w:firstLineChars="0"/>
              <w:jc w:val="center"/>
              <w:rPr>
                <w:sz w:val="18"/>
                <w:szCs w:val="20"/>
              </w:rPr>
            </w:pPr>
            <w:r>
              <w:rPr>
                <w:rFonts w:hint="eastAsia"/>
                <w:sz w:val="18"/>
                <w:szCs w:val="20"/>
              </w:rPr>
              <w:t>×</w:t>
            </w:r>
          </w:p>
        </w:tc>
        <w:tc>
          <w:tcPr>
            <w:tcW w:w="1782" w:type="dxa"/>
          </w:tcPr>
          <w:p>
            <w:pPr>
              <w:spacing w:line="240" w:lineRule="auto"/>
              <w:ind w:firstLine="0" w:firstLineChars="0"/>
              <w:jc w:val="center"/>
              <w:rPr>
                <w:sz w:val="18"/>
                <w:szCs w:val="20"/>
              </w:rPr>
            </w:pPr>
            <w:r>
              <w:rPr>
                <w:rFonts w:hint="eastAsia"/>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094" w:type="dxa"/>
            <w:vMerge w:val="continue"/>
            <w:vAlign w:val="center"/>
          </w:tcPr>
          <w:p>
            <w:pPr>
              <w:spacing w:line="240" w:lineRule="auto"/>
              <w:ind w:firstLine="0" w:firstLineChars="0"/>
              <w:jc w:val="left"/>
              <w:rPr>
                <w:sz w:val="18"/>
                <w:szCs w:val="20"/>
              </w:rPr>
            </w:pPr>
          </w:p>
        </w:tc>
        <w:tc>
          <w:tcPr>
            <w:tcW w:w="1761" w:type="dxa"/>
          </w:tcPr>
          <w:p>
            <w:pPr>
              <w:spacing w:line="240" w:lineRule="auto"/>
              <w:ind w:firstLine="0" w:firstLineChars="0"/>
              <w:jc w:val="left"/>
              <w:rPr>
                <w:sz w:val="18"/>
                <w:szCs w:val="20"/>
              </w:rPr>
            </w:pPr>
            <w:r>
              <w:rPr>
                <w:rFonts w:hint="eastAsia"/>
                <w:sz w:val="18"/>
                <w:szCs w:val="20"/>
              </w:rPr>
              <w:t>中型餐厅</w:t>
            </w:r>
          </w:p>
        </w:tc>
        <w:tc>
          <w:tcPr>
            <w:tcW w:w="1782" w:type="dxa"/>
          </w:tcPr>
          <w:p>
            <w:pPr>
              <w:spacing w:line="240" w:lineRule="auto"/>
              <w:ind w:firstLine="0" w:firstLineChars="0"/>
              <w:jc w:val="center"/>
              <w:rPr>
                <w:sz w:val="18"/>
                <w:szCs w:val="20"/>
              </w:rPr>
            </w:pPr>
            <w:r>
              <w:rPr>
                <w:rFonts w:hint="eastAsia"/>
                <w:sz w:val="18"/>
                <w:szCs w:val="20"/>
              </w:rPr>
              <w:t>×</w:t>
            </w:r>
          </w:p>
        </w:tc>
        <w:tc>
          <w:tcPr>
            <w:tcW w:w="1782" w:type="dxa"/>
          </w:tcPr>
          <w:p>
            <w:pPr>
              <w:spacing w:line="240" w:lineRule="auto"/>
              <w:ind w:firstLine="0" w:firstLineChars="0"/>
              <w:jc w:val="center"/>
              <w:rPr>
                <w:sz w:val="18"/>
                <w:szCs w:val="20"/>
              </w:rPr>
            </w:pPr>
            <w:r>
              <w:rPr>
                <w:rFonts w:hint="eastAsia"/>
                <w:sz w:val="18"/>
                <w:szCs w:val="20"/>
              </w:rPr>
              <w:t>×</w:t>
            </w:r>
          </w:p>
        </w:tc>
        <w:tc>
          <w:tcPr>
            <w:tcW w:w="1782" w:type="dxa"/>
          </w:tcPr>
          <w:p>
            <w:pPr>
              <w:spacing w:line="240" w:lineRule="auto"/>
              <w:ind w:firstLine="0" w:firstLineChars="0"/>
              <w:jc w:val="center"/>
              <w:rPr>
                <w:sz w:val="18"/>
                <w:szCs w:val="20"/>
              </w:rPr>
            </w:pPr>
            <w:r>
              <w:rPr>
                <w:rFonts w:hint="eastAsia"/>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094" w:type="dxa"/>
            <w:vMerge w:val="continue"/>
            <w:vAlign w:val="center"/>
          </w:tcPr>
          <w:p>
            <w:pPr>
              <w:spacing w:line="240" w:lineRule="auto"/>
              <w:ind w:firstLine="0" w:firstLineChars="0"/>
              <w:jc w:val="left"/>
              <w:rPr>
                <w:sz w:val="18"/>
                <w:szCs w:val="20"/>
              </w:rPr>
            </w:pPr>
          </w:p>
        </w:tc>
        <w:tc>
          <w:tcPr>
            <w:tcW w:w="1761" w:type="dxa"/>
          </w:tcPr>
          <w:p>
            <w:pPr>
              <w:spacing w:line="240" w:lineRule="auto"/>
              <w:ind w:firstLine="0" w:firstLineChars="0"/>
              <w:jc w:val="left"/>
              <w:rPr>
                <w:sz w:val="18"/>
                <w:szCs w:val="20"/>
              </w:rPr>
            </w:pPr>
            <w:r>
              <w:rPr>
                <w:rFonts w:hint="eastAsia"/>
                <w:sz w:val="18"/>
                <w:szCs w:val="20"/>
              </w:rPr>
              <w:t>大型餐厅</w:t>
            </w:r>
          </w:p>
        </w:tc>
        <w:tc>
          <w:tcPr>
            <w:tcW w:w="1782" w:type="dxa"/>
          </w:tcPr>
          <w:p>
            <w:pPr>
              <w:spacing w:line="240" w:lineRule="auto"/>
              <w:ind w:firstLine="0" w:firstLineChars="0"/>
              <w:jc w:val="center"/>
              <w:rPr>
                <w:sz w:val="18"/>
                <w:szCs w:val="20"/>
              </w:rPr>
            </w:pPr>
            <w:r>
              <w:rPr>
                <w:rFonts w:hint="eastAsia"/>
                <w:sz w:val="18"/>
                <w:szCs w:val="20"/>
              </w:rPr>
              <w:t>×</w:t>
            </w:r>
          </w:p>
        </w:tc>
        <w:tc>
          <w:tcPr>
            <w:tcW w:w="1782" w:type="dxa"/>
          </w:tcPr>
          <w:p>
            <w:pPr>
              <w:spacing w:line="240" w:lineRule="auto"/>
              <w:ind w:firstLine="0" w:firstLineChars="0"/>
              <w:jc w:val="center"/>
              <w:rPr>
                <w:sz w:val="18"/>
                <w:szCs w:val="20"/>
              </w:rPr>
            </w:pPr>
            <w:r>
              <w:rPr>
                <w:rFonts w:hint="eastAsia"/>
                <w:sz w:val="18"/>
                <w:szCs w:val="20"/>
              </w:rPr>
              <w:t>×</w:t>
            </w:r>
          </w:p>
        </w:tc>
        <w:tc>
          <w:tcPr>
            <w:tcW w:w="1782" w:type="dxa"/>
          </w:tcPr>
          <w:p>
            <w:pPr>
              <w:spacing w:line="240" w:lineRule="auto"/>
              <w:ind w:firstLine="0" w:firstLineChars="0"/>
              <w:jc w:val="center"/>
              <w:rPr>
                <w:sz w:val="18"/>
                <w:szCs w:val="20"/>
              </w:rPr>
            </w:pPr>
            <w:r>
              <w:rPr>
                <w:rFonts w:hint="eastAsia"/>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094" w:type="dxa"/>
            <w:vMerge w:val="restart"/>
            <w:vAlign w:val="center"/>
          </w:tcPr>
          <w:p>
            <w:pPr>
              <w:spacing w:line="240" w:lineRule="auto"/>
              <w:ind w:firstLine="0" w:firstLineChars="0"/>
              <w:jc w:val="left"/>
              <w:rPr>
                <w:sz w:val="18"/>
                <w:szCs w:val="20"/>
              </w:rPr>
            </w:pPr>
            <w:r>
              <w:rPr>
                <w:sz w:val="18"/>
                <w:szCs w:val="20"/>
              </w:rPr>
              <w:t>3.</w:t>
            </w:r>
            <w:r>
              <w:rPr>
                <w:rFonts w:hint="eastAsia"/>
                <w:sz w:val="18"/>
                <w:szCs w:val="20"/>
              </w:rPr>
              <w:t>住宿</w:t>
            </w:r>
          </w:p>
        </w:tc>
        <w:tc>
          <w:tcPr>
            <w:tcW w:w="1761" w:type="dxa"/>
            <w:vAlign w:val="center"/>
          </w:tcPr>
          <w:p>
            <w:pPr>
              <w:spacing w:line="240" w:lineRule="auto"/>
              <w:ind w:firstLine="0" w:firstLineChars="0"/>
              <w:jc w:val="left"/>
              <w:rPr>
                <w:sz w:val="18"/>
                <w:szCs w:val="20"/>
              </w:rPr>
            </w:pPr>
            <w:r>
              <w:rPr>
                <w:rFonts w:hint="eastAsia"/>
                <w:sz w:val="18"/>
                <w:szCs w:val="20"/>
              </w:rPr>
              <w:t>野营点</w:t>
            </w:r>
          </w:p>
        </w:tc>
        <w:tc>
          <w:tcPr>
            <w:tcW w:w="1782" w:type="dxa"/>
            <w:vAlign w:val="center"/>
          </w:tcPr>
          <w:p>
            <w:pPr>
              <w:widowControl/>
              <w:spacing w:line="240" w:lineRule="auto"/>
              <w:ind w:firstLine="0" w:firstLineChars="0"/>
              <w:jc w:val="center"/>
              <w:rPr>
                <w:kern w:val="0"/>
                <w:sz w:val="18"/>
                <w:szCs w:val="20"/>
              </w:rPr>
            </w:pPr>
            <w:r>
              <w:rPr>
                <w:rFonts w:hint="eastAsia"/>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094" w:type="dxa"/>
            <w:vMerge w:val="continue"/>
            <w:vAlign w:val="center"/>
          </w:tcPr>
          <w:p>
            <w:pPr>
              <w:spacing w:line="240" w:lineRule="auto"/>
              <w:ind w:firstLine="0" w:firstLineChars="0"/>
              <w:jc w:val="left"/>
              <w:rPr>
                <w:sz w:val="18"/>
                <w:szCs w:val="20"/>
              </w:rPr>
            </w:pPr>
          </w:p>
        </w:tc>
        <w:tc>
          <w:tcPr>
            <w:tcW w:w="1761" w:type="dxa"/>
            <w:vAlign w:val="center"/>
          </w:tcPr>
          <w:p>
            <w:pPr>
              <w:spacing w:line="240" w:lineRule="auto"/>
              <w:ind w:firstLine="0" w:firstLineChars="0"/>
              <w:jc w:val="left"/>
              <w:rPr>
                <w:sz w:val="18"/>
                <w:szCs w:val="20"/>
              </w:rPr>
            </w:pPr>
            <w:r>
              <w:rPr>
                <w:rFonts w:hint="eastAsia"/>
                <w:sz w:val="18"/>
                <w:szCs w:val="20"/>
              </w:rPr>
              <w:t>家庭客栈</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094" w:type="dxa"/>
            <w:vMerge w:val="continue"/>
            <w:vAlign w:val="center"/>
          </w:tcPr>
          <w:p>
            <w:pPr>
              <w:spacing w:line="240" w:lineRule="auto"/>
              <w:ind w:firstLine="0" w:firstLineChars="0"/>
              <w:jc w:val="left"/>
              <w:rPr>
                <w:sz w:val="18"/>
                <w:szCs w:val="20"/>
              </w:rPr>
            </w:pPr>
          </w:p>
        </w:tc>
        <w:tc>
          <w:tcPr>
            <w:tcW w:w="1761" w:type="dxa"/>
          </w:tcPr>
          <w:p>
            <w:pPr>
              <w:spacing w:line="240" w:lineRule="auto"/>
              <w:ind w:firstLine="0" w:firstLineChars="0"/>
              <w:jc w:val="left"/>
              <w:rPr>
                <w:sz w:val="18"/>
                <w:szCs w:val="20"/>
              </w:rPr>
            </w:pPr>
            <w:r>
              <w:rPr>
                <w:rFonts w:hint="eastAsia"/>
                <w:sz w:val="18"/>
                <w:szCs w:val="20"/>
              </w:rPr>
              <w:t>小型宾馆</w:t>
            </w:r>
          </w:p>
        </w:tc>
        <w:tc>
          <w:tcPr>
            <w:tcW w:w="1782" w:type="dxa"/>
          </w:tcPr>
          <w:p>
            <w:pPr>
              <w:spacing w:line="240" w:lineRule="auto"/>
              <w:ind w:firstLine="0" w:firstLineChars="0"/>
              <w:jc w:val="center"/>
              <w:rPr>
                <w:sz w:val="18"/>
                <w:szCs w:val="20"/>
              </w:rPr>
            </w:pPr>
            <w:r>
              <w:rPr>
                <w:rFonts w:hint="eastAsia"/>
                <w:sz w:val="18"/>
                <w:szCs w:val="20"/>
              </w:rPr>
              <w:t>×</w:t>
            </w:r>
          </w:p>
        </w:tc>
        <w:tc>
          <w:tcPr>
            <w:tcW w:w="1782" w:type="dxa"/>
          </w:tcPr>
          <w:p>
            <w:pPr>
              <w:spacing w:line="240" w:lineRule="auto"/>
              <w:ind w:firstLine="0" w:firstLineChars="0"/>
              <w:jc w:val="center"/>
              <w:rPr>
                <w:sz w:val="18"/>
                <w:szCs w:val="20"/>
              </w:rPr>
            </w:pPr>
            <w:r>
              <w:rPr>
                <w:rFonts w:hint="eastAsia"/>
                <w:sz w:val="18"/>
                <w:szCs w:val="20"/>
              </w:rPr>
              <w:t>○</w:t>
            </w:r>
          </w:p>
        </w:tc>
        <w:tc>
          <w:tcPr>
            <w:tcW w:w="1782" w:type="dxa"/>
          </w:tcPr>
          <w:p>
            <w:pPr>
              <w:spacing w:line="240" w:lineRule="auto"/>
              <w:ind w:firstLine="0" w:firstLineChars="0"/>
              <w:jc w:val="center"/>
              <w:rPr>
                <w:sz w:val="18"/>
                <w:szCs w:val="20"/>
              </w:rPr>
            </w:pPr>
            <w:r>
              <w:rPr>
                <w:rFonts w:hint="eastAsia"/>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094" w:type="dxa"/>
            <w:vMerge w:val="continue"/>
            <w:vAlign w:val="center"/>
          </w:tcPr>
          <w:p>
            <w:pPr>
              <w:spacing w:line="240" w:lineRule="auto"/>
              <w:ind w:firstLine="0" w:firstLineChars="0"/>
              <w:jc w:val="left"/>
              <w:rPr>
                <w:sz w:val="18"/>
                <w:szCs w:val="20"/>
              </w:rPr>
            </w:pPr>
          </w:p>
        </w:tc>
        <w:tc>
          <w:tcPr>
            <w:tcW w:w="1761" w:type="dxa"/>
          </w:tcPr>
          <w:p>
            <w:pPr>
              <w:spacing w:line="240" w:lineRule="auto"/>
              <w:ind w:firstLine="0" w:firstLineChars="0"/>
              <w:jc w:val="left"/>
              <w:rPr>
                <w:sz w:val="18"/>
                <w:szCs w:val="20"/>
              </w:rPr>
            </w:pPr>
            <w:r>
              <w:rPr>
                <w:rFonts w:hint="eastAsia"/>
                <w:sz w:val="18"/>
                <w:szCs w:val="20"/>
              </w:rPr>
              <w:t>中型宾馆</w:t>
            </w:r>
          </w:p>
        </w:tc>
        <w:tc>
          <w:tcPr>
            <w:tcW w:w="1782" w:type="dxa"/>
          </w:tcPr>
          <w:p>
            <w:pPr>
              <w:spacing w:line="240" w:lineRule="auto"/>
              <w:ind w:firstLine="0" w:firstLineChars="0"/>
              <w:jc w:val="center"/>
              <w:rPr>
                <w:sz w:val="18"/>
                <w:szCs w:val="20"/>
              </w:rPr>
            </w:pPr>
            <w:r>
              <w:rPr>
                <w:rFonts w:hint="eastAsia"/>
                <w:sz w:val="18"/>
                <w:szCs w:val="20"/>
              </w:rPr>
              <w:t>×</w:t>
            </w:r>
          </w:p>
        </w:tc>
        <w:tc>
          <w:tcPr>
            <w:tcW w:w="1782" w:type="dxa"/>
          </w:tcPr>
          <w:p>
            <w:pPr>
              <w:spacing w:line="240" w:lineRule="auto"/>
              <w:ind w:firstLine="0" w:firstLineChars="0"/>
              <w:jc w:val="center"/>
              <w:rPr>
                <w:sz w:val="18"/>
                <w:szCs w:val="20"/>
              </w:rPr>
            </w:pPr>
            <w:r>
              <w:rPr>
                <w:rFonts w:hint="eastAsia"/>
                <w:sz w:val="18"/>
                <w:szCs w:val="20"/>
              </w:rPr>
              <w:t>○</w:t>
            </w:r>
          </w:p>
        </w:tc>
        <w:tc>
          <w:tcPr>
            <w:tcW w:w="1782" w:type="dxa"/>
          </w:tcPr>
          <w:p>
            <w:pPr>
              <w:spacing w:line="240" w:lineRule="auto"/>
              <w:ind w:firstLine="0" w:firstLineChars="0"/>
              <w:jc w:val="center"/>
              <w:rPr>
                <w:sz w:val="18"/>
                <w:szCs w:val="20"/>
              </w:rPr>
            </w:pPr>
            <w:r>
              <w:rPr>
                <w:rFonts w:hint="eastAsia"/>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094" w:type="dxa"/>
            <w:vMerge w:val="continue"/>
            <w:vAlign w:val="center"/>
          </w:tcPr>
          <w:p>
            <w:pPr>
              <w:spacing w:line="240" w:lineRule="auto"/>
              <w:ind w:firstLine="0" w:firstLineChars="0"/>
              <w:jc w:val="left"/>
              <w:rPr>
                <w:sz w:val="18"/>
                <w:szCs w:val="20"/>
              </w:rPr>
            </w:pPr>
          </w:p>
        </w:tc>
        <w:tc>
          <w:tcPr>
            <w:tcW w:w="1761" w:type="dxa"/>
          </w:tcPr>
          <w:p>
            <w:pPr>
              <w:spacing w:line="240" w:lineRule="auto"/>
              <w:ind w:firstLine="0" w:firstLineChars="0"/>
              <w:jc w:val="left"/>
              <w:rPr>
                <w:sz w:val="18"/>
                <w:szCs w:val="20"/>
              </w:rPr>
            </w:pPr>
            <w:r>
              <w:rPr>
                <w:rFonts w:hint="eastAsia"/>
                <w:sz w:val="18"/>
                <w:szCs w:val="20"/>
              </w:rPr>
              <w:t>大型宾馆</w:t>
            </w:r>
          </w:p>
        </w:tc>
        <w:tc>
          <w:tcPr>
            <w:tcW w:w="1782" w:type="dxa"/>
          </w:tcPr>
          <w:p>
            <w:pPr>
              <w:spacing w:line="240" w:lineRule="auto"/>
              <w:ind w:firstLine="0" w:firstLineChars="0"/>
              <w:jc w:val="center"/>
              <w:rPr>
                <w:sz w:val="18"/>
                <w:szCs w:val="20"/>
              </w:rPr>
            </w:pPr>
            <w:r>
              <w:rPr>
                <w:rFonts w:hint="eastAsia"/>
                <w:sz w:val="18"/>
                <w:szCs w:val="20"/>
              </w:rPr>
              <w:t>×</w:t>
            </w:r>
          </w:p>
        </w:tc>
        <w:tc>
          <w:tcPr>
            <w:tcW w:w="1782" w:type="dxa"/>
          </w:tcPr>
          <w:p>
            <w:pPr>
              <w:spacing w:line="240" w:lineRule="auto"/>
              <w:ind w:firstLine="0" w:firstLineChars="0"/>
              <w:jc w:val="center"/>
              <w:rPr>
                <w:sz w:val="18"/>
                <w:szCs w:val="20"/>
              </w:rPr>
            </w:pPr>
            <w:r>
              <w:rPr>
                <w:rFonts w:hint="eastAsia"/>
                <w:sz w:val="18"/>
                <w:szCs w:val="20"/>
              </w:rPr>
              <w:t>×</w:t>
            </w:r>
          </w:p>
        </w:tc>
        <w:tc>
          <w:tcPr>
            <w:tcW w:w="1782" w:type="dxa"/>
          </w:tcPr>
          <w:p>
            <w:pPr>
              <w:spacing w:line="240" w:lineRule="auto"/>
              <w:ind w:firstLine="0" w:firstLineChars="0"/>
              <w:jc w:val="center"/>
              <w:rPr>
                <w:sz w:val="18"/>
                <w:szCs w:val="20"/>
              </w:rPr>
            </w:pPr>
            <w:r>
              <w:rPr>
                <w:rFonts w:hint="eastAsia"/>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094" w:type="dxa"/>
            <w:vMerge w:val="restart"/>
            <w:vAlign w:val="center"/>
          </w:tcPr>
          <w:p>
            <w:pPr>
              <w:spacing w:line="240" w:lineRule="auto"/>
              <w:ind w:firstLine="0" w:firstLineChars="0"/>
              <w:jc w:val="left"/>
              <w:rPr>
                <w:sz w:val="18"/>
                <w:szCs w:val="20"/>
              </w:rPr>
            </w:pPr>
            <w:r>
              <w:rPr>
                <w:sz w:val="18"/>
                <w:szCs w:val="20"/>
              </w:rPr>
              <w:t>4.</w:t>
            </w:r>
            <w:r>
              <w:rPr>
                <w:rFonts w:hint="eastAsia"/>
                <w:sz w:val="18"/>
                <w:szCs w:val="20"/>
              </w:rPr>
              <w:t>宣讲咨询</w:t>
            </w:r>
          </w:p>
        </w:tc>
        <w:tc>
          <w:tcPr>
            <w:tcW w:w="1761" w:type="dxa"/>
            <w:vAlign w:val="center"/>
          </w:tcPr>
          <w:p>
            <w:pPr>
              <w:spacing w:line="240" w:lineRule="auto"/>
              <w:ind w:firstLine="0" w:firstLineChars="0"/>
              <w:jc w:val="left"/>
              <w:rPr>
                <w:sz w:val="18"/>
                <w:szCs w:val="20"/>
              </w:rPr>
            </w:pPr>
            <w:r>
              <w:rPr>
                <w:rFonts w:hint="eastAsia"/>
                <w:sz w:val="18"/>
                <w:szCs w:val="20"/>
              </w:rPr>
              <w:t>游客中心</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094" w:type="dxa"/>
            <w:vMerge w:val="continue"/>
            <w:vAlign w:val="center"/>
          </w:tcPr>
          <w:p>
            <w:pPr>
              <w:spacing w:line="240" w:lineRule="auto"/>
              <w:ind w:firstLine="0" w:firstLineChars="0"/>
              <w:jc w:val="left"/>
              <w:rPr>
                <w:sz w:val="18"/>
                <w:szCs w:val="20"/>
              </w:rPr>
            </w:pPr>
          </w:p>
        </w:tc>
        <w:tc>
          <w:tcPr>
            <w:tcW w:w="1761" w:type="dxa"/>
            <w:vAlign w:val="center"/>
          </w:tcPr>
          <w:p>
            <w:pPr>
              <w:spacing w:line="240" w:lineRule="auto"/>
              <w:ind w:firstLine="0" w:firstLineChars="0"/>
              <w:jc w:val="left"/>
              <w:rPr>
                <w:sz w:val="18"/>
                <w:szCs w:val="20"/>
              </w:rPr>
            </w:pPr>
            <w:r>
              <w:rPr>
                <w:rFonts w:hint="eastAsia"/>
                <w:sz w:val="18"/>
                <w:szCs w:val="20"/>
              </w:rPr>
              <w:t>展览馆</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094" w:type="dxa"/>
            <w:vMerge w:val="continue"/>
            <w:vAlign w:val="center"/>
          </w:tcPr>
          <w:p>
            <w:pPr>
              <w:spacing w:line="240" w:lineRule="auto"/>
              <w:ind w:firstLine="0" w:firstLineChars="0"/>
              <w:jc w:val="left"/>
              <w:rPr>
                <w:sz w:val="18"/>
                <w:szCs w:val="20"/>
              </w:rPr>
            </w:pPr>
          </w:p>
        </w:tc>
        <w:tc>
          <w:tcPr>
            <w:tcW w:w="1761" w:type="dxa"/>
            <w:vAlign w:val="center"/>
          </w:tcPr>
          <w:p>
            <w:pPr>
              <w:spacing w:line="240" w:lineRule="auto"/>
              <w:ind w:firstLine="0" w:firstLineChars="0"/>
              <w:jc w:val="left"/>
              <w:rPr>
                <w:sz w:val="18"/>
                <w:szCs w:val="20"/>
              </w:rPr>
            </w:pPr>
            <w:r>
              <w:rPr>
                <w:rFonts w:hint="eastAsia"/>
                <w:sz w:val="18"/>
                <w:szCs w:val="20"/>
              </w:rPr>
              <w:t>解说设施</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094" w:type="dxa"/>
            <w:vMerge w:val="continue"/>
            <w:vAlign w:val="center"/>
          </w:tcPr>
          <w:p>
            <w:pPr>
              <w:spacing w:line="240" w:lineRule="auto"/>
              <w:ind w:firstLine="0" w:firstLineChars="0"/>
              <w:jc w:val="left"/>
              <w:rPr>
                <w:sz w:val="18"/>
                <w:szCs w:val="20"/>
              </w:rPr>
            </w:pPr>
          </w:p>
        </w:tc>
        <w:tc>
          <w:tcPr>
            <w:tcW w:w="1761" w:type="dxa"/>
            <w:vAlign w:val="center"/>
          </w:tcPr>
          <w:p>
            <w:pPr>
              <w:spacing w:line="240" w:lineRule="auto"/>
              <w:ind w:firstLine="0" w:firstLineChars="0"/>
              <w:jc w:val="left"/>
              <w:rPr>
                <w:sz w:val="18"/>
                <w:szCs w:val="20"/>
              </w:rPr>
            </w:pPr>
            <w:r>
              <w:rPr>
                <w:rFonts w:hint="eastAsia"/>
                <w:sz w:val="18"/>
                <w:szCs w:val="20"/>
              </w:rPr>
              <w:t>咨询点</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094" w:type="dxa"/>
            <w:vMerge w:val="restart"/>
            <w:vAlign w:val="center"/>
          </w:tcPr>
          <w:p>
            <w:pPr>
              <w:spacing w:line="240" w:lineRule="auto"/>
              <w:ind w:firstLine="0" w:firstLineChars="0"/>
              <w:jc w:val="left"/>
              <w:rPr>
                <w:sz w:val="18"/>
                <w:szCs w:val="20"/>
              </w:rPr>
            </w:pPr>
            <w:r>
              <w:rPr>
                <w:sz w:val="18"/>
                <w:szCs w:val="20"/>
              </w:rPr>
              <w:t>5.</w:t>
            </w:r>
            <w:r>
              <w:rPr>
                <w:rFonts w:hint="eastAsia"/>
                <w:sz w:val="18"/>
                <w:szCs w:val="20"/>
              </w:rPr>
              <w:t>购物</w:t>
            </w:r>
          </w:p>
        </w:tc>
        <w:tc>
          <w:tcPr>
            <w:tcW w:w="1761" w:type="dxa"/>
            <w:vAlign w:val="center"/>
          </w:tcPr>
          <w:p>
            <w:pPr>
              <w:spacing w:line="240" w:lineRule="auto"/>
              <w:ind w:firstLine="0" w:firstLineChars="0"/>
              <w:jc w:val="left"/>
              <w:rPr>
                <w:sz w:val="18"/>
                <w:szCs w:val="20"/>
              </w:rPr>
            </w:pPr>
            <w:r>
              <w:rPr>
                <w:rFonts w:hint="eastAsia"/>
                <w:sz w:val="18"/>
                <w:szCs w:val="20"/>
              </w:rPr>
              <w:t>银行</w:t>
            </w:r>
          </w:p>
        </w:tc>
        <w:tc>
          <w:tcPr>
            <w:tcW w:w="1782" w:type="dxa"/>
            <w:vAlign w:val="center"/>
          </w:tcPr>
          <w:p>
            <w:pPr>
              <w:widowControl/>
              <w:spacing w:line="240" w:lineRule="auto"/>
              <w:ind w:firstLine="0" w:firstLineChars="0"/>
              <w:jc w:val="center"/>
              <w:rPr>
                <w:kern w:val="0"/>
                <w:sz w:val="18"/>
                <w:szCs w:val="20"/>
              </w:rPr>
            </w:pPr>
            <w:r>
              <w:rPr>
                <w:rFonts w:hint="eastAsia" w:ascii="Calibri" w:hAnsi="Calibri"/>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094" w:type="dxa"/>
            <w:vMerge w:val="continue"/>
            <w:vAlign w:val="center"/>
          </w:tcPr>
          <w:p>
            <w:pPr>
              <w:spacing w:line="240" w:lineRule="auto"/>
              <w:ind w:firstLine="0" w:firstLineChars="0"/>
              <w:jc w:val="left"/>
              <w:rPr>
                <w:sz w:val="18"/>
                <w:szCs w:val="20"/>
              </w:rPr>
            </w:pPr>
          </w:p>
        </w:tc>
        <w:tc>
          <w:tcPr>
            <w:tcW w:w="1761" w:type="dxa"/>
            <w:vAlign w:val="center"/>
          </w:tcPr>
          <w:p>
            <w:pPr>
              <w:spacing w:line="240" w:lineRule="auto"/>
              <w:ind w:firstLine="0" w:firstLineChars="0"/>
              <w:jc w:val="left"/>
              <w:rPr>
                <w:sz w:val="18"/>
                <w:szCs w:val="20"/>
              </w:rPr>
            </w:pPr>
            <w:r>
              <w:rPr>
                <w:rFonts w:hint="eastAsia"/>
                <w:sz w:val="18"/>
                <w:szCs w:val="20"/>
              </w:rPr>
              <w:t>商摊、小卖部</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094" w:type="dxa"/>
            <w:vMerge w:val="continue"/>
            <w:vAlign w:val="center"/>
          </w:tcPr>
          <w:p>
            <w:pPr>
              <w:spacing w:line="240" w:lineRule="auto"/>
              <w:ind w:firstLine="0" w:firstLineChars="0"/>
              <w:jc w:val="left"/>
              <w:rPr>
                <w:sz w:val="18"/>
                <w:szCs w:val="20"/>
              </w:rPr>
            </w:pPr>
          </w:p>
        </w:tc>
        <w:tc>
          <w:tcPr>
            <w:tcW w:w="1761" w:type="dxa"/>
            <w:vAlign w:val="center"/>
          </w:tcPr>
          <w:p>
            <w:pPr>
              <w:spacing w:line="240" w:lineRule="auto"/>
              <w:ind w:firstLine="0" w:firstLineChars="0"/>
              <w:jc w:val="left"/>
              <w:rPr>
                <w:sz w:val="18"/>
                <w:szCs w:val="20"/>
              </w:rPr>
            </w:pPr>
            <w:r>
              <w:rPr>
                <w:rFonts w:hint="eastAsia"/>
                <w:sz w:val="18"/>
                <w:szCs w:val="20"/>
              </w:rPr>
              <w:t>商店</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094" w:type="dxa"/>
            <w:vMerge w:val="restart"/>
            <w:vAlign w:val="center"/>
          </w:tcPr>
          <w:p>
            <w:pPr>
              <w:spacing w:line="240" w:lineRule="auto"/>
              <w:ind w:firstLine="0" w:firstLineChars="0"/>
              <w:jc w:val="left"/>
              <w:rPr>
                <w:sz w:val="18"/>
                <w:szCs w:val="20"/>
              </w:rPr>
            </w:pPr>
            <w:r>
              <w:rPr>
                <w:sz w:val="18"/>
                <w:szCs w:val="20"/>
              </w:rPr>
              <w:t>6.</w:t>
            </w:r>
            <w:r>
              <w:rPr>
                <w:rFonts w:hint="eastAsia"/>
                <w:sz w:val="18"/>
                <w:szCs w:val="20"/>
              </w:rPr>
              <w:t>卫生保健</w:t>
            </w:r>
          </w:p>
        </w:tc>
        <w:tc>
          <w:tcPr>
            <w:tcW w:w="1761" w:type="dxa"/>
            <w:vAlign w:val="center"/>
          </w:tcPr>
          <w:p>
            <w:pPr>
              <w:spacing w:line="240" w:lineRule="auto"/>
              <w:ind w:firstLine="0" w:firstLineChars="0"/>
              <w:jc w:val="left"/>
              <w:rPr>
                <w:sz w:val="18"/>
                <w:szCs w:val="20"/>
              </w:rPr>
            </w:pPr>
            <w:r>
              <w:rPr>
                <w:rFonts w:hint="eastAsia"/>
                <w:sz w:val="18"/>
                <w:szCs w:val="20"/>
              </w:rPr>
              <w:t>卫生救护站</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094" w:type="dxa"/>
            <w:vMerge w:val="continue"/>
            <w:vAlign w:val="center"/>
          </w:tcPr>
          <w:p>
            <w:pPr>
              <w:spacing w:line="240" w:lineRule="auto"/>
              <w:ind w:firstLine="0" w:firstLineChars="0"/>
              <w:jc w:val="left"/>
              <w:rPr>
                <w:sz w:val="18"/>
                <w:szCs w:val="20"/>
              </w:rPr>
            </w:pPr>
          </w:p>
        </w:tc>
        <w:tc>
          <w:tcPr>
            <w:tcW w:w="1761" w:type="dxa"/>
            <w:vAlign w:val="center"/>
          </w:tcPr>
          <w:p>
            <w:pPr>
              <w:spacing w:line="240" w:lineRule="auto"/>
              <w:ind w:firstLine="0" w:firstLineChars="0"/>
              <w:jc w:val="left"/>
              <w:rPr>
                <w:sz w:val="18"/>
                <w:szCs w:val="20"/>
              </w:rPr>
            </w:pPr>
            <w:r>
              <w:rPr>
                <w:rFonts w:hint="eastAsia"/>
                <w:sz w:val="18"/>
                <w:szCs w:val="20"/>
              </w:rPr>
              <w:t>医院</w:t>
            </w:r>
          </w:p>
        </w:tc>
        <w:tc>
          <w:tcPr>
            <w:tcW w:w="1782" w:type="dxa"/>
            <w:vAlign w:val="center"/>
          </w:tcPr>
          <w:p>
            <w:pPr>
              <w:widowControl/>
              <w:spacing w:line="240" w:lineRule="auto"/>
              <w:ind w:firstLine="0" w:firstLineChars="0"/>
              <w:jc w:val="center"/>
              <w:rPr>
                <w:kern w:val="0"/>
                <w:sz w:val="18"/>
                <w:szCs w:val="20"/>
              </w:rPr>
            </w:pPr>
            <w:r>
              <w:rPr>
                <w:rFonts w:hint="eastAsia" w:ascii="Calibri" w:hAnsi="Calibri"/>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094" w:type="dxa"/>
            <w:vMerge w:val="continue"/>
            <w:vAlign w:val="center"/>
          </w:tcPr>
          <w:p>
            <w:pPr>
              <w:spacing w:line="240" w:lineRule="auto"/>
              <w:ind w:firstLine="0" w:firstLineChars="0"/>
              <w:jc w:val="left"/>
              <w:rPr>
                <w:sz w:val="18"/>
                <w:szCs w:val="20"/>
              </w:rPr>
            </w:pPr>
          </w:p>
        </w:tc>
        <w:tc>
          <w:tcPr>
            <w:tcW w:w="1761" w:type="dxa"/>
            <w:vAlign w:val="center"/>
          </w:tcPr>
          <w:p>
            <w:pPr>
              <w:spacing w:line="240" w:lineRule="auto"/>
              <w:ind w:firstLine="0" w:firstLineChars="0"/>
              <w:jc w:val="left"/>
              <w:rPr>
                <w:sz w:val="18"/>
                <w:szCs w:val="20"/>
              </w:rPr>
            </w:pPr>
            <w:r>
              <w:rPr>
                <w:rFonts w:hint="eastAsia"/>
                <w:sz w:val="18"/>
                <w:szCs w:val="20"/>
              </w:rPr>
              <w:t>疗养院</w:t>
            </w:r>
          </w:p>
        </w:tc>
        <w:tc>
          <w:tcPr>
            <w:tcW w:w="1782" w:type="dxa"/>
            <w:vAlign w:val="center"/>
          </w:tcPr>
          <w:p>
            <w:pPr>
              <w:widowControl/>
              <w:spacing w:line="240" w:lineRule="auto"/>
              <w:ind w:firstLine="0" w:firstLineChars="0"/>
              <w:jc w:val="center"/>
              <w:rPr>
                <w:kern w:val="0"/>
                <w:sz w:val="18"/>
                <w:szCs w:val="20"/>
              </w:rPr>
            </w:pPr>
            <w:r>
              <w:rPr>
                <w:rFonts w:hint="eastAsia" w:ascii="Calibri" w:hAnsi="Calibri"/>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094" w:type="dxa"/>
            <w:vMerge w:val="restart"/>
            <w:vAlign w:val="center"/>
          </w:tcPr>
          <w:p>
            <w:pPr>
              <w:spacing w:line="240" w:lineRule="auto"/>
              <w:ind w:firstLine="0" w:firstLineChars="0"/>
              <w:jc w:val="left"/>
              <w:rPr>
                <w:sz w:val="18"/>
                <w:szCs w:val="20"/>
              </w:rPr>
            </w:pPr>
            <w:r>
              <w:rPr>
                <w:sz w:val="18"/>
                <w:szCs w:val="20"/>
              </w:rPr>
              <w:t>7.</w:t>
            </w:r>
            <w:r>
              <w:rPr>
                <w:rFonts w:hint="eastAsia"/>
                <w:sz w:val="18"/>
                <w:szCs w:val="20"/>
              </w:rPr>
              <w:t>管理设施</w:t>
            </w:r>
          </w:p>
        </w:tc>
        <w:tc>
          <w:tcPr>
            <w:tcW w:w="1761" w:type="dxa"/>
            <w:vAlign w:val="center"/>
          </w:tcPr>
          <w:p>
            <w:pPr>
              <w:spacing w:line="240" w:lineRule="auto"/>
              <w:ind w:firstLine="0" w:firstLineChars="0"/>
              <w:jc w:val="left"/>
              <w:rPr>
                <w:sz w:val="18"/>
                <w:szCs w:val="20"/>
              </w:rPr>
            </w:pPr>
            <w:r>
              <w:rPr>
                <w:rFonts w:hint="eastAsia"/>
                <w:sz w:val="18"/>
                <w:szCs w:val="20"/>
              </w:rPr>
              <w:t>行政管理设施</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094" w:type="dxa"/>
            <w:vMerge w:val="continue"/>
            <w:vAlign w:val="center"/>
          </w:tcPr>
          <w:p>
            <w:pPr>
              <w:spacing w:line="240" w:lineRule="auto"/>
              <w:ind w:firstLine="0" w:firstLineChars="0"/>
              <w:jc w:val="left"/>
              <w:rPr>
                <w:sz w:val="18"/>
                <w:szCs w:val="20"/>
              </w:rPr>
            </w:pPr>
          </w:p>
        </w:tc>
        <w:tc>
          <w:tcPr>
            <w:tcW w:w="1761" w:type="dxa"/>
            <w:vAlign w:val="center"/>
          </w:tcPr>
          <w:p>
            <w:pPr>
              <w:spacing w:line="240" w:lineRule="auto"/>
              <w:ind w:firstLine="0" w:firstLineChars="0"/>
              <w:jc w:val="left"/>
              <w:rPr>
                <w:sz w:val="18"/>
                <w:szCs w:val="20"/>
              </w:rPr>
            </w:pPr>
            <w:r>
              <w:rPr>
                <w:rFonts w:hint="eastAsia"/>
                <w:sz w:val="18"/>
                <w:szCs w:val="20"/>
              </w:rPr>
              <w:t>景点保护设施</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094" w:type="dxa"/>
            <w:vMerge w:val="continue"/>
            <w:vAlign w:val="center"/>
          </w:tcPr>
          <w:p>
            <w:pPr>
              <w:spacing w:line="240" w:lineRule="auto"/>
              <w:ind w:firstLine="0" w:firstLineChars="0"/>
              <w:jc w:val="left"/>
              <w:rPr>
                <w:sz w:val="18"/>
                <w:szCs w:val="20"/>
              </w:rPr>
            </w:pPr>
          </w:p>
        </w:tc>
        <w:tc>
          <w:tcPr>
            <w:tcW w:w="1761" w:type="dxa"/>
            <w:vAlign w:val="center"/>
          </w:tcPr>
          <w:p>
            <w:pPr>
              <w:spacing w:line="240" w:lineRule="auto"/>
              <w:ind w:firstLine="0" w:firstLineChars="0"/>
              <w:jc w:val="left"/>
              <w:rPr>
                <w:sz w:val="18"/>
                <w:szCs w:val="20"/>
              </w:rPr>
            </w:pPr>
            <w:r>
              <w:rPr>
                <w:rFonts w:hint="eastAsia"/>
                <w:sz w:val="18"/>
                <w:szCs w:val="20"/>
              </w:rPr>
              <w:t>游客监控设施</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094" w:type="dxa"/>
            <w:vMerge w:val="continue"/>
            <w:vAlign w:val="center"/>
          </w:tcPr>
          <w:p>
            <w:pPr>
              <w:spacing w:line="240" w:lineRule="auto"/>
              <w:ind w:firstLine="0" w:firstLineChars="0"/>
              <w:jc w:val="left"/>
              <w:rPr>
                <w:sz w:val="18"/>
                <w:szCs w:val="20"/>
              </w:rPr>
            </w:pPr>
          </w:p>
        </w:tc>
        <w:tc>
          <w:tcPr>
            <w:tcW w:w="1761" w:type="dxa"/>
            <w:vAlign w:val="center"/>
          </w:tcPr>
          <w:p>
            <w:pPr>
              <w:spacing w:line="240" w:lineRule="auto"/>
              <w:ind w:firstLine="0" w:firstLineChars="0"/>
              <w:jc w:val="left"/>
              <w:rPr>
                <w:sz w:val="18"/>
                <w:szCs w:val="20"/>
              </w:rPr>
            </w:pPr>
            <w:r>
              <w:rPr>
                <w:rFonts w:hint="eastAsia"/>
                <w:sz w:val="18"/>
                <w:szCs w:val="20"/>
              </w:rPr>
              <w:t>环境监控设施</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094" w:type="dxa"/>
            <w:vMerge w:val="restart"/>
            <w:vAlign w:val="center"/>
          </w:tcPr>
          <w:p>
            <w:pPr>
              <w:spacing w:line="240" w:lineRule="auto"/>
              <w:ind w:firstLine="0" w:firstLineChars="0"/>
              <w:jc w:val="left"/>
              <w:rPr>
                <w:sz w:val="18"/>
                <w:szCs w:val="20"/>
              </w:rPr>
            </w:pPr>
            <w:r>
              <w:rPr>
                <w:sz w:val="18"/>
                <w:szCs w:val="20"/>
              </w:rPr>
              <w:t>8.</w:t>
            </w:r>
            <w:r>
              <w:rPr>
                <w:rFonts w:hint="eastAsia"/>
                <w:sz w:val="18"/>
                <w:szCs w:val="20"/>
              </w:rPr>
              <w:t>游览设施</w:t>
            </w:r>
          </w:p>
        </w:tc>
        <w:tc>
          <w:tcPr>
            <w:tcW w:w="1761" w:type="dxa"/>
            <w:vAlign w:val="center"/>
          </w:tcPr>
          <w:p>
            <w:pPr>
              <w:spacing w:line="240" w:lineRule="auto"/>
              <w:ind w:firstLine="0" w:firstLineChars="0"/>
              <w:jc w:val="left"/>
              <w:rPr>
                <w:sz w:val="18"/>
                <w:szCs w:val="20"/>
              </w:rPr>
            </w:pPr>
            <w:r>
              <w:rPr>
                <w:rFonts w:hint="eastAsia"/>
                <w:sz w:val="18"/>
                <w:szCs w:val="20"/>
              </w:rPr>
              <w:t>风雨亭</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094" w:type="dxa"/>
            <w:vMerge w:val="continue"/>
            <w:vAlign w:val="center"/>
          </w:tcPr>
          <w:p>
            <w:pPr>
              <w:spacing w:line="240" w:lineRule="auto"/>
              <w:ind w:firstLine="0" w:firstLineChars="0"/>
              <w:jc w:val="left"/>
              <w:rPr>
                <w:sz w:val="18"/>
                <w:szCs w:val="20"/>
              </w:rPr>
            </w:pPr>
          </w:p>
        </w:tc>
        <w:tc>
          <w:tcPr>
            <w:tcW w:w="1761" w:type="dxa"/>
            <w:vAlign w:val="center"/>
          </w:tcPr>
          <w:p>
            <w:pPr>
              <w:spacing w:line="240" w:lineRule="auto"/>
              <w:ind w:firstLine="0" w:firstLineChars="0"/>
              <w:jc w:val="left"/>
              <w:rPr>
                <w:sz w:val="18"/>
                <w:szCs w:val="20"/>
              </w:rPr>
            </w:pPr>
            <w:r>
              <w:rPr>
                <w:rFonts w:hint="eastAsia"/>
                <w:sz w:val="18"/>
                <w:szCs w:val="20"/>
              </w:rPr>
              <w:t>休息椅凳</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094" w:type="dxa"/>
            <w:vMerge w:val="continue"/>
            <w:vAlign w:val="center"/>
          </w:tcPr>
          <w:p>
            <w:pPr>
              <w:spacing w:line="240" w:lineRule="auto"/>
              <w:ind w:firstLine="0" w:firstLineChars="0"/>
              <w:jc w:val="left"/>
              <w:rPr>
                <w:sz w:val="18"/>
                <w:szCs w:val="20"/>
              </w:rPr>
            </w:pPr>
          </w:p>
        </w:tc>
        <w:tc>
          <w:tcPr>
            <w:tcW w:w="1761" w:type="dxa"/>
            <w:vAlign w:val="center"/>
          </w:tcPr>
          <w:p>
            <w:pPr>
              <w:spacing w:line="240" w:lineRule="auto"/>
              <w:ind w:firstLine="0" w:firstLineChars="0"/>
              <w:jc w:val="left"/>
              <w:rPr>
                <w:sz w:val="18"/>
                <w:szCs w:val="20"/>
              </w:rPr>
            </w:pPr>
            <w:r>
              <w:rPr>
                <w:rFonts w:hint="eastAsia"/>
                <w:sz w:val="18"/>
                <w:szCs w:val="20"/>
              </w:rPr>
              <w:t>景观小品</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094" w:type="dxa"/>
            <w:vMerge w:val="restart"/>
            <w:vAlign w:val="center"/>
          </w:tcPr>
          <w:p>
            <w:pPr>
              <w:spacing w:line="240" w:lineRule="auto"/>
              <w:ind w:firstLine="0" w:firstLineChars="0"/>
              <w:jc w:val="left"/>
              <w:rPr>
                <w:sz w:val="18"/>
                <w:szCs w:val="20"/>
              </w:rPr>
            </w:pPr>
            <w:r>
              <w:rPr>
                <w:sz w:val="18"/>
                <w:szCs w:val="20"/>
              </w:rPr>
              <w:t>9.</w:t>
            </w:r>
            <w:r>
              <w:rPr>
                <w:rFonts w:hint="eastAsia"/>
                <w:sz w:val="18"/>
                <w:szCs w:val="20"/>
              </w:rPr>
              <w:t>基础设施</w:t>
            </w:r>
          </w:p>
        </w:tc>
        <w:tc>
          <w:tcPr>
            <w:tcW w:w="1761" w:type="dxa"/>
            <w:vAlign w:val="center"/>
          </w:tcPr>
          <w:p>
            <w:pPr>
              <w:spacing w:line="240" w:lineRule="auto"/>
              <w:ind w:firstLine="0" w:firstLineChars="0"/>
              <w:jc w:val="left"/>
              <w:rPr>
                <w:sz w:val="18"/>
                <w:szCs w:val="20"/>
              </w:rPr>
            </w:pPr>
            <w:r>
              <w:rPr>
                <w:rFonts w:hint="eastAsia"/>
                <w:sz w:val="18"/>
                <w:szCs w:val="20"/>
              </w:rPr>
              <w:t>邮电所</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094" w:type="dxa"/>
            <w:vMerge w:val="continue"/>
            <w:vAlign w:val="center"/>
          </w:tcPr>
          <w:p>
            <w:pPr>
              <w:spacing w:line="240" w:lineRule="auto"/>
              <w:ind w:firstLine="0" w:firstLineChars="0"/>
              <w:jc w:val="left"/>
              <w:rPr>
                <w:sz w:val="18"/>
                <w:szCs w:val="20"/>
              </w:rPr>
            </w:pPr>
          </w:p>
        </w:tc>
        <w:tc>
          <w:tcPr>
            <w:tcW w:w="1761" w:type="dxa"/>
            <w:vAlign w:val="center"/>
          </w:tcPr>
          <w:p>
            <w:pPr>
              <w:spacing w:line="240" w:lineRule="auto"/>
              <w:ind w:firstLine="0" w:firstLineChars="0"/>
              <w:jc w:val="left"/>
              <w:rPr>
                <w:sz w:val="18"/>
                <w:szCs w:val="20"/>
              </w:rPr>
            </w:pPr>
            <w:r>
              <w:rPr>
                <w:rFonts w:hint="eastAsia"/>
                <w:sz w:val="18"/>
                <w:szCs w:val="20"/>
              </w:rPr>
              <w:t>多媒体信息亭</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094" w:type="dxa"/>
            <w:vMerge w:val="continue"/>
            <w:vAlign w:val="center"/>
          </w:tcPr>
          <w:p>
            <w:pPr>
              <w:spacing w:line="240" w:lineRule="auto"/>
              <w:ind w:firstLine="0" w:firstLineChars="0"/>
              <w:jc w:val="left"/>
              <w:rPr>
                <w:sz w:val="18"/>
                <w:szCs w:val="20"/>
              </w:rPr>
            </w:pPr>
          </w:p>
        </w:tc>
        <w:tc>
          <w:tcPr>
            <w:tcW w:w="1761" w:type="dxa"/>
            <w:vAlign w:val="center"/>
          </w:tcPr>
          <w:p>
            <w:pPr>
              <w:spacing w:line="240" w:lineRule="auto"/>
              <w:ind w:firstLine="0" w:firstLineChars="0"/>
              <w:jc w:val="left"/>
              <w:rPr>
                <w:sz w:val="18"/>
                <w:szCs w:val="20"/>
              </w:rPr>
            </w:pPr>
            <w:r>
              <w:rPr>
                <w:rFonts w:hint="eastAsia"/>
                <w:sz w:val="18"/>
                <w:szCs w:val="20"/>
              </w:rPr>
              <w:t>夜景照明设施</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094" w:type="dxa"/>
            <w:vMerge w:val="continue"/>
            <w:vAlign w:val="center"/>
          </w:tcPr>
          <w:p>
            <w:pPr>
              <w:spacing w:line="240" w:lineRule="auto"/>
              <w:ind w:firstLine="0" w:firstLineChars="0"/>
              <w:jc w:val="left"/>
              <w:rPr>
                <w:sz w:val="18"/>
                <w:szCs w:val="20"/>
              </w:rPr>
            </w:pPr>
          </w:p>
        </w:tc>
        <w:tc>
          <w:tcPr>
            <w:tcW w:w="1761" w:type="dxa"/>
            <w:vAlign w:val="center"/>
          </w:tcPr>
          <w:p>
            <w:pPr>
              <w:spacing w:line="240" w:lineRule="auto"/>
              <w:ind w:firstLine="0" w:firstLineChars="0"/>
              <w:jc w:val="left"/>
              <w:rPr>
                <w:sz w:val="18"/>
                <w:szCs w:val="20"/>
              </w:rPr>
            </w:pPr>
            <w:r>
              <w:rPr>
                <w:rFonts w:hint="eastAsia"/>
                <w:sz w:val="18"/>
                <w:szCs w:val="20"/>
              </w:rPr>
              <w:t>应急供电设施</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094" w:type="dxa"/>
            <w:vMerge w:val="continue"/>
            <w:vAlign w:val="center"/>
          </w:tcPr>
          <w:p>
            <w:pPr>
              <w:spacing w:line="240" w:lineRule="auto"/>
              <w:ind w:firstLine="0" w:firstLineChars="0"/>
              <w:jc w:val="left"/>
              <w:rPr>
                <w:sz w:val="18"/>
                <w:szCs w:val="20"/>
              </w:rPr>
            </w:pPr>
          </w:p>
        </w:tc>
        <w:tc>
          <w:tcPr>
            <w:tcW w:w="1761" w:type="dxa"/>
            <w:vAlign w:val="center"/>
          </w:tcPr>
          <w:p>
            <w:pPr>
              <w:spacing w:line="240" w:lineRule="auto"/>
              <w:ind w:firstLine="0" w:firstLineChars="0"/>
              <w:jc w:val="left"/>
              <w:rPr>
                <w:sz w:val="18"/>
                <w:szCs w:val="20"/>
              </w:rPr>
            </w:pPr>
            <w:r>
              <w:rPr>
                <w:rFonts w:hint="eastAsia"/>
                <w:sz w:val="18"/>
                <w:szCs w:val="20"/>
              </w:rPr>
              <w:t>给水设施</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094" w:type="dxa"/>
            <w:vMerge w:val="continue"/>
            <w:vAlign w:val="center"/>
          </w:tcPr>
          <w:p>
            <w:pPr>
              <w:spacing w:line="240" w:lineRule="auto"/>
              <w:ind w:firstLine="0" w:firstLineChars="0"/>
              <w:jc w:val="left"/>
              <w:rPr>
                <w:sz w:val="18"/>
                <w:szCs w:val="20"/>
              </w:rPr>
            </w:pPr>
          </w:p>
        </w:tc>
        <w:tc>
          <w:tcPr>
            <w:tcW w:w="1761" w:type="dxa"/>
            <w:vAlign w:val="center"/>
          </w:tcPr>
          <w:p>
            <w:pPr>
              <w:spacing w:line="240" w:lineRule="auto"/>
              <w:ind w:firstLine="0" w:firstLineChars="0"/>
              <w:jc w:val="left"/>
              <w:rPr>
                <w:sz w:val="18"/>
                <w:szCs w:val="20"/>
              </w:rPr>
            </w:pPr>
            <w:r>
              <w:rPr>
                <w:rFonts w:hint="eastAsia"/>
                <w:sz w:val="18"/>
                <w:szCs w:val="20"/>
              </w:rPr>
              <w:t>排水管网</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094" w:type="dxa"/>
            <w:vMerge w:val="continue"/>
            <w:vAlign w:val="center"/>
          </w:tcPr>
          <w:p>
            <w:pPr>
              <w:spacing w:line="240" w:lineRule="auto"/>
              <w:ind w:firstLine="0" w:firstLineChars="0"/>
              <w:jc w:val="left"/>
              <w:rPr>
                <w:sz w:val="18"/>
                <w:szCs w:val="20"/>
              </w:rPr>
            </w:pPr>
          </w:p>
        </w:tc>
        <w:tc>
          <w:tcPr>
            <w:tcW w:w="1761" w:type="dxa"/>
            <w:vAlign w:val="center"/>
          </w:tcPr>
          <w:p>
            <w:pPr>
              <w:spacing w:line="240" w:lineRule="auto"/>
              <w:ind w:firstLine="0" w:firstLineChars="0"/>
              <w:jc w:val="left"/>
              <w:rPr>
                <w:sz w:val="18"/>
                <w:szCs w:val="20"/>
              </w:rPr>
            </w:pPr>
            <w:r>
              <w:rPr>
                <w:rFonts w:hint="eastAsia"/>
                <w:sz w:val="18"/>
                <w:szCs w:val="20"/>
              </w:rPr>
              <w:t>垃圾站</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094" w:type="dxa"/>
            <w:vMerge w:val="continue"/>
            <w:vAlign w:val="center"/>
          </w:tcPr>
          <w:p>
            <w:pPr>
              <w:spacing w:line="240" w:lineRule="auto"/>
              <w:ind w:firstLine="0" w:firstLineChars="0"/>
              <w:jc w:val="left"/>
              <w:rPr>
                <w:sz w:val="18"/>
                <w:szCs w:val="20"/>
              </w:rPr>
            </w:pPr>
          </w:p>
        </w:tc>
        <w:tc>
          <w:tcPr>
            <w:tcW w:w="1761" w:type="dxa"/>
            <w:vAlign w:val="center"/>
          </w:tcPr>
          <w:p>
            <w:pPr>
              <w:spacing w:line="240" w:lineRule="auto"/>
              <w:ind w:firstLine="0" w:firstLineChars="0"/>
              <w:jc w:val="left"/>
              <w:rPr>
                <w:sz w:val="18"/>
                <w:szCs w:val="20"/>
              </w:rPr>
            </w:pPr>
            <w:r>
              <w:rPr>
                <w:rFonts w:hint="eastAsia"/>
                <w:sz w:val="18"/>
                <w:szCs w:val="20"/>
              </w:rPr>
              <w:t>公厕</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094" w:type="dxa"/>
            <w:vMerge w:val="continue"/>
            <w:vAlign w:val="center"/>
          </w:tcPr>
          <w:p>
            <w:pPr>
              <w:spacing w:line="240" w:lineRule="auto"/>
              <w:ind w:firstLine="0" w:firstLineChars="0"/>
              <w:jc w:val="left"/>
              <w:rPr>
                <w:sz w:val="18"/>
                <w:szCs w:val="20"/>
              </w:rPr>
            </w:pPr>
          </w:p>
        </w:tc>
        <w:tc>
          <w:tcPr>
            <w:tcW w:w="1761" w:type="dxa"/>
            <w:vAlign w:val="center"/>
          </w:tcPr>
          <w:p>
            <w:pPr>
              <w:spacing w:line="240" w:lineRule="auto"/>
              <w:ind w:firstLine="0" w:firstLineChars="0"/>
              <w:jc w:val="left"/>
              <w:rPr>
                <w:sz w:val="18"/>
                <w:szCs w:val="20"/>
              </w:rPr>
            </w:pPr>
            <w:r>
              <w:rPr>
                <w:rFonts w:hint="eastAsia"/>
                <w:sz w:val="18"/>
                <w:szCs w:val="20"/>
              </w:rPr>
              <w:t>防火通道</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094" w:type="dxa"/>
            <w:vMerge w:val="continue"/>
            <w:vAlign w:val="center"/>
          </w:tcPr>
          <w:p>
            <w:pPr>
              <w:spacing w:line="240" w:lineRule="auto"/>
              <w:ind w:firstLine="0" w:firstLineChars="0"/>
              <w:jc w:val="left"/>
              <w:rPr>
                <w:sz w:val="18"/>
                <w:szCs w:val="20"/>
              </w:rPr>
            </w:pPr>
          </w:p>
        </w:tc>
        <w:tc>
          <w:tcPr>
            <w:tcW w:w="1761" w:type="dxa"/>
            <w:vAlign w:val="center"/>
          </w:tcPr>
          <w:p>
            <w:pPr>
              <w:spacing w:line="240" w:lineRule="auto"/>
              <w:ind w:firstLine="0" w:firstLineChars="0"/>
              <w:jc w:val="left"/>
              <w:rPr>
                <w:sz w:val="18"/>
                <w:szCs w:val="20"/>
              </w:rPr>
            </w:pPr>
            <w:r>
              <w:rPr>
                <w:rFonts w:hint="eastAsia"/>
                <w:sz w:val="18"/>
                <w:szCs w:val="20"/>
              </w:rPr>
              <w:t>消防站</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094" w:type="dxa"/>
            <w:vMerge w:val="restart"/>
            <w:vAlign w:val="center"/>
          </w:tcPr>
          <w:p>
            <w:pPr>
              <w:spacing w:line="240" w:lineRule="auto"/>
              <w:ind w:firstLine="0" w:firstLineChars="0"/>
              <w:jc w:val="left"/>
              <w:rPr>
                <w:sz w:val="18"/>
                <w:szCs w:val="20"/>
              </w:rPr>
            </w:pPr>
            <w:r>
              <w:rPr>
                <w:sz w:val="18"/>
                <w:szCs w:val="20"/>
              </w:rPr>
              <w:t>10.</w:t>
            </w:r>
            <w:r>
              <w:rPr>
                <w:rFonts w:hint="eastAsia"/>
                <w:sz w:val="18"/>
                <w:szCs w:val="20"/>
              </w:rPr>
              <w:t>其它</w:t>
            </w:r>
          </w:p>
        </w:tc>
        <w:tc>
          <w:tcPr>
            <w:tcW w:w="1761" w:type="dxa"/>
            <w:vAlign w:val="center"/>
          </w:tcPr>
          <w:p>
            <w:pPr>
              <w:spacing w:line="240" w:lineRule="auto"/>
              <w:ind w:firstLine="0" w:firstLineChars="0"/>
              <w:jc w:val="left"/>
              <w:rPr>
                <w:sz w:val="18"/>
                <w:szCs w:val="20"/>
              </w:rPr>
            </w:pPr>
            <w:r>
              <w:rPr>
                <w:rFonts w:hint="eastAsia"/>
                <w:sz w:val="18"/>
                <w:szCs w:val="20"/>
              </w:rPr>
              <w:t>科教、纪念类设施</w:t>
            </w:r>
          </w:p>
        </w:tc>
        <w:tc>
          <w:tcPr>
            <w:tcW w:w="1782" w:type="dxa"/>
            <w:vAlign w:val="center"/>
          </w:tcPr>
          <w:p>
            <w:pPr>
              <w:widowControl/>
              <w:spacing w:line="240" w:lineRule="auto"/>
              <w:ind w:firstLine="0" w:firstLineChars="0"/>
              <w:jc w:val="center"/>
              <w:rPr>
                <w:kern w:val="0"/>
                <w:sz w:val="18"/>
                <w:szCs w:val="20"/>
              </w:rPr>
            </w:pPr>
            <w:r>
              <w:rPr>
                <w:rFonts w:hint="eastAsia"/>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c>
          <w:tcPr>
            <w:tcW w:w="1782" w:type="dxa"/>
            <w:vAlign w:val="center"/>
          </w:tcPr>
          <w:p>
            <w:pPr>
              <w:widowControl/>
              <w:spacing w:line="240" w:lineRule="auto"/>
              <w:ind w:firstLine="0" w:firstLineChars="0"/>
              <w:jc w:val="center"/>
              <w:rPr>
                <w:kern w:val="0"/>
                <w:sz w:val="18"/>
                <w:szCs w:val="20"/>
              </w:rPr>
            </w:pPr>
            <w:r>
              <w:rPr>
                <w:rFonts w:hint="eastAsia"/>
                <w:kern w:val="0"/>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094" w:type="dxa"/>
            <w:vMerge w:val="continue"/>
            <w:vAlign w:val="center"/>
          </w:tcPr>
          <w:p>
            <w:pPr>
              <w:widowControl/>
              <w:spacing w:line="240" w:lineRule="auto"/>
              <w:ind w:firstLine="0" w:firstLineChars="0"/>
              <w:jc w:val="left"/>
              <w:rPr>
                <w:color w:val="000000"/>
                <w:kern w:val="0"/>
                <w:sz w:val="18"/>
                <w:szCs w:val="18"/>
              </w:rPr>
            </w:pPr>
          </w:p>
        </w:tc>
        <w:tc>
          <w:tcPr>
            <w:tcW w:w="1761" w:type="dxa"/>
            <w:vAlign w:val="center"/>
          </w:tcPr>
          <w:p>
            <w:pPr>
              <w:widowControl/>
              <w:spacing w:line="240" w:lineRule="auto"/>
              <w:ind w:firstLine="0" w:firstLineChars="0"/>
              <w:jc w:val="left"/>
              <w:rPr>
                <w:color w:val="000000"/>
                <w:kern w:val="0"/>
                <w:sz w:val="18"/>
                <w:szCs w:val="18"/>
              </w:rPr>
            </w:pPr>
            <w:r>
              <w:rPr>
                <w:rFonts w:hint="eastAsia"/>
                <w:color w:val="000000"/>
                <w:kern w:val="0"/>
                <w:sz w:val="18"/>
                <w:szCs w:val="18"/>
              </w:rPr>
              <w:t>节庆、乡土类设施</w:t>
            </w:r>
          </w:p>
        </w:tc>
        <w:tc>
          <w:tcPr>
            <w:tcW w:w="1782" w:type="dxa"/>
            <w:vAlign w:val="center"/>
          </w:tcPr>
          <w:p>
            <w:pPr>
              <w:spacing w:line="240" w:lineRule="auto"/>
              <w:ind w:firstLine="0" w:firstLineChars="0"/>
              <w:jc w:val="center"/>
              <w:rPr>
                <w:sz w:val="18"/>
                <w:szCs w:val="20"/>
              </w:rPr>
            </w:pPr>
            <w:r>
              <w:rPr>
                <w:rFonts w:hint="eastAsia"/>
                <w:sz w:val="18"/>
                <w:szCs w:val="20"/>
              </w:rPr>
              <w:t>○</w:t>
            </w:r>
          </w:p>
        </w:tc>
        <w:tc>
          <w:tcPr>
            <w:tcW w:w="1782" w:type="dxa"/>
            <w:vAlign w:val="center"/>
          </w:tcPr>
          <w:p>
            <w:pPr>
              <w:spacing w:line="240" w:lineRule="auto"/>
              <w:ind w:firstLine="0" w:firstLineChars="0"/>
              <w:jc w:val="center"/>
              <w:rPr>
                <w:sz w:val="18"/>
                <w:szCs w:val="20"/>
              </w:rPr>
            </w:pPr>
            <w:r>
              <w:rPr>
                <w:rFonts w:hint="eastAsia"/>
                <w:sz w:val="18"/>
                <w:szCs w:val="20"/>
              </w:rPr>
              <w:t>○</w:t>
            </w:r>
          </w:p>
        </w:tc>
        <w:tc>
          <w:tcPr>
            <w:tcW w:w="1782" w:type="dxa"/>
            <w:vAlign w:val="center"/>
          </w:tcPr>
          <w:p>
            <w:pPr>
              <w:spacing w:line="240" w:lineRule="auto"/>
              <w:ind w:firstLine="0" w:firstLineChars="0"/>
              <w:jc w:val="center"/>
              <w:rPr>
                <w:sz w:val="18"/>
                <w:szCs w:val="20"/>
              </w:rPr>
            </w:pPr>
            <w:r>
              <w:rPr>
                <w:rFonts w:hint="eastAsia"/>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094" w:type="dxa"/>
            <w:vMerge w:val="continue"/>
            <w:vAlign w:val="center"/>
          </w:tcPr>
          <w:p>
            <w:pPr>
              <w:widowControl/>
              <w:spacing w:line="240" w:lineRule="auto"/>
              <w:ind w:firstLine="0" w:firstLineChars="0"/>
              <w:jc w:val="left"/>
              <w:rPr>
                <w:color w:val="000000"/>
                <w:kern w:val="0"/>
                <w:sz w:val="18"/>
                <w:szCs w:val="18"/>
              </w:rPr>
            </w:pPr>
          </w:p>
        </w:tc>
        <w:tc>
          <w:tcPr>
            <w:tcW w:w="1761" w:type="dxa"/>
            <w:vAlign w:val="center"/>
          </w:tcPr>
          <w:p>
            <w:pPr>
              <w:widowControl/>
              <w:spacing w:line="240" w:lineRule="auto"/>
              <w:ind w:firstLine="0" w:firstLineChars="0"/>
              <w:jc w:val="left"/>
              <w:rPr>
                <w:color w:val="000000"/>
                <w:kern w:val="0"/>
                <w:sz w:val="18"/>
                <w:szCs w:val="18"/>
              </w:rPr>
            </w:pPr>
            <w:r>
              <w:rPr>
                <w:rFonts w:hint="eastAsia"/>
                <w:color w:val="000000"/>
                <w:kern w:val="0"/>
                <w:sz w:val="18"/>
                <w:szCs w:val="18"/>
              </w:rPr>
              <w:t>宗教设施</w:t>
            </w:r>
          </w:p>
        </w:tc>
        <w:tc>
          <w:tcPr>
            <w:tcW w:w="1782" w:type="dxa"/>
            <w:vAlign w:val="center"/>
          </w:tcPr>
          <w:p>
            <w:pPr>
              <w:spacing w:line="240" w:lineRule="auto"/>
              <w:ind w:firstLine="0" w:firstLineChars="0"/>
              <w:jc w:val="center"/>
              <w:rPr>
                <w:sz w:val="18"/>
                <w:szCs w:val="20"/>
              </w:rPr>
            </w:pPr>
            <w:r>
              <w:rPr>
                <w:rFonts w:hint="eastAsia"/>
                <w:sz w:val="18"/>
                <w:szCs w:val="20"/>
              </w:rPr>
              <w:t>○</w:t>
            </w:r>
          </w:p>
        </w:tc>
        <w:tc>
          <w:tcPr>
            <w:tcW w:w="1782" w:type="dxa"/>
            <w:vAlign w:val="center"/>
          </w:tcPr>
          <w:p>
            <w:pPr>
              <w:spacing w:line="240" w:lineRule="auto"/>
              <w:ind w:firstLine="0" w:firstLineChars="0"/>
              <w:jc w:val="center"/>
              <w:rPr>
                <w:sz w:val="18"/>
                <w:szCs w:val="20"/>
              </w:rPr>
            </w:pPr>
            <w:r>
              <w:rPr>
                <w:rFonts w:hint="eastAsia"/>
                <w:sz w:val="18"/>
                <w:szCs w:val="20"/>
              </w:rPr>
              <w:t>○</w:t>
            </w:r>
          </w:p>
        </w:tc>
        <w:tc>
          <w:tcPr>
            <w:tcW w:w="1782" w:type="dxa"/>
            <w:vAlign w:val="center"/>
          </w:tcPr>
          <w:p>
            <w:pPr>
              <w:spacing w:line="240" w:lineRule="auto"/>
              <w:ind w:firstLine="0" w:firstLineChars="0"/>
              <w:jc w:val="center"/>
              <w:rPr>
                <w:sz w:val="18"/>
                <w:szCs w:val="20"/>
              </w:rPr>
            </w:pPr>
            <w:r>
              <w:rPr>
                <w:rFonts w:hint="eastAsia"/>
                <w:sz w:val="18"/>
                <w:szCs w:val="20"/>
              </w:rPr>
              <w:t>○</w:t>
            </w:r>
          </w:p>
        </w:tc>
      </w:tr>
    </w:tbl>
    <w:p>
      <w:pPr>
        <w:spacing w:before="72"/>
        <w:ind w:firstLine="502" w:firstLineChars="279"/>
        <w:rPr>
          <w:rFonts w:ascii="宋体" w:hAnsi="宋体" w:cs="仿宋_GB2312"/>
          <w:color w:val="000000"/>
          <w:sz w:val="18"/>
          <w:szCs w:val="18"/>
        </w:rPr>
      </w:pPr>
      <w:r>
        <w:rPr>
          <w:rFonts w:hint="eastAsia" w:ascii="宋体" w:hAnsi="宋体" w:cs="仿宋_GB2312"/>
          <w:color w:val="000000"/>
          <w:sz w:val="18"/>
          <w:szCs w:val="18"/>
        </w:rPr>
        <w:t>注：●应该设置；○可以设置；</w:t>
      </w:r>
      <w:r>
        <w:rPr>
          <w:rFonts w:ascii="宋体" w:hAnsi="宋体" w:eastAsia="宋体" w:cs="仿宋_GB2312"/>
          <w:color w:val="000000"/>
          <w:sz w:val="18"/>
          <w:szCs w:val="18"/>
        </w:rPr>
        <w:sym w:font="Wingdings 2" w:char="F0A3"/>
      </w:r>
      <w:r>
        <w:rPr>
          <w:rFonts w:hint="eastAsia" w:ascii="宋体" w:hAnsi="宋体" w:eastAsia="宋体" w:cs="仿宋_GB2312"/>
          <w:color w:val="000000"/>
          <w:sz w:val="18"/>
          <w:szCs w:val="18"/>
        </w:rPr>
        <w:t>有条件设置；</w:t>
      </w:r>
      <w:r>
        <w:rPr>
          <w:rFonts w:hint="eastAsia" w:ascii="宋体" w:hAnsi="宋体" w:cs="仿宋_GB2312"/>
          <w:color w:val="000000"/>
          <w:sz w:val="18"/>
          <w:szCs w:val="18"/>
        </w:rPr>
        <w:t>△可保留不宜设置；×禁止设置；</w:t>
      </w:r>
      <w:r>
        <w:rPr>
          <w:rFonts w:ascii="宋体" w:hAnsi="宋体" w:cs="仿宋_GB2312"/>
          <w:color w:val="000000"/>
          <w:sz w:val="18"/>
          <w:szCs w:val="18"/>
        </w:rPr>
        <w:t>—</w:t>
      </w:r>
      <w:r>
        <w:rPr>
          <w:rFonts w:hint="eastAsia" w:ascii="宋体" w:hAnsi="宋体" w:cs="仿宋_GB2312"/>
          <w:color w:val="000000"/>
          <w:sz w:val="18"/>
          <w:szCs w:val="18"/>
        </w:rPr>
        <w:t>不适用</w:t>
      </w:r>
    </w:p>
    <w:p>
      <w:pPr>
        <w:pStyle w:val="4"/>
        <w:spacing w:before="163"/>
        <w:ind w:firstLine="360"/>
      </w:pPr>
      <w:r>
        <w:rPr>
          <w:rFonts w:hint="eastAsia"/>
        </w:rPr>
        <w:t>（二）分区活动控制管理</w:t>
      </w:r>
    </w:p>
    <w:p>
      <w:pPr>
        <w:spacing w:before="97" w:beforeLines="30"/>
        <w:ind w:firstLine="480"/>
        <w:rPr>
          <w:rFonts w:ascii="宋体" w:hAnsi="宋体"/>
        </w:rPr>
      </w:pPr>
      <w:r>
        <w:rPr>
          <w:rFonts w:hint="eastAsia" w:ascii="宋体" w:hAnsi="宋体"/>
        </w:rPr>
        <w:t>对游客和居民在风景名胜区内的活动进行控制和管理，各分区内人类活动的控制与管理要求见下表：</w:t>
      </w:r>
    </w:p>
    <w:p>
      <w:pPr>
        <w:spacing w:before="163" w:beforeLines="50"/>
        <w:ind w:firstLine="422"/>
        <w:jc w:val="center"/>
        <w:rPr>
          <w:rFonts w:ascii="宋体" w:hAnsi="宋体"/>
          <w:b/>
          <w:kern w:val="0"/>
          <w:sz w:val="21"/>
          <w:szCs w:val="21"/>
        </w:rPr>
      </w:pPr>
      <w:r>
        <w:rPr>
          <w:rFonts w:hint="eastAsia" w:ascii="宋体" w:hAnsi="宋体"/>
          <w:b/>
          <w:kern w:val="0"/>
          <w:sz w:val="21"/>
          <w:szCs w:val="21"/>
        </w:rPr>
        <w:t>表2</w:t>
      </w:r>
      <w:r>
        <w:rPr>
          <w:rFonts w:ascii="宋体" w:hAnsi="宋体"/>
          <w:b/>
          <w:kern w:val="0"/>
          <w:sz w:val="21"/>
          <w:szCs w:val="21"/>
        </w:rPr>
        <w:t>-</w:t>
      </w:r>
      <w:r>
        <w:rPr>
          <w:rFonts w:hint="eastAsia" w:ascii="宋体" w:hAnsi="宋体"/>
          <w:b/>
          <w:kern w:val="0"/>
          <w:sz w:val="21"/>
          <w:szCs w:val="21"/>
        </w:rPr>
        <w:t>7</w:t>
      </w:r>
      <w:r>
        <w:rPr>
          <w:rFonts w:ascii="宋体" w:hAnsi="宋体"/>
          <w:b/>
          <w:kern w:val="0"/>
          <w:sz w:val="21"/>
          <w:szCs w:val="21"/>
        </w:rPr>
        <w:t xml:space="preserve"> </w:t>
      </w:r>
      <w:r>
        <w:rPr>
          <w:rFonts w:hint="eastAsia" w:ascii="宋体" w:hAnsi="宋体"/>
          <w:b/>
          <w:kern w:val="0"/>
          <w:sz w:val="21"/>
          <w:szCs w:val="21"/>
        </w:rPr>
        <w:t>分区活动控制管理一览表</w:t>
      </w:r>
    </w:p>
    <w:tbl>
      <w:tblPr>
        <w:tblStyle w:val="42"/>
        <w:tblW w:w="83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
        <w:gridCol w:w="2950"/>
        <w:gridCol w:w="1644"/>
        <w:gridCol w:w="1644"/>
        <w:gridCol w:w="1644"/>
      </w:tblGrid>
      <w:tr>
        <w:tblPrEx>
          <w:tblLayout w:type="fixed"/>
          <w:tblCellMar>
            <w:top w:w="0" w:type="dxa"/>
            <w:left w:w="108" w:type="dxa"/>
            <w:bottom w:w="0" w:type="dxa"/>
            <w:right w:w="108" w:type="dxa"/>
          </w:tblCellMar>
        </w:tblPrEx>
        <w:trPr>
          <w:trHeight w:val="411" w:hRule="atLeast"/>
          <w:jc w:val="center"/>
        </w:trPr>
        <w:tc>
          <w:tcPr>
            <w:tcW w:w="3401" w:type="dxa"/>
            <w:gridSpan w:val="2"/>
            <w:shd w:val="clear" w:color="auto" w:fill="E2E2E2"/>
            <w:vAlign w:val="center"/>
          </w:tcPr>
          <w:p>
            <w:pPr>
              <w:spacing w:line="240" w:lineRule="auto"/>
              <w:ind w:firstLine="0" w:firstLineChars="0"/>
              <w:jc w:val="center"/>
              <w:rPr>
                <w:b/>
                <w:sz w:val="18"/>
                <w:szCs w:val="20"/>
              </w:rPr>
            </w:pPr>
            <w:r>
              <w:rPr>
                <w:rFonts w:hint="eastAsia"/>
                <w:b/>
                <w:sz w:val="18"/>
                <w:szCs w:val="20"/>
              </w:rPr>
              <w:t>活动类型</w:t>
            </w:r>
          </w:p>
        </w:tc>
        <w:tc>
          <w:tcPr>
            <w:tcW w:w="1644" w:type="dxa"/>
            <w:shd w:val="clear" w:color="auto" w:fill="E2E2E2"/>
            <w:vAlign w:val="center"/>
          </w:tcPr>
          <w:p>
            <w:pPr>
              <w:spacing w:line="240" w:lineRule="auto"/>
              <w:ind w:firstLine="0" w:firstLineChars="0"/>
              <w:jc w:val="center"/>
              <w:rPr>
                <w:b/>
                <w:sz w:val="18"/>
                <w:szCs w:val="20"/>
              </w:rPr>
            </w:pPr>
            <w:r>
              <w:rPr>
                <w:rFonts w:hint="eastAsia"/>
                <w:b/>
                <w:sz w:val="18"/>
                <w:szCs w:val="20"/>
              </w:rPr>
              <w:t>一级保护区</w:t>
            </w:r>
          </w:p>
        </w:tc>
        <w:tc>
          <w:tcPr>
            <w:tcW w:w="1644" w:type="dxa"/>
            <w:shd w:val="clear" w:color="auto" w:fill="E2E2E2"/>
            <w:vAlign w:val="center"/>
          </w:tcPr>
          <w:p>
            <w:pPr>
              <w:spacing w:line="240" w:lineRule="auto"/>
              <w:ind w:firstLine="0" w:firstLineChars="0"/>
              <w:jc w:val="center"/>
              <w:rPr>
                <w:b/>
                <w:sz w:val="18"/>
                <w:szCs w:val="20"/>
              </w:rPr>
            </w:pPr>
            <w:r>
              <w:rPr>
                <w:rFonts w:hint="eastAsia"/>
                <w:b/>
                <w:sz w:val="18"/>
                <w:szCs w:val="20"/>
              </w:rPr>
              <w:t>二级保护区</w:t>
            </w:r>
          </w:p>
        </w:tc>
        <w:tc>
          <w:tcPr>
            <w:tcW w:w="1644" w:type="dxa"/>
            <w:shd w:val="clear" w:color="auto" w:fill="E2E2E2"/>
            <w:vAlign w:val="center"/>
          </w:tcPr>
          <w:p>
            <w:pPr>
              <w:spacing w:line="240" w:lineRule="auto"/>
              <w:ind w:firstLine="0" w:firstLineChars="0"/>
              <w:jc w:val="center"/>
              <w:rPr>
                <w:b/>
                <w:sz w:val="18"/>
                <w:szCs w:val="20"/>
              </w:rPr>
            </w:pPr>
            <w:r>
              <w:rPr>
                <w:rFonts w:hint="eastAsia"/>
                <w:b/>
                <w:sz w:val="18"/>
                <w:szCs w:val="20"/>
              </w:rPr>
              <w:t>三级保护区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51" w:type="dxa"/>
            <w:vMerge w:val="restart"/>
            <w:vAlign w:val="center"/>
          </w:tcPr>
          <w:p>
            <w:pPr>
              <w:spacing w:line="240" w:lineRule="auto"/>
              <w:ind w:firstLine="0" w:firstLineChars="0"/>
              <w:jc w:val="left"/>
              <w:rPr>
                <w:sz w:val="18"/>
                <w:szCs w:val="20"/>
              </w:rPr>
            </w:pPr>
            <w:r>
              <w:rPr>
                <w:rFonts w:hint="eastAsia"/>
                <w:sz w:val="18"/>
                <w:szCs w:val="20"/>
              </w:rPr>
              <w:t>旅</w:t>
            </w:r>
          </w:p>
          <w:p>
            <w:pPr>
              <w:spacing w:line="240" w:lineRule="auto"/>
              <w:ind w:firstLine="0" w:firstLineChars="0"/>
              <w:jc w:val="left"/>
              <w:rPr>
                <w:sz w:val="18"/>
                <w:szCs w:val="20"/>
              </w:rPr>
            </w:pPr>
            <w:r>
              <w:rPr>
                <w:rFonts w:hint="eastAsia"/>
                <w:sz w:val="18"/>
                <w:szCs w:val="20"/>
              </w:rPr>
              <w:t>游</w:t>
            </w:r>
          </w:p>
          <w:p>
            <w:pPr>
              <w:spacing w:line="240" w:lineRule="auto"/>
              <w:ind w:firstLine="0" w:firstLineChars="0"/>
              <w:jc w:val="left"/>
              <w:rPr>
                <w:sz w:val="18"/>
                <w:szCs w:val="20"/>
              </w:rPr>
            </w:pPr>
            <w:r>
              <w:rPr>
                <w:rFonts w:hint="eastAsia"/>
                <w:sz w:val="18"/>
                <w:szCs w:val="20"/>
              </w:rPr>
              <w:t>活</w:t>
            </w:r>
          </w:p>
          <w:p>
            <w:pPr>
              <w:spacing w:line="240" w:lineRule="auto"/>
              <w:ind w:firstLine="0" w:firstLineChars="0"/>
              <w:jc w:val="left"/>
              <w:rPr>
                <w:sz w:val="18"/>
                <w:szCs w:val="20"/>
              </w:rPr>
            </w:pPr>
            <w:r>
              <w:rPr>
                <w:rFonts w:hint="eastAsia"/>
                <w:sz w:val="18"/>
                <w:szCs w:val="20"/>
              </w:rPr>
              <w:t>动</w:t>
            </w:r>
          </w:p>
        </w:tc>
        <w:tc>
          <w:tcPr>
            <w:tcW w:w="2950" w:type="dxa"/>
          </w:tcPr>
          <w:p>
            <w:pPr>
              <w:spacing w:line="240" w:lineRule="auto"/>
              <w:ind w:firstLine="0" w:firstLineChars="0"/>
              <w:jc w:val="left"/>
              <w:rPr>
                <w:sz w:val="18"/>
                <w:szCs w:val="20"/>
              </w:rPr>
            </w:pPr>
            <w:r>
              <w:rPr>
                <w:sz w:val="18"/>
                <w:szCs w:val="20"/>
              </w:rPr>
              <w:t>1.</w:t>
            </w:r>
            <w:r>
              <w:rPr>
                <w:rFonts w:hint="eastAsia"/>
                <w:sz w:val="18"/>
                <w:szCs w:val="20"/>
              </w:rPr>
              <w:t>休闲散步</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51" w:type="dxa"/>
            <w:vMerge w:val="continue"/>
            <w:vAlign w:val="center"/>
          </w:tcPr>
          <w:p>
            <w:pPr>
              <w:spacing w:line="240" w:lineRule="auto"/>
              <w:ind w:firstLine="0" w:firstLineChars="0"/>
              <w:jc w:val="left"/>
              <w:rPr>
                <w:sz w:val="18"/>
                <w:szCs w:val="20"/>
              </w:rPr>
            </w:pPr>
          </w:p>
        </w:tc>
        <w:tc>
          <w:tcPr>
            <w:tcW w:w="2950" w:type="dxa"/>
          </w:tcPr>
          <w:p>
            <w:pPr>
              <w:spacing w:line="240" w:lineRule="auto"/>
              <w:ind w:firstLine="0" w:firstLineChars="0"/>
              <w:jc w:val="left"/>
              <w:rPr>
                <w:sz w:val="18"/>
                <w:szCs w:val="20"/>
              </w:rPr>
            </w:pPr>
            <w:r>
              <w:rPr>
                <w:sz w:val="18"/>
                <w:szCs w:val="20"/>
              </w:rPr>
              <w:t>2.</w:t>
            </w:r>
            <w:r>
              <w:rPr>
                <w:rFonts w:hint="eastAsia"/>
                <w:sz w:val="18"/>
                <w:szCs w:val="20"/>
              </w:rPr>
              <w:t>登山</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51" w:type="dxa"/>
            <w:vMerge w:val="continue"/>
            <w:vAlign w:val="center"/>
          </w:tcPr>
          <w:p>
            <w:pPr>
              <w:spacing w:line="240" w:lineRule="auto"/>
              <w:ind w:firstLine="0" w:firstLineChars="0"/>
              <w:jc w:val="left"/>
              <w:rPr>
                <w:sz w:val="18"/>
                <w:szCs w:val="20"/>
              </w:rPr>
            </w:pPr>
          </w:p>
        </w:tc>
        <w:tc>
          <w:tcPr>
            <w:tcW w:w="2950" w:type="dxa"/>
          </w:tcPr>
          <w:p>
            <w:pPr>
              <w:spacing w:line="240" w:lineRule="auto"/>
              <w:ind w:firstLine="0" w:firstLineChars="0"/>
              <w:jc w:val="left"/>
              <w:rPr>
                <w:sz w:val="18"/>
                <w:szCs w:val="20"/>
              </w:rPr>
            </w:pPr>
            <w:r>
              <w:rPr>
                <w:sz w:val="18"/>
                <w:szCs w:val="20"/>
              </w:rPr>
              <w:t>3.</w:t>
            </w:r>
            <w:r>
              <w:rPr>
                <w:rFonts w:hint="eastAsia"/>
                <w:sz w:val="18"/>
                <w:szCs w:val="20"/>
              </w:rPr>
              <w:t>骑自行车游览</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51" w:type="dxa"/>
            <w:vMerge w:val="continue"/>
            <w:vAlign w:val="center"/>
          </w:tcPr>
          <w:p>
            <w:pPr>
              <w:spacing w:line="240" w:lineRule="auto"/>
              <w:ind w:firstLine="0" w:firstLineChars="0"/>
              <w:jc w:val="left"/>
              <w:rPr>
                <w:sz w:val="18"/>
                <w:szCs w:val="20"/>
              </w:rPr>
            </w:pPr>
          </w:p>
        </w:tc>
        <w:tc>
          <w:tcPr>
            <w:tcW w:w="2950" w:type="dxa"/>
          </w:tcPr>
          <w:p>
            <w:pPr>
              <w:spacing w:line="240" w:lineRule="auto"/>
              <w:ind w:firstLine="0" w:firstLineChars="0"/>
              <w:jc w:val="left"/>
              <w:rPr>
                <w:sz w:val="18"/>
                <w:szCs w:val="20"/>
              </w:rPr>
            </w:pPr>
            <w:r>
              <w:rPr>
                <w:sz w:val="18"/>
                <w:szCs w:val="20"/>
              </w:rPr>
              <w:t>4.</w:t>
            </w:r>
            <w:r>
              <w:rPr>
                <w:rFonts w:hint="eastAsia"/>
                <w:sz w:val="18"/>
                <w:szCs w:val="20"/>
              </w:rPr>
              <w:t>古迹探访</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51" w:type="dxa"/>
            <w:vMerge w:val="continue"/>
            <w:vAlign w:val="center"/>
          </w:tcPr>
          <w:p>
            <w:pPr>
              <w:spacing w:line="240" w:lineRule="auto"/>
              <w:ind w:firstLine="0" w:firstLineChars="0"/>
              <w:jc w:val="left"/>
              <w:rPr>
                <w:sz w:val="18"/>
                <w:szCs w:val="20"/>
              </w:rPr>
            </w:pPr>
          </w:p>
        </w:tc>
        <w:tc>
          <w:tcPr>
            <w:tcW w:w="2950" w:type="dxa"/>
          </w:tcPr>
          <w:p>
            <w:pPr>
              <w:spacing w:line="240" w:lineRule="auto"/>
              <w:ind w:firstLine="0" w:firstLineChars="0"/>
              <w:jc w:val="left"/>
              <w:rPr>
                <w:sz w:val="18"/>
                <w:szCs w:val="20"/>
              </w:rPr>
            </w:pPr>
            <w:r>
              <w:rPr>
                <w:sz w:val="18"/>
                <w:szCs w:val="20"/>
              </w:rPr>
              <w:t>5.</w:t>
            </w:r>
            <w:r>
              <w:rPr>
                <w:rFonts w:hint="eastAsia"/>
                <w:sz w:val="18"/>
                <w:szCs w:val="20"/>
              </w:rPr>
              <w:t>文化交流</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51" w:type="dxa"/>
            <w:vMerge w:val="continue"/>
            <w:vAlign w:val="center"/>
          </w:tcPr>
          <w:p>
            <w:pPr>
              <w:spacing w:line="240" w:lineRule="auto"/>
              <w:ind w:firstLine="0" w:firstLineChars="0"/>
              <w:jc w:val="left"/>
              <w:rPr>
                <w:sz w:val="18"/>
                <w:szCs w:val="20"/>
              </w:rPr>
            </w:pPr>
          </w:p>
        </w:tc>
        <w:tc>
          <w:tcPr>
            <w:tcW w:w="2950" w:type="dxa"/>
          </w:tcPr>
          <w:p>
            <w:pPr>
              <w:spacing w:line="240" w:lineRule="auto"/>
              <w:ind w:firstLine="0" w:firstLineChars="0"/>
              <w:jc w:val="left"/>
              <w:rPr>
                <w:sz w:val="18"/>
                <w:szCs w:val="20"/>
              </w:rPr>
            </w:pPr>
            <w:r>
              <w:rPr>
                <w:sz w:val="18"/>
                <w:szCs w:val="20"/>
              </w:rPr>
              <w:t>6.</w:t>
            </w:r>
            <w:r>
              <w:rPr>
                <w:rFonts w:hint="eastAsia"/>
                <w:sz w:val="18"/>
                <w:szCs w:val="20"/>
              </w:rPr>
              <w:t>摄影、摄像</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51" w:type="dxa"/>
            <w:vMerge w:val="continue"/>
            <w:vAlign w:val="center"/>
          </w:tcPr>
          <w:p>
            <w:pPr>
              <w:spacing w:line="240" w:lineRule="auto"/>
              <w:ind w:firstLine="0" w:firstLineChars="0"/>
              <w:jc w:val="left"/>
              <w:rPr>
                <w:sz w:val="18"/>
                <w:szCs w:val="20"/>
              </w:rPr>
            </w:pPr>
          </w:p>
        </w:tc>
        <w:tc>
          <w:tcPr>
            <w:tcW w:w="2950" w:type="dxa"/>
          </w:tcPr>
          <w:p>
            <w:pPr>
              <w:spacing w:line="240" w:lineRule="auto"/>
              <w:ind w:firstLine="0" w:firstLineChars="0"/>
              <w:jc w:val="left"/>
              <w:rPr>
                <w:sz w:val="18"/>
                <w:szCs w:val="20"/>
              </w:rPr>
            </w:pPr>
            <w:r>
              <w:rPr>
                <w:sz w:val="18"/>
                <w:szCs w:val="20"/>
              </w:rPr>
              <w:t>7.</w:t>
            </w:r>
            <w:r>
              <w:rPr>
                <w:rFonts w:hint="eastAsia"/>
                <w:sz w:val="18"/>
                <w:szCs w:val="20"/>
              </w:rPr>
              <w:t>登高眺望</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51" w:type="dxa"/>
            <w:vMerge w:val="continue"/>
            <w:vAlign w:val="center"/>
          </w:tcPr>
          <w:p>
            <w:pPr>
              <w:spacing w:line="240" w:lineRule="auto"/>
              <w:ind w:firstLine="0" w:firstLineChars="0"/>
              <w:jc w:val="left"/>
              <w:rPr>
                <w:sz w:val="18"/>
                <w:szCs w:val="20"/>
              </w:rPr>
            </w:pPr>
          </w:p>
        </w:tc>
        <w:tc>
          <w:tcPr>
            <w:tcW w:w="2950" w:type="dxa"/>
          </w:tcPr>
          <w:p>
            <w:pPr>
              <w:spacing w:line="240" w:lineRule="auto"/>
              <w:ind w:firstLine="0" w:firstLineChars="0"/>
              <w:jc w:val="left"/>
              <w:rPr>
                <w:sz w:val="18"/>
                <w:szCs w:val="20"/>
              </w:rPr>
            </w:pPr>
            <w:r>
              <w:rPr>
                <w:sz w:val="18"/>
                <w:szCs w:val="20"/>
              </w:rPr>
              <w:t>8.</w:t>
            </w:r>
            <w:r>
              <w:rPr>
                <w:rFonts w:hint="eastAsia"/>
                <w:sz w:val="18"/>
                <w:szCs w:val="20"/>
              </w:rPr>
              <w:t>采摘</w:t>
            </w:r>
          </w:p>
        </w:tc>
        <w:tc>
          <w:tcPr>
            <w:tcW w:w="1644" w:type="dxa"/>
          </w:tcPr>
          <w:p>
            <w:pPr>
              <w:pStyle w:val="92"/>
              <w:spacing w:line="280" w:lineRule="exact"/>
              <w:jc w:val="center"/>
              <w:rPr>
                <w:rFonts w:ascii="Times New Roman" w:hAnsi="Times New Roman"/>
                <w:color w:val="000000"/>
                <w:sz w:val="18"/>
                <w:szCs w:val="18"/>
              </w:rPr>
            </w:pPr>
            <w:r>
              <w:rPr>
                <w:rFonts w:hint="eastAsia" w:ascii="宋体" w:hAnsi="宋体" w:cs="仿宋_GB2312"/>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51" w:type="dxa"/>
            <w:vMerge w:val="continue"/>
            <w:vAlign w:val="center"/>
          </w:tcPr>
          <w:p>
            <w:pPr>
              <w:spacing w:line="240" w:lineRule="auto"/>
              <w:ind w:firstLine="0" w:firstLineChars="0"/>
              <w:jc w:val="left"/>
              <w:rPr>
                <w:sz w:val="18"/>
                <w:szCs w:val="20"/>
              </w:rPr>
            </w:pPr>
          </w:p>
        </w:tc>
        <w:tc>
          <w:tcPr>
            <w:tcW w:w="2950" w:type="dxa"/>
          </w:tcPr>
          <w:p>
            <w:pPr>
              <w:spacing w:line="240" w:lineRule="auto"/>
              <w:ind w:firstLine="0" w:firstLineChars="0"/>
              <w:jc w:val="left"/>
              <w:rPr>
                <w:sz w:val="18"/>
                <w:szCs w:val="20"/>
              </w:rPr>
            </w:pPr>
            <w:r>
              <w:rPr>
                <w:sz w:val="18"/>
                <w:szCs w:val="20"/>
              </w:rPr>
              <w:t>9.</w:t>
            </w:r>
            <w:r>
              <w:rPr>
                <w:rFonts w:hint="eastAsia"/>
                <w:sz w:val="18"/>
                <w:szCs w:val="20"/>
              </w:rPr>
              <w:t>垂钓</w:t>
            </w:r>
          </w:p>
        </w:tc>
        <w:tc>
          <w:tcPr>
            <w:tcW w:w="1644" w:type="dxa"/>
          </w:tcPr>
          <w:p>
            <w:pPr>
              <w:pStyle w:val="92"/>
              <w:spacing w:line="280" w:lineRule="exact"/>
              <w:jc w:val="center"/>
              <w:rPr>
                <w:rFonts w:ascii="Times New Roman" w:hAnsi="Times New Roman"/>
                <w:color w:val="000000"/>
                <w:sz w:val="18"/>
                <w:szCs w:val="18"/>
              </w:rPr>
            </w:pPr>
            <w:r>
              <w:rPr>
                <w:rFonts w:hint="eastAsia" w:ascii="宋体" w:hAnsi="宋体" w:cs="仿宋_GB2312"/>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51" w:type="dxa"/>
            <w:vMerge w:val="continue"/>
            <w:vAlign w:val="center"/>
          </w:tcPr>
          <w:p>
            <w:pPr>
              <w:spacing w:line="240" w:lineRule="auto"/>
              <w:ind w:firstLine="0" w:firstLineChars="0"/>
              <w:jc w:val="left"/>
              <w:rPr>
                <w:sz w:val="18"/>
                <w:szCs w:val="20"/>
              </w:rPr>
            </w:pPr>
          </w:p>
        </w:tc>
        <w:tc>
          <w:tcPr>
            <w:tcW w:w="2950" w:type="dxa"/>
          </w:tcPr>
          <w:p>
            <w:pPr>
              <w:spacing w:line="240" w:lineRule="auto"/>
              <w:ind w:firstLine="0" w:firstLineChars="0"/>
              <w:jc w:val="left"/>
              <w:rPr>
                <w:sz w:val="18"/>
                <w:szCs w:val="20"/>
              </w:rPr>
            </w:pPr>
            <w:r>
              <w:rPr>
                <w:sz w:val="18"/>
                <w:szCs w:val="20"/>
              </w:rPr>
              <w:t>10.</w:t>
            </w:r>
            <w:r>
              <w:rPr>
                <w:rFonts w:hint="eastAsia"/>
                <w:sz w:val="18"/>
                <w:szCs w:val="20"/>
              </w:rPr>
              <w:t>动植物观赏</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51" w:type="dxa"/>
            <w:vMerge w:val="continue"/>
            <w:vAlign w:val="center"/>
          </w:tcPr>
          <w:p>
            <w:pPr>
              <w:spacing w:line="240" w:lineRule="auto"/>
              <w:ind w:firstLine="0" w:firstLineChars="0"/>
              <w:jc w:val="left"/>
              <w:rPr>
                <w:sz w:val="18"/>
                <w:szCs w:val="20"/>
              </w:rPr>
            </w:pPr>
          </w:p>
        </w:tc>
        <w:tc>
          <w:tcPr>
            <w:tcW w:w="2950" w:type="dxa"/>
          </w:tcPr>
          <w:p>
            <w:pPr>
              <w:spacing w:line="240" w:lineRule="auto"/>
              <w:ind w:firstLine="0" w:firstLineChars="0"/>
              <w:jc w:val="left"/>
              <w:rPr>
                <w:sz w:val="18"/>
                <w:szCs w:val="20"/>
              </w:rPr>
            </w:pPr>
            <w:r>
              <w:rPr>
                <w:sz w:val="18"/>
                <w:szCs w:val="20"/>
              </w:rPr>
              <w:t>11.</w:t>
            </w:r>
            <w:r>
              <w:rPr>
                <w:rFonts w:hint="eastAsia"/>
                <w:sz w:val="18"/>
                <w:szCs w:val="20"/>
              </w:rPr>
              <w:t>游船</w:t>
            </w:r>
          </w:p>
        </w:tc>
        <w:tc>
          <w:tcPr>
            <w:tcW w:w="1644" w:type="dxa"/>
          </w:tcPr>
          <w:p>
            <w:pPr>
              <w:pStyle w:val="92"/>
              <w:spacing w:line="280" w:lineRule="exact"/>
              <w:jc w:val="center"/>
              <w:rPr>
                <w:rFonts w:ascii="Times New Roman" w:hAnsi="Times New Roman"/>
                <w:color w:val="000000"/>
                <w:sz w:val="18"/>
                <w:szCs w:val="18"/>
              </w:rPr>
            </w:pPr>
            <w:r>
              <w:rPr>
                <w:rFonts w:hint="eastAsia" w:ascii="宋体" w:hAnsi="宋体" w:cs="仿宋_GB2312"/>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51" w:type="dxa"/>
            <w:vMerge w:val="continue"/>
            <w:vAlign w:val="center"/>
          </w:tcPr>
          <w:p>
            <w:pPr>
              <w:spacing w:line="240" w:lineRule="auto"/>
              <w:ind w:firstLine="0" w:firstLineChars="0"/>
              <w:jc w:val="left"/>
              <w:rPr>
                <w:sz w:val="18"/>
                <w:szCs w:val="20"/>
              </w:rPr>
            </w:pPr>
          </w:p>
        </w:tc>
        <w:tc>
          <w:tcPr>
            <w:tcW w:w="2950" w:type="dxa"/>
          </w:tcPr>
          <w:p>
            <w:pPr>
              <w:spacing w:line="240" w:lineRule="auto"/>
              <w:ind w:firstLine="0" w:firstLineChars="0"/>
              <w:jc w:val="left"/>
              <w:rPr>
                <w:sz w:val="18"/>
                <w:szCs w:val="20"/>
              </w:rPr>
            </w:pPr>
            <w:r>
              <w:rPr>
                <w:sz w:val="18"/>
                <w:szCs w:val="20"/>
              </w:rPr>
              <w:t>12.</w:t>
            </w:r>
            <w:r>
              <w:rPr>
                <w:rFonts w:hint="eastAsia"/>
                <w:sz w:val="18"/>
                <w:szCs w:val="20"/>
              </w:rPr>
              <w:t>海洋运动</w:t>
            </w:r>
          </w:p>
        </w:tc>
        <w:tc>
          <w:tcPr>
            <w:tcW w:w="1644" w:type="dxa"/>
          </w:tcPr>
          <w:p>
            <w:pPr>
              <w:pStyle w:val="92"/>
              <w:spacing w:line="280" w:lineRule="exact"/>
              <w:jc w:val="center"/>
              <w:rPr>
                <w:rFonts w:ascii="Times New Roman" w:hAnsi="Times New Roman"/>
                <w:color w:val="000000"/>
                <w:sz w:val="18"/>
                <w:szCs w:val="18"/>
              </w:rPr>
            </w:pPr>
            <w:r>
              <w:rPr>
                <w:rFonts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51" w:type="dxa"/>
            <w:vMerge w:val="continue"/>
            <w:vAlign w:val="center"/>
          </w:tcPr>
          <w:p>
            <w:pPr>
              <w:spacing w:line="240" w:lineRule="auto"/>
              <w:ind w:firstLine="0" w:firstLineChars="0"/>
              <w:jc w:val="left"/>
              <w:rPr>
                <w:sz w:val="18"/>
                <w:szCs w:val="20"/>
              </w:rPr>
            </w:pPr>
          </w:p>
        </w:tc>
        <w:tc>
          <w:tcPr>
            <w:tcW w:w="2950" w:type="dxa"/>
          </w:tcPr>
          <w:p>
            <w:pPr>
              <w:spacing w:line="240" w:lineRule="auto"/>
              <w:ind w:firstLine="0" w:firstLineChars="0"/>
              <w:jc w:val="left"/>
              <w:rPr>
                <w:sz w:val="18"/>
                <w:szCs w:val="20"/>
              </w:rPr>
            </w:pPr>
            <w:r>
              <w:rPr>
                <w:sz w:val="18"/>
                <w:szCs w:val="20"/>
              </w:rPr>
              <w:t>13.</w:t>
            </w:r>
            <w:r>
              <w:rPr>
                <w:rFonts w:hint="eastAsia"/>
                <w:sz w:val="18"/>
                <w:szCs w:val="20"/>
              </w:rPr>
              <w:t>野营露营</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51" w:type="dxa"/>
            <w:vMerge w:val="continue"/>
            <w:vAlign w:val="center"/>
          </w:tcPr>
          <w:p>
            <w:pPr>
              <w:spacing w:line="240" w:lineRule="auto"/>
              <w:ind w:firstLine="0" w:firstLineChars="0"/>
              <w:jc w:val="left"/>
              <w:rPr>
                <w:sz w:val="18"/>
                <w:szCs w:val="20"/>
              </w:rPr>
            </w:pPr>
          </w:p>
        </w:tc>
        <w:tc>
          <w:tcPr>
            <w:tcW w:w="2950" w:type="dxa"/>
          </w:tcPr>
          <w:p>
            <w:pPr>
              <w:spacing w:line="240" w:lineRule="auto"/>
              <w:ind w:firstLine="0" w:firstLineChars="0"/>
              <w:jc w:val="left"/>
              <w:rPr>
                <w:sz w:val="18"/>
                <w:szCs w:val="20"/>
              </w:rPr>
            </w:pPr>
            <w:r>
              <w:rPr>
                <w:sz w:val="18"/>
                <w:szCs w:val="20"/>
              </w:rPr>
              <w:t>14.</w:t>
            </w:r>
            <w:r>
              <w:rPr>
                <w:rFonts w:hint="eastAsia"/>
                <w:sz w:val="18"/>
                <w:szCs w:val="20"/>
              </w:rPr>
              <w:t>民俗节庆</w:t>
            </w:r>
          </w:p>
        </w:tc>
        <w:tc>
          <w:tcPr>
            <w:tcW w:w="1644" w:type="dxa"/>
          </w:tcPr>
          <w:p>
            <w:pPr>
              <w:pStyle w:val="92"/>
              <w:spacing w:line="280" w:lineRule="exact"/>
              <w:jc w:val="center"/>
              <w:rPr>
                <w:rFonts w:ascii="Times New Roman" w:hAnsi="Times New Roman"/>
                <w:color w:val="000000"/>
                <w:sz w:val="18"/>
                <w:szCs w:val="18"/>
              </w:rPr>
            </w:pPr>
            <w:r>
              <w:rPr>
                <w:rFonts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51" w:type="dxa"/>
            <w:vMerge w:val="continue"/>
            <w:vAlign w:val="center"/>
          </w:tcPr>
          <w:p>
            <w:pPr>
              <w:spacing w:line="240" w:lineRule="auto"/>
              <w:ind w:firstLine="0" w:firstLineChars="0"/>
              <w:jc w:val="left"/>
              <w:rPr>
                <w:sz w:val="18"/>
                <w:szCs w:val="20"/>
              </w:rPr>
            </w:pPr>
          </w:p>
        </w:tc>
        <w:tc>
          <w:tcPr>
            <w:tcW w:w="2950" w:type="dxa"/>
          </w:tcPr>
          <w:p>
            <w:pPr>
              <w:spacing w:line="240" w:lineRule="auto"/>
              <w:ind w:firstLine="0" w:firstLineChars="0"/>
              <w:jc w:val="left"/>
              <w:rPr>
                <w:sz w:val="18"/>
                <w:szCs w:val="20"/>
              </w:rPr>
            </w:pPr>
            <w:r>
              <w:rPr>
                <w:sz w:val="18"/>
                <w:szCs w:val="20"/>
              </w:rPr>
              <w:t>15.</w:t>
            </w:r>
            <w:r>
              <w:rPr>
                <w:rFonts w:hint="eastAsia"/>
                <w:sz w:val="18"/>
                <w:szCs w:val="20"/>
              </w:rPr>
              <w:t>海滨休闲</w:t>
            </w:r>
          </w:p>
        </w:tc>
        <w:tc>
          <w:tcPr>
            <w:tcW w:w="1644" w:type="dxa"/>
          </w:tcPr>
          <w:p>
            <w:pPr>
              <w:pStyle w:val="92"/>
              <w:spacing w:line="280" w:lineRule="exact"/>
              <w:jc w:val="center"/>
              <w:rPr>
                <w:rFonts w:ascii="Times New Roman" w:hAnsi="Times New Roman"/>
                <w:color w:val="000000"/>
                <w:sz w:val="18"/>
                <w:szCs w:val="18"/>
              </w:rPr>
            </w:pPr>
            <w:r>
              <w:rPr>
                <w:rFonts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ascii="Times New Roman" w:hAnsi="Times New Roman"/>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51" w:type="dxa"/>
            <w:vMerge w:val="continue"/>
            <w:vAlign w:val="center"/>
          </w:tcPr>
          <w:p>
            <w:pPr>
              <w:spacing w:line="240" w:lineRule="auto"/>
              <w:ind w:firstLine="0" w:firstLineChars="0"/>
              <w:jc w:val="left"/>
              <w:rPr>
                <w:sz w:val="18"/>
                <w:szCs w:val="20"/>
              </w:rPr>
            </w:pPr>
          </w:p>
        </w:tc>
        <w:tc>
          <w:tcPr>
            <w:tcW w:w="2950" w:type="dxa"/>
          </w:tcPr>
          <w:p>
            <w:pPr>
              <w:spacing w:line="240" w:lineRule="auto"/>
              <w:ind w:firstLine="0" w:firstLineChars="0"/>
              <w:jc w:val="left"/>
              <w:rPr>
                <w:sz w:val="18"/>
                <w:szCs w:val="20"/>
              </w:rPr>
            </w:pPr>
            <w:r>
              <w:rPr>
                <w:sz w:val="18"/>
                <w:szCs w:val="20"/>
              </w:rPr>
              <w:t>16.</w:t>
            </w:r>
            <w:r>
              <w:rPr>
                <w:rFonts w:hint="eastAsia"/>
                <w:sz w:val="18"/>
                <w:szCs w:val="20"/>
              </w:rPr>
              <w:t>修养疗养</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51" w:type="dxa"/>
            <w:vMerge w:val="continue"/>
            <w:vAlign w:val="center"/>
          </w:tcPr>
          <w:p>
            <w:pPr>
              <w:spacing w:line="240" w:lineRule="auto"/>
              <w:ind w:firstLine="0" w:firstLineChars="0"/>
              <w:jc w:val="left"/>
              <w:rPr>
                <w:sz w:val="18"/>
                <w:szCs w:val="20"/>
              </w:rPr>
            </w:pPr>
          </w:p>
        </w:tc>
        <w:tc>
          <w:tcPr>
            <w:tcW w:w="2950" w:type="dxa"/>
          </w:tcPr>
          <w:p>
            <w:pPr>
              <w:spacing w:line="240" w:lineRule="auto"/>
              <w:ind w:firstLine="0" w:firstLineChars="0"/>
              <w:jc w:val="left"/>
              <w:rPr>
                <w:sz w:val="18"/>
                <w:szCs w:val="20"/>
              </w:rPr>
            </w:pPr>
            <w:r>
              <w:rPr>
                <w:sz w:val="18"/>
                <w:szCs w:val="20"/>
              </w:rPr>
              <w:t>17.</w:t>
            </w:r>
            <w:r>
              <w:rPr>
                <w:rFonts w:hint="eastAsia"/>
                <w:sz w:val="18"/>
                <w:szCs w:val="20"/>
              </w:rPr>
              <w:t>文博展览</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1" w:type="dxa"/>
            <w:vMerge w:val="restart"/>
            <w:vAlign w:val="center"/>
          </w:tcPr>
          <w:p>
            <w:pPr>
              <w:spacing w:line="240" w:lineRule="auto"/>
              <w:ind w:firstLine="0" w:firstLineChars="0"/>
              <w:jc w:val="left"/>
              <w:rPr>
                <w:color w:val="000000"/>
                <w:sz w:val="18"/>
                <w:szCs w:val="18"/>
              </w:rPr>
            </w:pPr>
            <w:r>
              <w:rPr>
                <w:rFonts w:hint="eastAsia"/>
                <w:sz w:val="18"/>
                <w:szCs w:val="20"/>
              </w:rPr>
              <w:t>经济社会活动</w:t>
            </w:r>
          </w:p>
        </w:tc>
        <w:tc>
          <w:tcPr>
            <w:tcW w:w="2950" w:type="dxa"/>
          </w:tcPr>
          <w:p>
            <w:pPr>
              <w:spacing w:line="240" w:lineRule="auto"/>
              <w:ind w:firstLine="0" w:firstLineChars="0"/>
              <w:jc w:val="left"/>
              <w:rPr>
                <w:sz w:val="18"/>
                <w:szCs w:val="20"/>
              </w:rPr>
            </w:pPr>
            <w:r>
              <w:rPr>
                <w:sz w:val="18"/>
                <w:szCs w:val="20"/>
              </w:rPr>
              <w:t>1.</w:t>
            </w:r>
            <w:r>
              <w:rPr>
                <w:rFonts w:hint="eastAsia"/>
                <w:sz w:val="18"/>
                <w:szCs w:val="20"/>
              </w:rPr>
              <w:t>伐木</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1" w:type="dxa"/>
            <w:vMerge w:val="continue"/>
            <w:vAlign w:val="center"/>
          </w:tcPr>
          <w:p>
            <w:pPr>
              <w:pStyle w:val="92"/>
              <w:spacing w:line="280" w:lineRule="exact"/>
              <w:rPr>
                <w:rFonts w:ascii="Times New Roman" w:hAnsi="Times New Roman"/>
                <w:color w:val="000000"/>
                <w:sz w:val="18"/>
                <w:szCs w:val="18"/>
              </w:rPr>
            </w:pPr>
          </w:p>
        </w:tc>
        <w:tc>
          <w:tcPr>
            <w:tcW w:w="2950" w:type="dxa"/>
          </w:tcPr>
          <w:p>
            <w:pPr>
              <w:spacing w:line="240" w:lineRule="auto"/>
              <w:ind w:firstLine="0" w:firstLineChars="0"/>
              <w:jc w:val="left"/>
              <w:rPr>
                <w:sz w:val="18"/>
                <w:szCs w:val="20"/>
              </w:rPr>
            </w:pPr>
            <w:r>
              <w:rPr>
                <w:sz w:val="18"/>
                <w:szCs w:val="20"/>
              </w:rPr>
              <w:t>2.</w:t>
            </w:r>
            <w:r>
              <w:rPr>
                <w:rFonts w:hint="eastAsia"/>
                <w:sz w:val="18"/>
                <w:szCs w:val="20"/>
              </w:rPr>
              <w:t>采药、挖根</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1" w:type="dxa"/>
            <w:vMerge w:val="continue"/>
            <w:vAlign w:val="center"/>
          </w:tcPr>
          <w:p>
            <w:pPr>
              <w:pStyle w:val="92"/>
              <w:spacing w:line="280" w:lineRule="exact"/>
              <w:rPr>
                <w:rFonts w:ascii="Times New Roman" w:hAnsi="Times New Roman"/>
                <w:color w:val="000000"/>
                <w:sz w:val="18"/>
                <w:szCs w:val="18"/>
              </w:rPr>
            </w:pPr>
          </w:p>
        </w:tc>
        <w:tc>
          <w:tcPr>
            <w:tcW w:w="2950" w:type="dxa"/>
          </w:tcPr>
          <w:p>
            <w:pPr>
              <w:spacing w:line="240" w:lineRule="auto"/>
              <w:ind w:firstLine="0" w:firstLineChars="0"/>
              <w:jc w:val="left"/>
              <w:rPr>
                <w:sz w:val="18"/>
                <w:szCs w:val="20"/>
              </w:rPr>
            </w:pPr>
            <w:r>
              <w:rPr>
                <w:sz w:val="18"/>
                <w:szCs w:val="20"/>
              </w:rPr>
              <w:t>3.</w:t>
            </w:r>
            <w:r>
              <w:rPr>
                <w:rFonts w:hint="eastAsia"/>
                <w:sz w:val="18"/>
                <w:szCs w:val="20"/>
              </w:rPr>
              <w:t>开山采石、采矿挖沙</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1" w:type="dxa"/>
            <w:vMerge w:val="continue"/>
            <w:vAlign w:val="center"/>
          </w:tcPr>
          <w:p>
            <w:pPr>
              <w:pStyle w:val="92"/>
              <w:spacing w:line="280" w:lineRule="exact"/>
              <w:rPr>
                <w:rFonts w:ascii="Times New Roman" w:hAnsi="Times New Roman"/>
                <w:color w:val="000000"/>
                <w:sz w:val="18"/>
                <w:szCs w:val="18"/>
              </w:rPr>
            </w:pPr>
          </w:p>
        </w:tc>
        <w:tc>
          <w:tcPr>
            <w:tcW w:w="2950" w:type="dxa"/>
          </w:tcPr>
          <w:p>
            <w:pPr>
              <w:spacing w:line="240" w:lineRule="auto"/>
              <w:ind w:firstLine="0" w:firstLineChars="0"/>
              <w:jc w:val="left"/>
              <w:rPr>
                <w:sz w:val="18"/>
                <w:szCs w:val="20"/>
              </w:rPr>
            </w:pPr>
            <w:r>
              <w:rPr>
                <w:sz w:val="18"/>
                <w:szCs w:val="20"/>
              </w:rPr>
              <w:t>4.</w:t>
            </w:r>
            <w:r>
              <w:rPr>
                <w:rFonts w:hint="eastAsia"/>
                <w:sz w:val="18"/>
                <w:szCs w:val="20"/>
              </w:rPr>
              <w:t>放牧</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1" w:type="dxa"/>
            <w:vMerge w:val="continue"/>
            <w:vAlign w:val="center"/>
          </w:tcPr>
          <w:p>
            <w:pPr>
              <w:pStyle w:val="92"/>
              <w:spacing w:line="280" w:lineRule="exact"/>
              <w:rPr>
                <w:rFonts w:ascii="Times New Roman" w:hAnsi="Times New Roman"/>
                <w:color w:val="000000"/>
                <w:sz w:val="18"/>
                <w:szCs w:val="18"/>
              </w:rPr>
            </w:pPr>
          </w:p>
        </w:tc>
        <w:tc>
          <w:tcPr>
            <w:tcW w:w="2950" w:type="dxa"/>
          </w:tcPr>
          <w:p>
            <w:pPr>
              <w:spacing w:line="240" w:lineRule="auto"/>
              <w:ind w:firstLine="0" w:firstLineChars="0"/>
              <w:jc w:val="left"/>
              <w:rPr>
                <w:sz w:val="18"/>
                <w:szCs w:val="20"/>
              </w:rPr>
            </w:pPr>
            <w:r>
              <w:rPr>
                <w:sz w:val="18"/>
                <w:szCs w:val="20"/>
              </w:rPr>
              <w:t>5.</w:t>
            </w:r>
            <w:r>
              <w:rPr>
                <w:rFonts w:hint="eastAsia"/>
                <w:sz w:val="18"/>
                <w:szCs w:val="20"/>
              </w:rPr>
              <w:t>赢利性捶拓</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1" w:type="dxa"/>
            <w:vMerge w:val="continue"/>
            <w:vAlign w:val="center"/>
          </w:tcPr>
          <w:p>
            <w:pPr>
              <w:pStyle w:val="92"/>
              <w:spacing w:line="280" w:lineRule="exact"/>
              <w:rPr>
                <w:rFonts w:ascii="Times New Roman" w:hAnsi="Times New Roman"/>
                <w:color w:val="000000"/>
                <w:sz w:val="18"/>
                <w:szCs w:val="18"/>
              </w:rPr>
            </w:pPr>
          </w:p>
        </w:tc>
        <w:tc>
          <w:tcPr>
            <w:tcW w:w="2950" w:type="dxa"/>
          </w:tcPr>
          <w:p>
            <w:pPr>
              <w:spacing w:line="240" w:lineRule="auto"/>
              <w:ind w:firstLine="0" w:firstLineChars="0"/>
              <w:jc w:val="left"/>
              <w:rPr>
                <w:sz w:val="18"/>
                <w:szCs w:val="20"/>
              </w:rPr>
            </w:pPr>
            <w:r>
              <w:rPr>
                <w:sz w:val="18"/>
                <w:szCs w:val="20"/>
              </w:rPr>
              <w:t>6.</w:t>
            </w:r>
            <w:r>
              <w:rPr>
                <w:rFonts w:hint="eastAsia"/>
                <w:sz w:val="18"/>
                <w:szCs w:val="20"/>
              </w:rPr>
              <w:t>人工养殖、种植</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1" w:type="dxa"/>
            <w:vMerge w:val="continue"/>
            <w:vAlign w:val="center"/>
          </w:tcPr>
          <w:p>
            <w:pPr>
              <w:pStyle w:val="92"/>
              <w:spacing w:line="280" w:lineRule="exact"/>
              <w:rPr>
                <w:rFonts w:ascii="Times New Roman" w:hAnsi="Times New Roman"/>
                <w:color w:val="000000"/>
                <w:sz w:val="18"/>
                <w:szCs w:val="18"/>
              </w:rPr>
            </w:pPr>
          </w:p>
        </w:tc>
        <w:tc>
          <w:tcPr>
            <w:tcW w:w="2950" w:type="dxa"/>
          </w:tcPr>
          <w:p>
            <w:pPr>
              <w:spacing w:line="240" w:lineRule="auto"/>
              <w:ind w:firstLine="0" w:firstLineChars="0"/>
              <w:jc w:val="left"/>
              <w:rPr>
                <w:sz w:val="18"/>
                <w:szCs w:val="20"/>
              </w:rPr>
            </w:pPr>
            <w:r>
              <w:rPr>
                <w:sz w:val="18"/>
                <w:szCs w:val="20"/>
              </w:rPr>
              <w:t>7.</w:t>
            </w:r>
            <w:r>
              <w:rPr>
                <w:rFonts w:hint="eastAsia"/>
                <w:sz w:val="18"/>
                <w:szCs w:val="20"/>
              </w:rPr>
              <w:t>抽取地下水</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1" w:type="dxa"/>
            <w:vMerge w:val="continue"/>
            <w:vAlign w:val="center"/>
          </w:tcPr>
          <w:p>
            <w:pPr>
              <w:pStyle w:val="92"/>
              <w:spacing w:line="280" w:lineRule="exact"/>
              <w:rPr>
                <w:rFonts w:ascii="Times New Roman" w:hAnsi="Times New Roman"/>
                <w:color w:val="000000"/>
                <w:sz w:val="18"/>
                <w:szCs w:val="18"/>
              </w:rPr>
            </w:pPr>
          </w:p>
        </w:tc>
        <w:tc>
          <w:tcPr>
            <w:tcW w:w="2950" w:type="dxa"/>
          </w:tcPr>
          <w:p>
            <w:pPr>
              <w:spacing w:line="240" w:lineRule="auto"/>
              <w:ind w:firstLine="0" w:firstLineChars="0"/>
              <w:jc w:val="left"/>
              <w:rPr>
                <w:color w:val="000000"/>
                <w:sz w:val="18"/>
                <w:szCs w:val="18"/>
              </w:rPr>
            </w:pPr>
            <w:r>
              <w:rPr>
                <w:sz w:val="18"/>
                <w:szCs w:val="20"/>
              </w:rPr>
              <w:t>8.</w:t>
            </w:r>
            <w:r>
              <w:rPr>
                <w:rFonts w:hint="eastAsia"/>
                <w:sz w:val="18"/>
                <w:szCs w:val="20"/>
              </w:rPr>
              <w:t>商业活动</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1" w:type="dxa"/>
            <w:vMerge w:val="restart"/>
            <w:vAlign w:val="center"/>
          </w:tcPr>
          <w:p>
            <w:pPr>
              <w:pStyle w:val="92"/>
              <w:spacing w:line="280" w:lineRule="exact"/>
              <w:rPr>
                <w:rFonts w:ascii="Times New Roman" w:hAnsi="Times New Roman"/>
                <w:color w:val="000000"/>
                <w:sz w:val="18"/>
                <w:szCs w:val="18"/>
              </w:rPr>
            </w:pPr>
            <w:r>
              <w:rPr>
                <w:rFonts w:hint="eastAsia" w:ascii="Times New Roman" w:hAnsi="Times New Roman"/>
                <w:color w:val="000000"/>
                <w:sz w:val="18"/>
                <w:szCs w:val="18"/>
              </w:rPr>
              <w:t>科研活动</w:t>
            </w:r>
          </w:p>
        </w:tc>
        <w:tc>
          <w:tcPr>
            <w:tcW w:w="2950" w:type="dxa"/>
          </w:tcPr>
          <w:p>
            <w:pPr>
              <w:spacing w:line="240" w:lineRule="auto"/>
              <w:ind w:firstLine="0" w:firstLineChars="0"/>
              <w:jc w:val="left"/>
              <w:rPr>
                <w:sz w:val="18"/>
                <w:szCs w:val="20"/>
              </w:rPr>
            </w:pPr>
            <w:r>
              <w:rPr>
                <w:sz w:val="18"/>
                <w:szCs w:val="20"/>
              </w:rPr>
              <w:t>1.</w:t>
            </w:r>
            <w:r>
              <w:rPr>
                <w:rFonts w:hint="eastAsia"/>
                <w:sz w:val="18"/>
                <w:szCs w:val="20"/>
              </w:rPr>
              <w:t>采集标本</w:t>
            </w:r>
          </w:p>
        </w:tc>
        <w:tc>
          <w:tcPr>
            <w:tcW w:w="1644" w:type="dxa"/>
            <w:vAlign w:val="center"/>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vAlign w:val="center"/>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vAlign w:val="center"/>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1" w:type="dxa"/>
            <w:vMerge w:val="continue"/>
            <w:vAlign w:val="center"/>
          </w:tcPr>
          <w:p>
            <w:pPr>
              <w:pStyle w:val="92"/>
              <w:spacing w:line="280" w:lineRule="exact"/>
              <w:rPr>
                <w:rFonts w:ascii="Times New Roman" w:hAnsi="Times New Roman"/>
                <w:color w:val="000000"/>
                <w:sz w:val="18"/>
                <w:szCs w:val="18"/>
              </w:rPr>
            </w:pPr>
          </w:p>
        </w:tc>
        <w:tc>
          <w:tcPr>
            <w:tcW w:w="2950" w:type="dxa"/>
          </w:tcPr>
          <w:p>
            <w:pPr>
              <w:spacing w:line="240" w:lineRule="auto"/>
              <w:ind w:firstLine="0" w:firstLineChars="0"/>
              <w:jc w:val="left"/>
              <w:rPr>
                <w:sz w:val="18"/>
                <w:szCs w:val="20"/>
              </w:rPr>
            </w:pPr>
            <w:r>
              <w:rPr>
                <w:sz w:val="18"/>
                <w:szCs w:val="20"/>
              </w:rPr>
              <w:t>2.</w:t>
            </w:r>
            <w:r>
              <w:rPr>
                <w:rFonts w:hint="eastAsia"/>
                <w:sz w:val="18"/>
                <w:szCs w:val="20"/>
              </w:rPr>
              <w:t>科研性捶拓</w:t>
            </w:r>
          </w:p>
        </w:tc>
        <w:tc>
          <w:tcPr>
            <w:tcW w:w="1644" w:type="dxa"/>
            <w:vAlign w:val="center"/>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vAlign w:val="center"/>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vAlign w:val="center"/>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1" w:type="dxa"/>
            <w:vMerge w:val="continue"/>
            <w:vAlign w:val="center"/>
          </w:tcPr>
          <w:p>
            <w:pPr>
              <w:pStyle w:val="92"/>
              <w:spacing w:line="280" w:lineRule="exact"/>
              <w:rPr>
                <w:rFonts w:ascii="Times New Roman" w:hAnsi="Times New Roman"/>
                <w:color w:val="000000"/>
                <w:sz w:val="18"/>
                <w:szCs w:val="18"/>
              </w:rPr>
            </w:pPr>
          </w:p>
        </w:tc>
        <w:tc>
          <w:tcPr>
            <w:tcW w:w="2950" w:type="dxa"/>
          </w:tcPr>
          <w:p>
            <w:pPr>
              <w:spacing w:line="240" w:lineRule="auto"/>
              <w:ind w:firstLine="0" w:firstLineChars="0"/>
              <w:jc w:val="left"/>
              <w:rPr>
                <w:sz w:val="18"/>
                <w:szCs w:val="20"/>
              </w:rPr>
            </w:pPr>
            <w:r>
              <w:rPr>
                <w:sz w:val="18"/>
                <w:szCs w:val="20"/>
              </w:rPr>
              <w:t>3.</w:t>
            </w:r>
            <w:r>
              <w:rPr>
                <w:rFonts w:hint="eastAsia"/>
                <w:sz w:val="18"/>
                <w:szCs w:val="20"/>
              </w:rPr>
              <w:t>钻探</w:t>
            </w:r>
          </w:p>
        </w:tc>
        <w:tc>
          <w:tcPr>
            <w:tcW w:w="1644" w:type="dxa"/>
            <w:vAlign w:val="center"/>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vAlign w:val="center"/>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vAlign w:val="center"/>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1" w:type="dxa"/>
            <w:vMerge w:val="continue"/>
            <w:vAlign w:val="center"/>
          </w:tcPr>
          <w:p>
            <w:pPr>
              <w:pStyle w:val="92"/>
              <w:spacing w:line="280" w:lineRule="exact"/>
              <w:rPr>
                <w:rFonts w:ascii="Times New Roman" w:hAnsi="Times New Roman"/>
                <w:color w:val="000000"/>
                <w:sz w:val="18"/>
                <w:szCs w:val="18"/>
              </w:rPr>
            </w:pPr>
          </w:p>
        </w:tc>
        <w:tc>
          <w:tcPr>
            <w:tcW w:w="2950" w:type="dxa"/>
          </w:tcPr>
          <w:p>
            <w:pPr>
              <w:spacing w:line="240" w:lineRule="auto"/>
              <w:ind w:firstLine="0" w:firstLineChars="0"/>
              <w:jc w:val="left"/>
              <w:rPr>
                <w:sz w:val="18"/>
                <w:szCs w:val="20"/>
              </w:rPr>
            </w:pPr>
            <w:r>
              <w:rPr>
                <w:sz w:val="18"/>
                <w:szCs w:val="20"/>
              </w:rPr>
              <w:t>4.</w:t>
            </w:r>
            <w:r>
              <w:rPr>
                <w:rFonts w:hint="eastAsia"/>
                <w:sz w:val="18"/>
                <w:szCs w:val="20"/>
              </w:rPr>
              <w:t>观测</w:t>
            </w:r>
          </w:p>
        </w:tc>
        <w:tc>
          <w:tcPr>
            <w:tcW w:w="1644" w:type="dxa"/>
            <w:vAlign w:val="center"/>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vAlign w:val="center"/>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vAlign w:val="center"/>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1" w:type="dxa"/>
            <w:vMerge w:val="continue"/>
            <w:vAlign w:val="center"/>
          </w:tcPr>
          <w:p>
            <w:pPr>
              <w:pStyle w:val="92"/>
              <w:spacing w:line="280" w:lineRule="exact"/>
              <w:rPr>
                <w:rFonts w:ascii="Times New Roman" w:hAnsi="Times New Roman"/>
                <w:color w:val="000000"/>
                <w:sz w:val="18"/>
                <w:szCs w:val="18"/>
              </w:rPr>
            </w:pPr>
          </w:p>
        </w:tc>
        <w:tc>
          <w:tcPr>
            <w:tcW w:w="2950" w:type="dxa"/>
          </w:tcPr>
          <w:p>
            <w:pPr>
              <w:spacing w:line="240" w:lineRule="auto"/>
              <w:ind w:firstLine="0" w:firstLineChars="0"/>
              <w:jc w:val="left"/>
              <w:rPr>
                <w:sz w:val="18"/>
                <w:szCs w:val="20"/>
              </w:rPr>
            </w:pPr>
            <w:r>
              <w:rPr>
                <w:sz w:val="18"/>
                <w:szCs w:val="20"/>
              </w:rPr>
              <w:t>5.</w:t>
            </w:r>
            <w:r>
              <w:rPr>
                <w:rFonts w:hint="eastAsia"/>
                <w:sz w:val="18"/>
                <w:szCs w:val="20"/>
              </w:rPr>
              <w:t>科教摄影摄橡</w:t>
            </w:r>
          </w:p>
        </w:tc>
        <w:tc>
          <w:tcPr>
            <w:tcW w:w="1644" w:type="dxa"/>
            <w:vAlign w:val="center"/>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vAlign w:val="center"/>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vAlign w:val="center"/>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1" w:type="dxa"/>
            <w:vMerge w:val="restart"/>
            <w:vAlign w:val="center"/>
          </w:tcPr>
          <w:p>
            <w:pPr>
              <w:pStyle w:val="92"/>
              <w:spacing w:line="280" w:lineRule="exact"/>
              <w:rPr>
                <w:rFonts w:ascii="Times New Roman" w:hAnsi="Times New Roman"/>
                <w:color w:val="000000"/>
                <w:sz w:val="18"/>
                <w:szCs w:val="18"/>
              </w:rPr>
            </w:pPr>
            <w:r>
              <w:rPr>
                <w:rFonts w:hint="eastAsia" w:ascii="Times New Roman" w:hAnsi="Times New Roman"/>
                <w:color w:val="000000"/>
                <w:sz w:val="18"/>
                <w:szCs w:val="18"/>
              </w:rPr>
              <w:t>管理活动</w:t>
            </w:r>
          </w:p>
        </w:tc>
        <w:tc>
          <w:tcPr>
            <w:tcW w:w="2950" w:type="dxa"/>
          </w:tcPr>
          <w:p>
            <w:pPr>
              <w:spacing w:line="240" w:lineRule="auto"/>
              <w:ind w:firstLine="0" w:firstLineChars="0"/>
              <w:jc w:val="left"/>
              <w:rPr>
                <w:sz w:val="18"/>
                <w:szCs w:val="20"/>
              </w:rPr>
            </w:pPr>
            <w:r>
              <w:rPr>
                <w:sz w:val="18"/>
                <w:szCs w:val="20"/>
              </w:rPr>
              <w:t>1.</w:t>
            </w:r>
            <w:r>
              <w:rPr>
                <w:rFonts w:hint="eastAsia"/>
                <w:sz w:val="18"/>
                <w:szCs w:val="20"/>
              </w:rPr>
              <w:t>标桩立界</w:t>
            </w:r>
          </w:p>
        </w:tc>
        <w:tc>
          <w:tcPr>
            <w:tcW w:w="1644" w:type="dxa"/>
            <w:vAlign w:val="center"/>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vAlign w:val="center"/>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vAlign w:val="center"/>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1" w:type="dxa"/>
            <w:vMerge w:val="continue"/>
            <w:vAlign w:val="center"/>
          </w:tcPr>
          <w:p>
            <w:pPr>
              <w:pStyle w:val="92"/>
              <w:spacing w:line="280" w:lineRule="exact"/>
              <w:rPr>
                <w:rFonts w:ascii="Times New Roman" w:hAnsi="Times New Roman"/>
                <w:color w:val="000000"/>
                <w:sz w:val="18"/>
                <w:szCs w:val="18"/>
              </w:rPr>
            </w:pPr>
          </w:p>
        </w:tc>
        <w:tc>
          <w:tcPr>
            <w:tcW w:w="2950" w:type="dxa"/>
          </w:tcPr>
          <w:p>
            <w:pPr>
              <w:spacing w:line="240" w:lineRule="auto"/>
              <w:ind w:firstLine="0" w:firstLineChars="0"/>
              <w:jc w:val="left"/>
              <w:rPr>
                <w:sz w:val="18"/>
                <w:szCs w:val="20"/>
              </w:rPr>
            </w:pPr>
            <w:r>
              <w:rPr>
                <w:sz w:val="18"/>
                <w:szCs w:val="20"/>
              </w:rPr>
              <w:t>2.</w:t>
            </w:r>
            <w:r>
              <w:rPr>
                <w:rFonts w:hint="eastAsia"/>
                <w:sz w:val="18"/>
                <w:szCs w:val="20"/>
              </w:rPr>
              <w:t>植树造林</w:t>
            </w:r>
          </w:p>
        </w:tc>
        <w:tc>
          <w:tcPr>
            <w:tcW w:w="1644" w:type="dxa"/>
            <w:vAlign w:val="center"/>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vAlign w:val="center"/>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vAlign w:val="center"/>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1" w:type="dxa"/>
            <w:vMerge w:val="continue"/>
            <w:vAlign w:val="center"/>
          </w:tcPr>
          <w:p>
            <w:pPr>
              <w:pStyle w:val="92"/>
              <w:spacing w:line="280" w:lineRule="exact"/>
              <w:rPr>
                <w:rFonts w:ascii="Times New Roman" w:hAnsi="Times New Roman"/>
                <w:color w:val="000000"/>
                <w:sz w:val="18"/>
                <w:szCs w:val="18"/>
              </w:rPr>
            </w:pPr>
          </w:p>
        </w:tc>
        <w:tc>
          <w:tcPr>
            <w:tcW w:w="2950" w:type="dxa"/>
          </w:tcPr>
          <w:p>
            <w:pPr>
              <w:spacing w:line="240" w:lineRule="auto"/>
              <w:ind w:firstLine="0" w:firstLineChars="0"/>
              <w:jc w:val="left"/>
              <w:rPr>
                <w:sz w:val="18"/>
                <w:szCs w:val="20"/>
              </w:rPr>
            </w:pPr>
            <w:r>
              <w:rPr>
                <w:sz w:val="18"/>
                <w:szCs w:val="20"/>
              </w:rPr>
              <w:t>3.</w:t>
            </w:r>
            <w:r>
              <w:rPr>
                <w:rFonts w:hint="eastAsia"/>
                <w:sz w:val="18"/>
                <w:szCs w:val="20"/>
              </w:rPr>
              <w:t>灾害防治</w:t>
            </w:r>
          </w:p>
        </w:tc>
        <w:tc>
          <w:tcPr>
            <w:tcW w:w="1644" w:type="dxa"/>
            <w:vAlign w:val="center"/>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vAlign w:val="center"/>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vAlign w:val="center"/>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1" w:type="dxa"/>
            <w:vMerge w:val="continue"/>
            <w:vAlign w:val="center"/>
          </w:tcPr>
          <w:p>
            <w:pPr>
              <w:pStyle w:val="92"/>
              <w:spacing w:line="280" w:lineRule="exact"/>
              <w:rPr>
                <w:rFonts w:ascii="Times New Roman" w:hAnsi="Times New Roman"/>
                <w:color w:val="000000"/>
                <w:sz w:val="18"/>
                <w:szCs w:val="18"/>
              </w:rPr>
            </w:pPr>
          </w:p>
        </w:tc>
        <w:tc>
          <w:tcPr>
            <w:tcW w:w="2950" w:type="dxa"/>
          </w:tcPr>
          <w:p>
            <w:pPr>
              <w:spacing w:line="240" w:lineRule="auto"/>
              <w:ind w:firstLine="0" w:firstLineChars="0"/>
              <w:jc w:val="left"/>
              <w:rPr>
                <w:sz w:val="18"/>
                <w:szCs w:val="20"/>
              </w:rPr>
            </w:pPr>
            <w:r>
              <w:rPr>
                <w:sz w:val="18"/>
                <w:szCs w:val="20"/>
              </w:rPr>
              <w:t>4.</w:t>
            </w:r>
            <w:r>
              <w:rPr>
                <w:rFonts w:hint="eastAsia"/>
                <w:sz w:val="18"/>
                <w:szCs w:val="20"/>
              </w:rPr>
              <w:t>引进外来树种</w:t>
            </w:r>
          </w:p>
        </w:tc>
        <w:tc>
          <w:tcPr>
            <w:tcW w:w="1644" w:type="dxa"/>
            <w:vAlign w:val="center"/>
          </w:tcPr>
          <w:p>
            <w:pPr>
              <w:pStyle w:val="92"/>
              <w:spacing w:line="280" w:lineRule="exact"/>
              <w:jc w:val="center"/>
              <w:rPr>
                <w:rFonts w:ascii="Times New Roman" w:hAnsi="Times New Roman"/>
                <w:color w:val="000000"/>
                <w:sz w:val="18"/>
                <w:szCs w:val="18"/>
              </w:rPr>
            </w:pPr>
            <w:r>
              <w:rPr>
                <w:rFonts w:ascii="Times New Roman" w:hAnsi="Times New Roman"/>
                <w:color w:val="000000"/>
                <w:sz w:val="18"/>
                <w:szCs w:val="18"/>
              </w:rPr>
              <w:t>—</w:t>
            </w:r>
          </w:p>
        </w:tc>
        <w:tc>
          <w:tcPr>
            <w:tcW w:w="1644" w:type="dxa"/>
            <w:vAlign w:val="center"/>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vAlign w:val="center"/>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1" w:type="dxa"/>
            <w:vMerge w:val="continue"/>
            <w:vAlign w:val="center"/>
          </w:tcPr>
          <w:p>
            <w:pPr>
              <w:pStyle w:val="92"/>
              <w:spacing w:line="280" w:lineRule="exact"/>
              <w:rPr>
                <w:rFonts w:ascii="Times New Roman" w:hAnsi="Times New Roman"/>
                <w:color w:val="000000"/>
                <w:sz w:val="18"/>
                <w:szCs w:val="18"/>
              </w:rPr>
            </w:pPr>
          </w:p>
        </w:tc>
        <w:tc>
          <w:tcPr>
            <w:tcW w:w="2950" w:type="dxa"/>
          </w:tcPr>
          <w:p>
            <w:pPr>
              <w:spacing w:line="240" w:lineRule="auto"/>
              <w:ind w:firstLine="0" w:firstLineChars="0"/>
              <w:jc w:val="left"/>
              <w:rPr>
                <w:sz w:val="18"/>
                <w:szCs w:val="20"/>
              </w:rPr>
            </w:pPr>
            <w:r>
              <w:rPr>
                <w:sz w:val="18"/>
                <w:szCs w:val="20"/>
              </w:rPr>
              <w:t>5.</w:t>
            </w:r>
            <w:r>
              <w:rPr>
                <w:rFonts w:hint="eastAsia"/>
                <w:sz w:val="18"/>
                <w:szCs w:val="20"/>
              </w:rPr>
              <w:t>监测</w:t>
            </w:r>
          </w:p>
        </w:tc>
        <w:tc>
          <w:tcPr>
            <w:tcW w:w="1644" w:type="dxa"/>
            <w:vAlign w:val="center"/>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vAlign w:val="center"/>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vAlign w:val="center"/>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1" w:type="dxa"/>
            <w:vMerge w:val="continue"/>
            <w:vAlign w:val="center"/>
          </w:tcPr>
          <w:p>
            <w:pPr>
              <w:pStyle w:val="92"/>
              <w:spacing w:line="280" w:lineRule="exact"/>
              <w:rPr>
                <w:rFonts w:ascii="Times New Roman" w:hAnsi="Times New Roman"/>
                <w:color w:val="000000"/>
                <w:sz w:val="18"/>
                <w:szCs w:val="18"/>
              </w:rPr>
            </w:pPr>
          </w:p>
        </w:tc>
        <w:tc>
          <w:tcPr>
            <w:tcW w:w="2950" w:type="dxa"/>
          </w:tcPr>
          <w:p>
            <w:pPr>
              <w:spacing w:line="240" w:lineRule="auto"/>
              <w:ind w:firstLine="0" w:firstLineChars="0"/>
              <w:jc w:val="left"/>
              <w:rPr>
                <w:sz w:val="18"/>
                <w:szCs w:val="20"/>
              </w:rPr>
            </w:pPr>
            <w:r>
              <w:rPr>
                <w:sz w:val="18"/>
                <w:szCs w:val="20"/>
              </w:rPr>
              <w:t>6.</w:t>
            </w:r>
            <w:r>
              <w:rPr>
                <w:rFonts w:hint="eastAsia"/>
                <w:sz w:val="18"/>
                <w:szCs w:val="20"/>
              </w:rPr>
              <w:t>解说活动</w:t>
            </w:r>
          </w:p>
        </w:tc>
        <w:tc>
          <w:tcPr>
            <w:tcW w:w="1644" w:type="dxa"/>
            <w:vAlign w:val="center"/>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vAlign w:val="center"/>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c>
          <w:tcPr>
            <w:tcW w:w="1644" w:type="dxa"/>
            <w:vAlign w:val="center"/>
          </w:tcPr>
          <w:p>
            <w:pPr>
              <w:pStyle w:val="92"/>
              <w:spacing w:line="280" w:lineRule="exact"/>
              <w:jc w:val="center"/>
              <w:rPr>
                <w:rFonts w:ascii="Times New Roman" w:hAnsi="Times New Roman"/>
                <w:color w:val="000000"/>
                <w:sz w:val="18"/>
                <w:szCs w:val="18"/>
              </w:rPr>
            </w:pPr>
            <w:r>
              <w:rPr>
                <w:rFonts w:hint="eastAsia" w:ascii="Times New Roman" w:hAnsi="Times New Roman"/>
                <w:color w:val="000000"/>
                <w:sz w:val="18"/>
                <w:szCs w:val="18"/>
              </w:rPr>
              <w:t>○</w:t>
            </w:r>
          </w:p>
        </w:tc>
      </w:tr>
    </w:tbl>
    <w:p>
      <w:pPr>
        <w:spacing w:before="72"/>
        <w:ind w:firstLine="502" w:firstLineChars="279"/>
        <w:rPr>
          <w:rFonts w:ascii="宋体" w:hAnsi="宋体" w:cs="仿宋_GB2312"/>
          <w:color w:val="000000"/>
          <w:sz w:val="18"/>
          <w:szCs w:val="18"/>
        </w:rPr>
      </w:pPr>
      <w:r>
        <w:rPr>
          <w:rFonts w:hint="eastAsia" w:ascii="宋体" w:hAnsi="宋体" w:cs="仿宋_GB2312"/>
          <w:color w:val="000000"/>
          <w:sz w:val="18"/>
          <w:szCs w:val="18"/>
        </w:rPr>
        <w:t>注：●应该执行；○允许开展；△有条件允许开展；×禁止开展；</w:t>
      </w:r>
      <w:r>
        <w:rPr>
          <w:rFonts w:ascii="宋体" w:hAnsi="宋体" w:cs="仿宋_GB2312"/>
          <w:color w:val="000000"/>
          <w:sz w:val="18"/>
          <w:szCs w:val="18"/>
        </w:rPr>
        <w:t>—</w:t>
      </w:r>
      <w:r>
        <w:rPr>
          <w:rFonts w:hint="eastAsia" w:ascii="宋体" w:hAnsi="宋体" w:cs="仿宋_GB2312"/>
          <w:color w:val="000000"/>
          <w:sz w:val="18"/>
          <w:szCs w:val="18"/>
        </w:rPr>
        <w:t>不适用</w:t>
      </w:r>
    </w:p>
    <w:p>
      <w:pPr>
        <w:pStyle w:val="3"/>
        <w:spacing w:before="326"/>
      </w:pPr>
      <w:bookmarkStart w:id="31" w:name="_Toc176456004"/>
      <w:r>
        <w:rPr>
          <w:rFonts w:hint="eastAsia"/>
        </w:rPr>
        <w:t>四、生态环境保护</w:t>
      </w:r>
      <w:bookmarkEnd w:id="31"/>
    </w:p>
    <w:p>
      <w:pPr>
        <w:spacing w:before="97" w:beforeLines="30"/>
        <w:ind w:firstLine="480"/>
        <w:rPr>
          <w:rFonts w:cs="宋体"/>
        </w:rPr>
      </w:pPr>
      <w:r>
        <w:rPr>
          <w:rFonts w:hint="eastAsia" w:cs="宋体"/>
        </w:rPr>
        <w:t>以《中华人民共和国环境保护法》、《中华人民共和国环境影响评价法》、《中华人民共和国水法》、《中华人民共和国防洪法》、《中华人民共和国水土保持法》、《规划环境影响评价条例》、《中华人民共和国河道管理条例》、《环境空气质量标准》（GB3095—2012）、《地表水环境质量标准》（GB3838—2002</w:t>
      </w:r>
      <w:r>
        <w:fldChar w:fldCharType="begin"/>
      </w:r>
      <w:r>
        <w:instrText xml:space="preserve"> HYPERLINK "http://www.dy88.cn/baodian/901.html" </w:instrText>
      </w:r>
      <w:r>
        <w:fldChar w:fldCharType="separate"/>
      </w:r>
      <w:r>
        <w:rPr>
          <w:rFonts w:hint="eastAsia" w:cs="宋体"/>
        </w:rPr>
        <w:t>）、《地下水质量标准》（</w:t>
      </w:r>
      <w:r>
        <w:rPr>
          <w:rFonts w:hint="eastAsia" w:cs="宋体"/>
        </w:rPr>
        <w:fldChar w:fldCharType="end"/>
      </w:r>
      <w:r>
        <w:rPr>
          <w:rFonts w:hint="eastAsia" w:cs="宋体"/>
        </w:rPr>
        <w:t>GB/T14848—93）、《声环境质量标准》（GB3096—2008）等为依据，根据风景区自身情况，分析环境影响，确定生态环境保护要求。</w:t>
      </w:r>
    </w:p>
    <w:p>
      <w:pPr>
        <w:pStyle w:val="4"/>
        <w:spacing w:before="163"/>
        <w:ind w:firstLine="360"/>
      </w:pPr>
      <w:r>
        <w:rPr>
          <w:rFonts w:hint="eastAsia"/>
        </w:rPr>
        <w:t>（一）风景区总体规划的环境影响分析</w:t>
      </w:r>
    </w:p>
    <w:p>
      <w:pPr>
        <w:spacing w:before="97" w:beforeLines="30"/>
        <w:ind w:firstLine="482"/>
        <w:rPr>
          <w:rFonts w:cs="宋体"/>
          <w:b/>
          <w:bCs/>
        </w:rPr>
      </w:pPr>
      <w:r>
        <w:rPr>
          <w:rFonts w:hint="eastAsia" w:cs="宋体"/>
          <w:b/>
          <w:bCs/>
        </w:rPr>
        <w:t>1、规划目标分析</w:t>
      </w:r>
    </w:p>
    <w:p>
      <w:pPr>
        <w:spacing w:before="97" w:beforeLines="30"/>
        <w:ind w:firstLine="480"/>
        <w:rPr>
          <w:rFonts w:cs="宋体"/>
        </w:rPr>
      </w:pPr>
      <w:r>
        <w:rPr>
          <w:rFonts w:hint="eastAsia" w:cs="宋体"/>
        </w:rPr>
        <w:t>《百丈漈—飞云湖风景名胜区总体规划》目标是：严格保护自然资源的原生性，保护珍稀动植物及其栖息生态环境，维护区域内的生物多样性；保护文化资源的真实性和完整性，维护其自然人文环境，充分展示其历史、人文、艺术、科学、社会和经济等多重价值。因此，《百丈漈—飞云湖风景名胜区总体规划》明显区别于开发性规划，是对大气、地表水、地下水、水土保护、噪声、固废污染等方面具有严格要求的保护性规划。</w:t>
      </w:r>
    </w:p>
    <w:p>
      <w:pPr>
        <w:spacing w:before="97" w:beforeLines="30"/>
        <w:ind w:firstLine="482"/>
        <w:rPr>
          <w:rFonts w:cs="宋体"/>
          <w:b/>
          <w:bCs/>
        </w:rPr>
      </w:pPr>
      <w:r>
        <w:rPr>
          <w:rFonts w:hint="eastAsia" w:cs="宋体"/>
          <w:b/>
          <w:bCs/>
        </w:rPr>
        <w:t>2、风景区保护管理方式分析</w:t>
      </w:r>
    </w:p>
    <w:p>
      <w:pPr>
        <w:spacing w:before="97" w:beforeLines="30"/>
        <w:ind w:firstLine="480"/>
        <w:rPr>
          <w:rFonts w:cs="宋体"/>
        </w:rPr>
      </w:pPr>
      <w:r>
        <w:rPr>
          <w:rFonts w:hint="eastAsia" w:cs="宋体"/>
        </w:rPr>
        <w:t>风景区全域根据资源、居民社会、旅游活动的实际情况，分为一级保护区、二级保护区、三级保护区，分别提出保护管理要求。重点是对村庄居民建设、旅游设施建设、旅游活动开展区域提出控制性要求，对生态、动植物、景观资源等提出保护性要求。因而，《百丈漈—飞云湖风景名胜区总体规划》有具体可行的分区保护措施用于实现规划目标。</w:t>
      </w:r>
    </w:p>
    <w:p>
      <w:pPr>
        <w:spacing w:before="97" w:beforeLines="30"/>
        <w:ind w:firstLine="482"/>
        <w:rPr>
          <w:rFonts w:cs="宋体"/>
          <w:b/>
          <w:bCs/>
        </w:rPr>
      </w:pPr>
      <w:r>
        <w:rPr>
          <w:rFonts w:hint="eastAsia" w:cs="宋体"/>
          <w:b/>
          <w:bCs/>
        </w:rPr>
        <w:t>3、风景区相关建设与活动的环境影响说明</w:t>
      </w:r>
    </w:p>
    <w:p>
      <w:pPr>
        <w:spacing w:before="97" w:beforeLines="30"/>
        <w:ind w:firstLine="480"/>
        <w:rPr>
          <w:rFonts w:cs="宋体"/>
        </w:rPr>
      </w:pPr>
      <w:r>
        <w:rPr>
          <w:rFonts w:hint="eastAsia" w:cs="宋体"/>
        </w:rPr>
        <w:t>（1）居民生产生活影响及规划对策</w:t>
      </w:r>
    </w:p>
    <w:p>
      <w:pPr>
        <w:spacing w:before="97" w:beforeLines="30"/>
        <w:ind w:firstLine="480"/>
        <w:rPr>
          <w:rFonts w:cs="宋体"/>
        </w:rPr>
      </w:pPr>
      <w:r>
        <w:rPr>
          <w:rFonts w:hint="eastAsia" w:cs="宋体"/>
        </w:rPr>
        <w:t>风景区范围内分布有较多村庄和居民人口，所产生的生活污水、生活垃圾及开展的生产活动和对风景区环境造成影响。本次规划以控制居民人口和村庄建设为目标，鼓励核心景区内的村庄开展生态移民，减少建设用地规模。鼓励村庄转型发展，从农业型转为旅游服务型，减少农业生产带来的面源污染和植被环境破坏，并禁止捕抓动物、滥采滥挖滥伐等行为。对生活污水进行达标处理，并进行综合利用，对生活垃圾收集、转运出风景区进行处理。</w:t>
      </w:r>
    </w:p>
    <w:p>
      <w:pPr>
        <w:spacing w:before="97" w:beforeLines="30"/>
        <w:ind w:firstLine="480"/>
        <w:rPr>
          <w:rFonts w:cs="宋体"/>
        </w:rPr>
      </w:pPr>
      <w:r>
        <w:rPr>
          <w:rFonts w:hint="eastAsia" w:cs="宋体"/>
        </w:rPr>
        <w:t>（2）道路工程建设影响及规划对策</w:t>
      </w:r>
    </w:p>
    <w:p>
      <w:pPr>
        <w:spacing w:before="97" w:beforeLines="30"/>
        <w:ind w:firstLine="480"/>
        <w:rPr>
          <w:rFonts w:cs="宋体"/>
        </w:rPr>
      </w:pPr>
      <w:r>
        <w:rPr>
          <w:rFonts w:hint="eastAsia" w:cs="宋体"/>
        </w:rPr>
        <w:t>道路工程设施可能会对景区地形地貌、植被等造成一定破坏，并进一步造成水土流失，施工过程中给周围环境带来一定的施工噪音、扬尘和废弃物等。</w:t>
      </w:r>
    </w:p>
    <w:p>
      <w:pPr>
        <w:spacing w:before="97" w:beforeLines="30"/>
        <w:ind w:firstLine="480"/>
        <w:rPr>
          <w:rFonts w:cs="宋体"/>
        </w:rPr>
      </w:pPr>
      <w:r>
        <w:rPr>
          <w:rFonts w:hint="eastAsia" w:cs="宋体"/>
        </w:rPr>
        <w:t>本次规划的风景区范围内铁路和高等级公路以及景区内主要车行游览路，要求避开生态敏感地段和重要动物栖息地，对开挖取土地段实施生态修复，预留生物通道，道路两侧加强植被防护，减少对景观影响。规划的步行游览道要求使用当地材料。</w:t>
      </w:r>
    </w:p>
    <w:p>
      <w:pPr>
        <w:spacing w:before="97" w:beforeLines="30"/>
        <w:ind w:firstLine="480"/>
        <w:rPr>
          <w:rFonts w:cs="宋体"/>
        </w:rPr>
      </w:pPr>
      <w:r>
        <w:rPr>
          <w:rFonts w:hint="eastAsia" w:cs="宋体"/>
        </w:rPr>
        <w:t>（3）旅游设施建设影响及规划对策</w:t>
      </w:r>
    </w:p>
    <w:p>
      <w:pPr>
        <w:spacing w:before="97" w:beforeLines="30"/>
        <w:ind w:firstLine="480"/>
        <w:rPr>
          <w:rFonts w:cs="宋体"/>
        </w:rPr>
      </w:pPr>
      <w:r>
        <w:rPr>
          <w:rFonts w:hint="eastAsia" w:cs="宋体"/>
        </w:rPr>
        <w:t>规划中在风景区范围内新增的游览设施多为中低等级旅游服务点。其现有生态系统主要是人工林或农田，生态价值较低。游览设施的建设可能会对景区地形地貌、植被等造成一定破坏，但对生态环境的负面影响相对较小。规划旅游设施利用已有的镇村建设用地、山脚缓坡地进行建设，对生态环境、动物栖息环境没有过多影响。</w:t>
      </w:r>
    </w:p>
    <w:p>
      <w:pPr>
        <w:spacing w:before="97" w:beforeLines="30"/>
        <w:ind w:firstLine="480"/>
        <w:rPr>
          <w:rFonts w:cs="宋体"/>
        </w:rPr>
      </w:pPr>
      <w:r>
        <w:rPr>
          <w:rFonts w:hint="eastAsia" w:cs="宋体"/>
        </w:rPr>
        <w:t>规划未来应在旅游服务点建设过程中充分做好对现有环境的保护，特别是对现有地形和植被的保护。建筑设计应该依山就势，利用现有植被，避免大面积破坏地表和植被。所有旅游服务点都应该配备满足需要的污水处理设施和垃圾收集设施，降低对环境的影响。旅游服务点的景观风貌应该与周边环境协调，降低对美学价值的影响。</w:t>
      </w:r>
    </w:p>
    <w:p>
      <w:pPr>
        <w:spacing w:before="97" w:beforeLines="30"/>
        <w:ind w:firstLine="480"/>
        <w:rPr>
          <w:rFonts w:cs="宋体"/>
        </w:rPr>
      </w:pPr>
      <w:r>
        <w:rPr>
          <w:rFonts w:hint="eastAsia" w:cs="宋体"/>
        </w:rPr>
        <w:t>（4）旅游活动影响及规划对策</w:t>
      </w:r>
    </w:p>
    <w:p>
      <w:pPr>
        <w:spacing w:before="97" w:beforeLines="30"/>
        <w:ind w:firstLine="480"/>
        <w:rPr>
          <w:rFonts w:cs="宋体"/>
        </w:rPr>
      </w:pPr>
      <w:r>
        <w:rPr>
          <w:rFonts w:hint="eastAsia" w:cs="宋体"/>
        </w:rPr>
        <w:t>旅游活动产生的生活污水、垃圾等会对环境造成不利影响。特别是由于游赏时间分布不均匀，对局部的生态环境造成较大压力。</w:t>
      </w:r>
    </w:p>
    <w:p>
      <w:pPr>
        <w:spacing w:before="97" w:beforeLines="30"/>
        <w:ind w:firstLine="480"/>
        <w:rPr>
          <w:rFonts w:cs="宋体"/>
        </w:rPr>
      </w:pPr>
      <w:r>
        <w:rPr>
          <w:rFonts w:hint="eastAsia" w:cs="宋体"/>
        </w:rPr>
        <w:t>规划要求生活污水实行达标处理，并进行综合利用，对生活垃圾收集、转运出风景区进行处理。规划对游人量通过日游客容量等进行控制管理，避免对局部的生态环境造成不可逆的影响。</w:t>
      </w:r>
    </w:p>
    <w:p>
      <w:pPr>
        <w:pStyle w:val="4"/>
        <w:spacing w:before="163"/>
        <w:ind w:firstLine="360"/>
        <w:rPr>
          <w:sz w:val="21"/>
          <w:szCs w:val="22"/>
        </w:rPr>
      </w:pPr>
      <w:r>
        <w:rPr>
          <w:rFonts w:hint="eastAsia"/>
        </w:rPr>
        <w:t>（二）生态环境质量现状</w:t>
      </w:r>
    </w:p>
    <w:p>
      <w:pPr>
        <w:spacing w:before="97" w:beforeLines="30"/>
        <w:ind w:firstLine="480"/>
        <w:rPr>
          <w:rFonts w:cs="宋体"/>
        </w:rPr>
      </w:pPr>
      <w:r>
        <w:rPr>
          <w:rFonts w:hint="eastAsia" w:cs="宋体"/>
        </w:rPr>
        <w:t>风景区空气质量均达到了国家环境空气质量年均值一级标准，空气质量优良率达到95%以上。</w:t>
      </w:r>
    </w:p>
    <w:p>
      <w:pPr>
        <w:spacing w:before="97" w:beforeLines="30"/>
        <w:ind w:firstLine="480"/>
        <w:rPr>
          <w:rFonts w:cs="宋体"/>
        </w:rPr>
      </w:pPr>
      <w:r>
        <w:rPr>
          <w:rFonts w:hint="eastAsia" w:cs="宋体"/>
        </w:rPr>
        <w:t>地表水环境监测，根据风景区内的水系分布，通过监测分析，风景区河流湖库等水系的水质均达到《地表水环境质量标准》中的 Ⅲ 类标准以上，水质较好。</w:t>
      </w:r>
    </w:p>
    <w:p>
      <w:pPr>
        <w:spacing w:before="97" w:beforeLines="30"/>
        <w:ind w:firstLine="480"/>
        <w:rPr>
          <w:rFonts w:cs="宋体"/>
        </w:rPr>
      </w:pPr>
      <w:r>
        <w:rPr>
          <w:rFonts w:hint="eastAsia" w:cs="宋体"/>
        </w:rPr>
        <w:t>风景区内声环境质量符合《声环境质量标准》中的1 类环境功能限制要求。</w:t>
      </w:r>
    </w:p>
    <w:p>
      <w:pPr>
        <w:pStyle w:val="4"/>
        <w:spacing w:before="163"/>
        <w:ind w:firstLine="360"/>
      </w:pPr>
      <w:r>
        <w:rPr>
          <w:rFonts w:hint="eastAsia"/>
        </w:rPr>
        <w:t>（三）生态环境保护目标及要求</w:t>
      </w:r>
    </w:p>
    <w:p>
      <w:pPr>
        <w:spacing w:before="163"/>
        <w:ind w:firstLine="480"/>
      </w:pPr>
      <w:r>
        <w:rPr>
          <w:rFonts w:hint="eastAsia"/>
        </w:rPr>
        <w:t>按照《文成县“三线一单”生态环境分区管控方案》及动态更新方案，落实生态环境分区管控要求。</w:t>
      </w:r>
    </w:p>
    <w:p>
      <w:pPr>
        <w:spacing w:before="97" w:beforeLines="30"/>
        <w:ind w:firstLine="482"/>
        <w:rPr>
          <w:rFonts w:cs="宋体"/>
          <w:b/>
          <w:bCs/>
        </w:rPr>
      </w:pPr>
      <w:r>
        <w:rPr>
          <w:rFonts w:hint="eastAsia" w:cs="宋体"/>
          <w:b/>
          <w:bCs/>
        </w:rPr>
        <w:t>1、大气环境质量</w:t>
      </w:r>
    </w:p>
    <w:p>
      <w:pPr>
        <w:spacing w:before="97" w:beforeLines="30"/>
        <w:ind w:firstLine="480"/>
        <w:rPr>
          <w:rFonts w:cs="宋体"/>
        </w:rPr>
      </w:pPr>
      <w:r>
        <w:rPr>
          <w:rFonts w:hint="eastAsia" w:cs="宋体"/>
        </w:rPr>
        <w:t>根据</w:t>
      </w:r>
      <w:r>
        <w:rPr>
          <w:rFonts w:cs="宋体"/>
        </w:rPr>
        <w:t xml:space="preserve"> GB 3095—2012</w:t>
      </w:r>
      <w:r>
        <w:rPr>
          <w:rFonts w:hint="eastAsia" w:cs="宋体"/>
        </w:rPr>
        <w:t>《环境空气质量标准》，风景名胜区属于环境空气功能区中的一类区，适用一级浓度限值。应大力发展景区绿色交通体系，完善风景区内的环境空气质量监测网络，风景区内相关环境空气污染物项目应低于一级浓度限值。</w:t>
      </w:r>
    </w:p>
    <w:p>
      <w:pPr>
        <w:spacing w:before="97" w:beforeLines="30"/>
        <w:ind w:firstLine="482"/>
        <w:rPr>
          <w:rFonts w:cs="宋体"/>
          <w:b/>
          <w:bCs/>
        </w:rPr>
      </w:pPr>
      <w:r>
        <w:rPr>
          <w:rFonts w:hint="eastAsia" w:cs="宋体"/>
          <w:b/>
          <w:bCs/>
        </w:rPr>
        <w:t>2、地表水环境质量</w:t>
      </w:r>
    </w:p>
    <w:p>
      <w:pPr>
        <w:spacing w:before="97" w:beforeLines="30"/>
        <w:ind w:firstLine="480"/>
        <w:rPr>
          <w:rFonts w:cs="宋体"/>
        </w:rPr>
      </w:pPr>
      <w:r>
        <w:rPr>
          <w:rFonts w:hint="eastAsia" w:cs="宋体"/>
        </w:rPr>
        <w:t xml:space="preserve">根据 </w:t>
      </w:r>
      <w:r>
        <w:rPr>
          <w:rFonts w:cs="宋体"/>
        </w:rPr>
        <w:t>GB3838</w:t>
      </w:r>
      <w:r>
        <w:rPr>
          <w:rFonts w:hint="eastAsia" w:cs="宋体"/>
        </w:rPr>
        <w:t>—</w:t>
      </w:r>
      <w:r>
        <w:rPr>
          <w:rFonts w:cs="宋体"/>
        </w:rPr>
        <w:t xml:space="preserve">2002 </w:t>
      </w:r>
      <w:r>
        <w:rPr>
          <w:rFonts w:hint="eastAsia" w:cs="宋体"/>
        </w:rPr>
        <w:t>《地表水环境质量标准》，按功能高低划分为五类水域：Ⅰ</w:t>
      </w:r>
      <w:r>
        <w:rPr>
          <w:rFonts w:cs="宋体"/>
        </w:rPr>
        <w:t>类主要适用于源头水、国家自然保护区；</w:t>
      </w:r>
      <w:r>
        <w:rPr>
          <w:rFonts w:hint="eastAsia" w:cs="宋体"/>
        </w:rPr>
        <w:t>Ⅱ</w:t>
      </w:r>
      <w:r>
        <w:rPr>
          <w:rFonts w:cs="宋体"/>
        </w:rPr>
        <w:t>类主要适用于集中式生活饮用水地表水源地一级保护区、珍稀水生生物栖息地、鱼虾类产卵场、仔稚幼鱼的索饵场等；</w:t>
      </w:r>
      <w:r>
        <w:rPr>
          <w:rFonts w:hint="eastAsia" w:cs="宋体"/>
        </w:rPr>
        <w:t>Ⅲ</w:t>
      </w:r>
      <w:r>
        <w:rPr>
          <w:rFonts w:cs="宋体"/>
        </w:rPr>
        <w:t>类主要适用于集中式生活饮用水地表水源地二级保护区、鱼虾类越冬场、洄游通道、水产养殖区等渔业水域及游泳区；</w:t>
      </w:r>
      <w:r>
        <w:rPr>
          <w:rFonts w:hint="eastAsia" w:cs="宋体"/>
        </w:rPr>
        <w:t>Ⅳ</w:t>
      </w:r>
      <w:r>
        <w:rPr>
          <w:rFonts w:cs="宋体"/>
        </w:rPr>
        <w:t>类主要适用于一般工业用水区及人体非直接接触的娱乐用水区；</w:t>
      </w:r>
      <w:r>
        <w:rPr>
          <w:rFonts w:hint="eastAsia" w:cs="宋体"/>
        </w:rPr>
        <w:t>Ⅴ</w:t>
      </w:r>
      <w:r>
        <w:rPr>
          <w:rFonts w:cs="宋体"/>
        </w:rPr>
        <w:t>类主要适用于农业用水区及一般景观要求水域。</w:t>
      </w:r>
    </w:p>
    <w:p>
      <w:pPr>
        <w:spacing w:before="97" w:beforeLines="30"/>
        <w:ind w:firstLine="480"/>
        <w:rPr>
          <w:rFonts w:cs="宋体"/>
        </w:rPr>
      </w:pPr>
      <w:r>
        <w:rPr>
          <w:rFonts w:hint="eastAsia" w:cs="宋体"/>
        </w:rPr>
        <w:t>依据地表水水域功能和保护目标，实施分级水域保护与控制，一级保护区水域水质达到或优于II类标准；污水必须全部达标处理，并经主管部门行政许可后，才可排放；二级保护区水域水质达到或优于</w:t>
      </w:r>
      <w:r>
        <w:rPr>
          <w:rFonts w:cs="宋体"/>
        </w:rPr>
        <w:t>II</w:t>
      </w:r>
      <w:r>
        <w:rPr>
          <w:rFonts w:hint="eastAsia" w:cs="宋体"/>
        </w:rPr>
        <w:t>类标准；三级保护区水域水质达到</w:t>
      </w:r>
      <w:r>
        <w:rPr>
          <w:rFonts w:cs="宋体"/>
        </w:rPr>
        <w:t>II</w:t>
      </w:r>
      <w:r>
        <w:rPr>
          <w:rFonts w:hint="eastAsia" w:cs="宋体"/>
        </w:rPr>
        <w:t>类标准。</w:t>
      </w:r>
    </w:p>
    <w:p>
      <w:pPr>
        <w:spacing w:before="97" w:beforeLines="30"/>
        <w:ind w:firstLine="482"/>
        <w:rPr>
          <w:rFonts w:cs="宋体"/>
        </w:rPr>
      </w:pPr>
      <w:r>
        <w:rPr>
          <w:rFonts w:hint="eastAsia" w:cs="宋体"/>
          <w:b/>
          <w:bCs/>
        </w:rPr>
        <w:t>3、声环境质量</w:t>
      </w:r>
    </w:p>
    <w:p>
      <w:pPr>
        <w:spacing w:before="97" w:beforeLines="30"/>
        <w:ind w:firstLine="480"/>
        <w:rPr>
          <w:rFonts w:cs="宋体"/>
        </w:rPr>
      </w:pPr>
      <w:r>
        <w:rPr>
          <w:rFonts w:hint="eastAsia" w:cs="宋体"/>
        </w:rPr>
        <w:t>根据</w:t>
      </w:r>
      <w:r>
        <w:rPr>
          <w:rFonts w:cs="宋体"/>
        </w:rPr>
        <w:t>GB 3096</w:t>
      </w:r>
      <w:r>
        <w:rPr>
          <w:rFonts w:hint="eastAsia" w:cs="宋体"/>
        </w:rPr>
        <w:t>—</w:t>
      </w:r>
      <w:r>
        <w:rPr>
          <w:rFonts w:cs="宋体"/>
        </w:rPr>
        <w:t>2008</w:t>
      </w:r>
      <w:r>
        <w:rPr>
          <w:rFonts w:hint="eastAsia" w:cs="宋体"/>
        </w:rPr>
        <w:t>《声环境质量标准》，声环境功能区分为</w:t>
      </w:r>
      <w:r>
        <w:rPr>
          <w:rFonts w:cs="宋体"/>
        </w:rPr>
        <w:t>0类</w:t>
      </w:r>
      <w:r>
        <w:rPr>
          <w:rFonts w:hint="eastAsia" w:cs="宋体"/>
        </w:rPr>
        <w:t>、</w:t>
      </w:r>
      <w:r>
        <w:rPr>
          <w:rFonts w:cs="宋体"/>
        </w:rPr>
        <w:t> 1类</w:t>
      </w:r>
      <w:r>
        <w:rPr>
          <w:rFonts w:hint="eastAsia" w:cs="宋体"/>
        </w:rPr>
        <w:t>、2类、3类、4类共五种类型。乡村区域一般不划分声环境功能区，根据环境管理的需要确定适用的声环境质量要求，位于乡村的康复疗养区执行0类声环境功能区要求。</w:t>
      </w:r>
    </w:p>
    <w:p>
      <w:pPr>
        <w:spacing w:before="97" w:beforeLines="30"/>
        <w:ind w:firstLine="480"/>
        <w:rPr>
          <w:rFonts w:cs="宋体"/>
        </w:rPr>
      </w:pPr>
      <w:r>
        <w:rPr>
          <w:rFonts w:hint="eastAsia"/>
        </w:rPr>
        <w:t>风景区范围内不涉及城镇，参照标准对于乡村区域的要求，风景区</w:t>
      </w:r>
      <w:r>
        <w:rPr>
          <w:rFonts w:hint="eastAsia" w:cs="宋体"/>
        </w:rPr>
        <w:t>一级、二级保护区应优于</w:t>
      </w:r>
      <w:r>
        <w:rPr>
          <w:rFonts w:cs="宋体"/>
        </w:rPr>
        <w:t>0</w:t>
      </w:r>
      <w:r>
        <w:rPr>
          <w:rFonts w:hint="eastAsia" w:cs="宋体"/>
        </w:rPr>
        <w:t>类声环境功能区标准；三级保护区原则上应优于1类声环境功能区标准。</w:t>
      </w:r>
    </w:p>
    <w:p>
      <w:pPr>
        <w:spacing w:before="163" w:beforeLines="50"/>
        <w:ind w:firstLine="422"/>
        <w:jc w:val="center"/>
        <w:rPr>
          <w:rFonts w:ascii="宋体" w:hAnsi="宋体"/>
          <w:b/>
          <w:kern w:val="0"/>
          <w:sz w:val="21"/>
          <w:szCs w:val="21"/>
        </w:rPr>
      </w:pPr>
      <w:r>
        <w:rPr>
          <w:rFonts w:hint="eastAsia" w:ascii="宋体" w:hAnsi="宋体"/>
          <w:b/>
          <w:kern w:val="0"/>
          <w:sz w:val="21"/>
          <w:szCs w:val="21"/>
        </w:rPr>
        <w:t xml:space="preserve">表2-8 </w:t>
      </w:r>
      <w:r>
        <w:rPr>
          <w:rFonts w:ascii="宋体" w:hAnsi="宋体"/>
          <w:b/>
          <w:kern w:val="0"/>
          <w:sz w:val="21"/>
          <w:szCs w:val="21"/>
        </w:rPr>
        <w:t>生态环境</w:t>
      </w:r>
      <w:r>
        <w:rPr>
          <w:rFonts w:hint="eastAsia" w:ascii="宋体" w:hAnsi="宋体"/>
          <w:b/>
          <w:kern w:val="0"/>
          <w:sz w:val="21"/>
          <w:szCs w:val="21"/>
        </w:rPr>
        <w:t>保护要求表</w:t>
      </w:r>
    </w:p>
    <w:tbl>
      <w:tblPr>
        <w:tblStyle w:val="42"/>
        <w:tblW w:w="82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6"/>
        <w:gridCol w:w="1604"/>
        <w:gridCol w:w="2492"/>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706" w:type="dxa"/>
            <w:shd w:val="clear" w:color="auto" w:fill="E2E2E2"/>
            <w:vAlign w:val="center"/>
          </w:tcPr>
          <w:p>
            <w:pPr>
              <w:spacing w:line="320" w:lineRule="exact"/>
              <w:ind w:firstLine="0" w:firstLineChars="0"/>
              <w:jc w:val="center"/>
              <w:rPr>
                <w:b/>
                <w:sz w:val="18"/>
                <w:szCs w:val="18"/>
              </w:rPr>
            </w:pPr>
            <w:r>
              <w:rPr>
                <w:rFonts w:hint="eastAsia"/>
                <w:b/>
                <w:sz w:val="18"/>
                <w:szCs w:val="18"/>
              </w:rPr>
              <w:t>保护分区</w:t>
            </w:r>
          </w:p>
        </w:tc>
        <w:tc>
          <w:tcPr>
            <w:tcW w:w="1604" w:type="dxa"/>
            <w:shd w:val="clear" w:color="auto" w:fill="E2E2E2"/>
            <w:vAlign w:val="center"/>
          </w:tcPr>
          <w:p>
            <w:pPr>
              <w:spacing w:line="320" w:lineRule="exact"/>
              <w:ind w:firstLine="0" w:firstLineChars="0"/>
              <w:jc w:val="center"/>
              <w:rPr>
                <w:b/>
                <w:sz w:val="18"/>
                <w:szCs w:val="18"/>
              </w:rPr>
            </w:pPr>
            <w:r>
              <w:rPr>
                <w:b/>
                <w:sz w:val="18"/>
                <w:szCs w:val="18"/>
              </w:rPr>
              <w:t>大气环境质量</w:t>
            </w:r>
          </w:p>
        </w:tc>
        <w:tc>
          <w:tcPr>
            <w:tcW w:w="2492" w:type="dxa"/>
            <w:shd w:val="clear" w:color="auto" w:fill="E2E2E2"/>
            <w:vAlign w:val="center"/>
          </w:tcPr>
          <w:p>
            <w:pPr>
              <w:spacing w:line="320" w:lineRule="exact"/>
              <w:ind w:firstLine="0" w:firstLineChars="0"/>
              <w:jc w:val="center"/>
              <w:rPr>
                <w:b/>
                <w:sz w:val="18"/>
                <w:szCs w:val="18"/>
              </w:rPr>
            </w:pPr>
            <w:r>
              <w:rPr>
                <w:b/>
                <w:sz w:val="18"/>
                <w:szCs w:val="18"/>
              </w:rPr>
              <w:t>水环境质量</w:t>
            </w:r>
          </w:p>
        </w:tc>
        <w:tc>
          <w:tcPr>
            <w:tcW w:w="2410" w:type="dxa"/>
            <w:shd w:val="clear" w:color="auto" w:fill="E2E2E2"/>
            <w:vAlign w:val="center"/>
          </w:tcPr>
          <w:p>
            <w:pPr>
              <w:spacing w:line="320" w:lineRule="exact"/>
              <w:ind w:firstLine="0" w:firstLineChars="0"/>
              <w:jc w:val="center"/>
              <w:rPr>
                <w:b/>
                <w:sz w:val="18"/>
                <w:szCs w:val="18"/>
              </w:rPr>
            </w:pPr>
            <w:r>
              <w:rPr>
                <w:b/>
                <w:sz w:val="18"/>
                <w:szCs w:val="18"/>
              </w:rPr>
              <w:t>环境噪声和交通噪声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706" w:type="dxa"/>
            <w:vAlign w:val="center"/>
          </w:tcPr>
          <w:p>
            <w:pPr>
              <w:adjustRightInd w:val="0"/>
              <w:spacing w:line="320" w:lineRule="exact"/>
              <w:ind w:firstLine="0" w:firstLineChars="0"/>
              <w:jc w:val="center"/>
              <w:rPr>
                <w:sz w:val="18"/>
                <w:szCs w:val="18"/>
              </w:rPr>
            </w:pPr>
            <w:r>
              <w:rPr>
                <w:rFonts w:hint="eastAsia"/>
                <w:sz w:val="18"/>
                <w:szCs w:val="18"/>
              </w:rPr>
              <w:t>一级保护区</w:t>
            </w:r>
          </w:p>
        </w:tc>
        <w:tc>
          <w:tcPr>
            <w:tcW w:w="1604" w:type="dxa"/>
            <w:vMerge w:val="restart"/>
            <w:vAlign w:val="center"/>
          </w:tcPr>
          <w:p>
            <w:pPr>
              <w:adjustRightInd w:val="0"/>
              <w:spacing w:line="320" w:lineRule="exact"/>
              <w:ind w:firstLine="0" w:firstLineChars="0"/>
              <w:jc w:val="center"/>
              <w:rPr>
                <w:sz w:val="18"/>
                <w:szCs w:val="18"/>
              </w:rPr>
            </w:pPr>
            <w:r>
              <w:rPr>
                <w:sz w:val="18"/>
                <w:szCs w:val="18"/>
              </w:rPr>
              <w:t>达到</w:t>
            </w:r>
            <w:r>
              <w:rPr>
                <w:rFonts w:hint="eastAsia"/>
                <w:sz w:val="18"/>
                <w:szCs w:val="18"/>
              </w:rPr>
              <w:t>一类区</w:t>
            </w:r>
            <w:r>
              <w:rPr>
                <w:sz w:val="18"/>
                <w:szCs w:val="18"/>
              </w:rPr>
              <w:t>标准</w:t>
            </w:r>
          </w:p>
        </w:tc>
        <w:tc>
          <w:tcPr>
            <w:tcW w:w="2492" w:type="dxa"/>
            <w:vMerge w:val="restart"/>
            <w:vAlign w:val="center"/>
          </w:tcPr>
          <w:p>
            <w:pPr>
              <w:adjustRightInd w:val="0"/>
              <w:spacing w:line="320" w:lineRule="exact"/>
              <w:ind w:firstLine="0" w:firstLineChars="0"/>
              <w:jc w:val="center"/>
              <w:rPr>
                <w:sz w:val="18"/>
                <w:szCs w:val="18"/>
              </w:rPr>
            </w:pPr>
            <w:r>
              <w:rPr>
                <w:sz w:val="18"/>
                <w:szCs w:val="18"/>
              </w:rPr>
              <w:t>达到或优于II类</w:t>
            </w:r>
            <w:r>
              <w:rPr>
                <w:rFonts w:hint="eastAsia"/>
                <w:sz w:val="18"/>
                <w:szCs w:val="18"/>
              </w:rPr>
              <w:t>标准</w:t>
            </w:r>
          </w:p>
        </w:tc>
        <w:tc>
          <w:tcPr>
            <w:tcW w:w="2410" w:type="dxa"/>
            <w:vMerge w:val="restart"/>
            <w:vAlign w:val="center"/>
          </w:tcPr>
          <w:p>
            <w:pPr>
              <w:adjustRightInd w:val="0"/>
              <w:spacing w:line="320" w:lineRule="exact"/>
              <w:ind w:firstLine="0" w:firstLineChars="0"/>
              <w:jc w:val="center"/>
              <w:rPr>
                <w:sz w:val="18"/>
                <w:szCs w:val="18"/>
              </w:rPr>
            </w:pPr>
            <w:r>
              <w:rPr>
                <w:sz w:val="18"/>
                <w:szCs w:val="18"/>
              </w:rPr>
              <w:t>优于0类标准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706" w:type="dxa"/>
            <w:vAlign w:val="center"/>
          </w:tcPr>
          <w:p>
            <w:pPr>
              <w:adjustRightInd w:val="0"/>
              <w:spacing w:line="320" w:lineRule="exact"/>
              <w:ind w:firstLine="0" w:firstLineChars="0"/>
              <w:jc w:val="center"/>
              <w:rPr>
                <w:sz w:val="18"/>
                <w:szCs w:val="18"/>
              </w:rPr>
            </w:pPr>
            <w:r>
              <w:rPr>
                <w:rFonts w:hint="eastAsia"/>
                <w:sz w:val="18"/>
                <w:szCs w:val="18"/>
              </w:rPr>
              <w:t>二级保护区</w:t>
            </w:r>
          </w:p>
        </w:tc>
        <w:tc>
          <w:tcPr>
            <w:tcW w:w="1604" w:type="dxa"/>
            <w:vMerge w:val="continue"/>
            <w:vAlign w:val="center"/>
          </w:tcPr>
          <w:p>
            <w:pPr>
              <w:adjustRightInd w:val="0"/>
              <w:spacing w:line="320" w:lineRule="exact"/>
              <w:ind w:firstLine="360"/>
              <w:jc w:val="center"/>
              <w:rPr>
                <w:sz w:val="18"/>
                <w:szCs w:val="18"/>
              </w:rPr>
            </w:pPr>
          </w:p>
        </w:tc>
        <w:tc>
          <w:tcPr>
            <w:tcW w:w="2492" w:type="dxa"/>
            <w:vMerge w:val="continue"/>
            <w:vAlign w:val="center"/>
          </w:tcPr>
          <w:p>
            <w:pPr>
              <w:adjustRightInd w:val="0"/>
              <w:spacing w:line="320" w:lineRule="exact"/>
              <w:ind w:firstLine="0" w:firstLineChars="0"/>
              <w:jc w:val="center"/>
              <w:rPr>
                <w:sz w:val="18"/>
                <w:szCs w:val="18"/>
              </w:rPr>
            </w:pPr>
          </w:p>
        </w:tc>
        <w:tc>
          <w:tcPr>
            <w:tcW w:w="2410" w:type="dxa"/>
            <w:vMerge w:val="continue"/>
            <w:vAlign w:val="center"/>
          </w:tcPr>
          <w:p>
            <w:pPr>
              <w:adjustRightInd w:val="0"/>
              <w:spacing w:line="320" w:lineRule="exact"/>
              <w:ind w:firstLine="0" w:firstLineChars="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706" w:type="dxa"/>
            <w:vAlign w:val="center"/>
          </w:tcPr>
          <w:p>
            <w:pPr>
              <w:adjustRightInd w:val="0"/>
              <w:spacing w:line="320" w:lineRule="exact"/>
              <w:ind w:firstLine="0" w:firstLineChars="0"/>
              <w:jc w:val="center"/>
              <w:rPr>
                <w:sz w:val="18"/>
                <w:szCs w:val="18"/>
              </w:rPr>
            </w:pPr>
            <w:r>
              <w:rPr>
                <w:rFonts w:hint="eastAsia"/>
                <w:sz w:val="18"/>
                <w:szCs w:val="18"/>
              </w:rPr>
              <w:t>三级保护</w:t>
            </w:r>
            <w:r>
              <w:rPr>
                <w:sz w:val="18"/>
                <w:szCs w:val="18"/>
              </w:rPr>
              <w:t>区</w:t>
            </w:r>
          </w:p>
        </w:tc>
        <w:tc>
          <w:tcPr>
            <w:tcW w:w="1604" w:type="dxa"/>
            <w:vMerge w:val="continue"/>
            <w:vAlign w:val="center"/>
          </w:tcPr>
          <w:p>
            <w:pPr>
              <w:adjustRightInd w:val="0"/>
              <w:spacing w:line="320" w:lineRule="exact"/>
              <w:ind w:firstLine="0" w:firstLineChars="0"/>
              <w:jc w:val="center"/>
              <w:rPr>
                <w:sz w:val="18"/>
                <w:szCs w:val="18"/>
              </w:rPr>
            </w:pPr>
          </w:p>
        </w:tc>
        <w:tc>
          <w:tcPr>
            <w:tcW w:w="2492" w:type="dxa"/>
            <w:vAlign w:val="center"/>
          </w:tcPr>
          <w:p>
            <w:pPr>
              <w:adjustRightInd w:val="0"/>
              <w:spacing w:line="320" w:lineRule="exact"/>
              <w:ind w:firstLine="0" w:firstLineChars="0"/>
              <w:jc w:val="center"/>
              <w:rPr>
                <w:sz w:val="18"/>
                <w:szCs w:val="18"/>
              </w:rPr>
            </w:pPr>
            <w:r>
              <w:rPr>
                <w:sz w:val="18"/>
                <w:szCs w:val="18"/>
              </w:rPr>
              <w:t>达到II类</w:t>
            </w:r>
            <w:r>
              <w:rPr>
                <w:rFonts w:hint="eastAsia"/>
                <w:sz w:val="18"/>
                <w:szCs w:val="18"/>
              </w:rPr>
              <w:t>标准</w:t>
            </w:r>
          </w:p>
        </w:tc>
        <w:tc>
          <w:tcPr>
            <w:tcW w:w="2410" w:type="dxa"/>
            <w:vAlign w:val="center"/>
          </w:tcPr>
          <w:p>
            <w:pPr>
              <w:adjustRightInd w:val="0"/>
              <w:spacing w:line="320" w:lineRule="exact"/>
              <w:ind w:firstLine="0" w:firstLineChars="0"/>
              <w:jc w:val="center"/>
              <w:rPr>
                <w:sz w:val="18"/>
                <w:szCs w:val="18"/>
              </w:rPr>
            </w:pPr>
            <w:r>
              <w:rPr>
                <w:sz w:val="18"/>
                <w:szCs w:val="18"/>
              </w:rPr>
              <w:t>优于</w:t>
            </w:r>
            <w:r>
              <w:rPr>
                <w:rFonts w:hint="eastAsia"/>
                <w:sz w:val="18"/>
                <w:szCs w:val="18"/>
              </w:rPr>
              <w:t>1</w:t>
            </w:r>
            <w:r>
              <w:rPr>
                <w:sz w:val="18"/>
                <w:szCs w:val="18"/>
              </w:rPr>
              <w:t>类标准</w:t>
            </w:r>
          </w:p>
        </w:tc>
      </w:tr>
    </w:tbl>
    <w:p>
      <w:pPr>
        <w:spacing w:line="240" w:lineRule="auto"/>
        <w:ind w:firstLine="360"/>
        <w:rPr>
          <w:rFonts w:hAnsi="宋体"/>
          <w:sz w:val="18"/>
          <w:szCs w:val="18"/>
        </w:rPr>
      </w:pPr>
      <w:bookmarkStart w:id="32" w:name="_Toc370989730"/>
      <w:r>
        <w:rPr>
          <w:rFonts w:hint="eastAsia" w:hAnsi="宋体"/>
          <w:sz w:val="18"/>
          <w:szCs w:val="18"/>
        </w:rPr>
        <w:t>注：大气环境质量执行《环境空气质量标准》（GB3095—2012）；</w:t>
      </w:r>
    </w:p>
    <w:p>
      <w:pPr>
        <w:spacing w:line="240" w:lineRule="auto"/>
        <w:ind w:firstLine="360"/>
        <w:rPr>
          <w:rFonts w:hAnsi="宋体"/>
          <w:sz w:val="18"/>
          <w:szCs w:val="18"/>
        </w:rPr>
      </w:pPr>
      <w:r>
        <w:rPr>
          <w:rFonts w:hint="eastAsia" w:hAnsi="宋体"/>
          <w:sz w:val="18"/>
          <w:szCs w:val="18"/>
        </w:rPr>
        <w:t xml:space="preserve">    地表水环境质量执行《地表水环境质量标准》（GB3838—2002）；</w:t>
      </w:r>
    </w:p>
    <w:p>
      <w:pPr>
        <w:spacing w:line="240" w:lineRule="auto"/>
        <w:ind w:firstLine="360"/>
        <w:rPr>
          <w:rFonts w:hAnsi="宋体"/>
          <w:sz w:val="18"/>
          <w:szCs w:val="18"/>
        </w:rPr>
      </w:pPr>
      <w:r>
        <w:rPr>
          <w:rFonts w:hint="eastAsia" w:hAnsi="宋体"/>
          <w:sz w:val="18"/>
          <w:szCs w:val="18"/>
        </w:rPr>
        <w:t xml:space="preserve">    声环境质量执行《声环境质量标准》（GB3096—2008）。</w:t>
      </w:r>
    </w:p>
    <w:p>
      <w:pPr>
        <w:spacing w:line="240" w:lineRule="auto"/>
        <w:ind w:firstLine="360"/>
        <w:rPr>
          <w:rFonts w:hAnsi="宋体"/>
          <w:sz w:val="18"/>
          <w:szCs w:val="18"/>
        </w:rPr>
      </w:pPr>
    </w:p>
    <w:p>
      <w:pPr>
        <w:pStyle w:val="4"/>
        <w:spacing w:before="163"/>
        <w:ind w:firstLine="360"/>
      </w:pPr>
      <w:r>
        <w:rPr>
          <w:rFonts w:hint="eastAsia"/>
        </w:rPr>
        <w:t>（四）生态环境保护措施</w:t>
      </w:r>
      <w:bookmarkEnd w:id="32"/>
    </w:p>
    <w:p>
      <w:pPr>
        <w:spacing w:before="97" w:beforeLines="30"/>
        <w:ind w:firstLine="482"/>
        <w:rPr>
          <w:rFonts w:cs="宋体"/>
          <w:b/>
          <w:bCs/>
          <w:lang w:val="zh-CN"/>
        </w:rPr>
      </w:pPr>
      <w:r>
        <w:rPr>
          <w:rFonts w:hint="eastAsia" w:cs="宋体"/>
          <w:b/>
          <w:bCs/>
        </w:rPr>
        <w:t>1、</w:t>
      </w:r>
      <w:r>
        <w:rPr>
          <w:rFonts w:hint="eastAsia" w:cs="宋体"/>
          <w:b/>
          <w:bCs/>
          <w:lang w:val="zh-CN"/>
        </w:rPr>
        <w:t>大气环境保护</w:t>
      </w:r>
    </w:p>
    <w:p>
      <w:pPr>
        <w:spacing w:before="97" w:beforeLines="30"/>
        <w:ind w:firstLine="480"/>
        <w:rPr>
          <w:rFonts w:cs="宋体"/>
        </w:rPr>
      </w:pPr>
      <w:r>
        <w:rPr>
          <w:rFonts w:hint="eastAsia" w:cs="宋体"/>
        </w:rPr>
        <w:t>落实《中华人民共和国大气污染防治法》等相关规定，防止大气污染，加强生态环境保护。在施工建设期，应加强施工项目的防尘措施和施工管理，使大气空气环境质量达到GB3095—2012《环境空气质量标准》中的一类区标准。</w:t>
      </w:r>
    </w:p>
    <w:p>
      <w:pPr>
        <w:spacing w:before="97" w:beforeLines="30"/>
        <w:ind w:firstLine="480"/>
        <w:rPr>
          <w:rFonts w:cs="宋体"/>
        </w:rPr>
      </w:pPr>
      <w:r>
        <w:rPr>
          <w:rFonts w:hint="eastAsia" w:cs="宋体"/>
        </w:rPr>
        <w:t>进一步加强道路两侧的绿化，加大种植面积和数量，利用植物的吸尘净化作用把废气对空气的影响降低到最低。逐步调整风景名胜区内燃料结构，尽可能使用清洁能源，减少对大气的污染。风景区内的油烟等废气需经净化装置处理达标后排放，取缔燃煤设施。</w:t>
      </w:r>
    </w:p>
    <w:p>
      <w:pPr>
        <w:numPr>
          <w:ilvl w:val="0"/>
          <w:numId w:val="3"/>
        </w:numPr>
        <w:spacing w:before="97" w:beforeLines="30"/>
        <w:ind w:firstLine="482"/>
        <w:rPr>
          <w:rFonts w:cs="宋体"/>
          <w:b/>
          <w:bCs/>
        </w:rPr>
      </w:pPr>
      <w:r>
        <w:rPr>
          <w:rFonts w:hint="eastAsia" w:cs="宋体"/>
          <w:b/>
          <w:bCs/>
        </w:rPr>
        <w:t>水资源保护</w:t>
      </w:r>
    </w:p>
    <w:p>
      <w:pPr>
        <w:spacing w:before="97" w:beforeLines="30"/>
        <w:ind w:firstLine="480"/>
        <w:rPr>
          <w:rFonts w:cs="宋体"/>
        </w:rPr>
      </w:pPr>
      <w:r>
        <w:rPr>
          <w:rFonts w:hint="eastAsia" w:cs="宋体"/>
        </w:rPr>
        <w:t>落实《中华人民共和国水法》、《中华人民共和国防洪法》、《中华人民共和国水土保持法》、《中华人民共和国河道管理条例》、《浙江省饮用水水源保护条例》、《浙江省水土保持条例》、《浙江省河道管理条例》、《浙江省水利工程安全管理条例》、《浙江省建设项目占用水域管理办法》等相关规定，依据“节水优先”原则，落实最严格水资源管理制度，强化水资源和水生态环境保护，促进水生态文明建设。做好与《浙江省水功能区水环境功能区划分方案》的实施协调，严格水域岸线管理，做好山洪地质灾害防御。</w:t>
      </w:r>
    </w:p>
    <w:p>
      <w:pPr>
        <w:spacing w:before="97" w:beforeLines="30"/>
        <w:ind w:firstLine="480"/>
        <w:rPr>
          <w:rFonts w:cs="宋体"/>
        </w:rPr>
      </w:pPr>
      <w:r>
        <w:rPr>
          <w:rFonts w:hint="eastAsia" w:cs="宋体"/>
        </w:rPr>
        <w:t>加快</w:t>
      </w:r>
      <w:r>
        <w:rPr>
          <w:rFonts w:cs="宋体"/>
        </w:rPr>
        <w:t>污水处理设施建设</w:t>
      </w:r>
      <w:r>
        <w:rPr>
          <w:rFonts w:hint="eastAsia" w:cs="宋体"/>
        </w:rPr>
        <w:t>，将风景区内的主要污水尽量纳入污水处理厂统一处理。地处分散、无法纳入集中统一处理的区域污水，规划采用小型污水处理设施处理。</w:t>
      </w:r>
    </w:p>
    <w:p>
      <w:pPr>
        <w:spacing w:before="97" w:beforeLines="30"/>
        <w:ind w:firstLine="480"/>
        <w:rPr>
          <w:rFonts w:cs="宋体"/>
        </w:rPr>
      </w:pPr>
      <w:r>
        <w:rPr>
          <w:rFonts w:hint="eastAsia" w:cs="宋体"/>
        </w:rPr>
        <w:t>风景名胜区内的有关涉水旅游活动应严格论证，严控游客容量，确保水生态安全、水工程安全、旅游活动安全，并合理制定灾害预防应急预案。</w:t>
      </w:r>
    </w:p>
    <w:p>
      <w:pPr>
        <w:spacing w:before="97" w:beforeLines="30"/>
        <w:ind w:firstLine="482"/>
        <w:rPr>
          <w:rFonts w:cs="宋体"/>
          <w:b/>
          <w:bCs/>
          <w:lang w:val="zh-CN"/>
        </w:rPr>
      </w:pPr>
      <w:r>
        <w:rPr>
          <w:rFonts w:hint="eastAsia" w:cs="宋体"/>
          <w:b/>
          <w:bCs/>
        </w:rPr>
        <w:t>3、</w:t>
      </w:r>
      <w:r>
        <w:rPr>
          <w:rFonts w:hint="eastAsia" w:cs="宋体"/>
          <w:b/>
          <w:bCs/>
          <w:lang w:val="zh-CN"/>
        </w:rPr>
        <w:t>土壤环境保护</w:t>
      </w:r>
    </w:p>
    <w:p>
      <w:pPr>
        <w:spacing w:before="97" w:beforeLines="30"/>
        <w:ind w:firstLine="480"/>
        <w:rPr>
          <w:rFonts w:cs="宋体"/>
        </w:rPr>
      </w:pPr>
      <w:r>
        <w:rPr>
          <w:rFonts w:hint="eastAsia" w:cs="宋体"/>
        </w:rPr>
        <w:t>贯彻落实《中华人民共和国环境保护法》，防止土壤污染、保护生态环境、保障农林生产，加强土壤污染治理和利用的环境监管。</w:t>
      </w:r>
    </w:p>
    <w:p>
      <w:pPr>
        <w:spacing w:before="97" w:beforeLines="30"/>
        <w:ind w:firstLine="480"/>
        <w:rPr>
          <w:rFonts w:cs="宋体"/>
        </w:rPr>
      </w:pPr>
      <w:r>
        <w:rPr>
          <w:rFonts w:hint="eastAsia" w:cs="宋体"/>
        </w:rPr>
        <w:t>防止水土流失：合理选择施工工期及工序，对施工扰动土地做好表土剥离和堆土临时覆盖，并采用自然种植植物与建筑压脚、挡土墙与锚杆抗滑等方式减少水土流失。对裸露地面实行全部绿化，栽树植草，通过栽种植物对破坏区域进行合理修复，利用植物和微生物固化土壤，防止水土流失。</w:t>
      </w:r>
    </w:p>
    <w:p>
      <w:pPr>
        <w:spacing w:before="97" w:beforeLines="30"/>
        <w:ind w:firstLine="480"/>
        <w:rPr>
          <w:rFonts w:cs="宋体"/>
        </w:rPr>
      </w:pPr>
      <w:r>
        <w:rPr>
          <w:rFonts w:hint="eastAsia" w:cs="宋体"/>
        </w:rPr>
        <w:t>加强土壤污染的治理与预防。规范施工行为，减少施工过程中不必要的土壤污染；对于建成后投入使用的餐厅、旅馆实行清洁生产；建立健全垃圾处理机制，垃圾分类处理回收利用。</w:t>
      </w:r>
    </w:p>
    <w:p>
      <w:pPr>
        <w:spacing w:before="97" w:beforeLines="30"/>
        <w:ind w:firstLine="482"/>
        <w:rPr>
          <w:rFonts w:cs="宋体"/>
          <w:b/>
          <w:bCs/>
          <w:lang w:val="zh-CN"/>
        </w:rPr>
      </w:pPr>
      <w:r>
        <w:rPr>
          <w:rFonts w:hint="eastAsia" w:cs="宋体"/>
          <w:b/>
          <w:bCs/>
        </w:rPr>
        <w:t>4、</w:t>
      </w:r>
      <w:r>
        <w:rPr>
          <w:rFonts w:hint="eastAsia" w:cs="宋体"/>
          <w:b/>
          <w:bCs/>
          <w:lang w:val="zh-CN"/>
        </w:rPr>
        <w:t>声环境保护</w:t>
      </w:r>
    </w:p>
    <w:p>
      <w:pPr>
        <w:spacing w:before="97" w:beforeLines="30"/>
        <w:ind w:firstLine="480"/>
        <w:rPr>
          <w:rFonts w:cs="宋体"/>
        </w:rPr>
      </w:pPr>
      <w:r>
        <w:rPr>
          <w:rFonts w:hint="eastAsia" w:cs="宋体"/>
        </w:rPr>
        <w:t>落实《中华人民共和国环境噪声污染防治法》等相关规定，保障周边居民生活和游客体验。建设项目在开工建设之前应与原住居民充分协商，合理安排施工作业时间、选用先进的低噪声设备，文明施工。</w:t>
      </w:r>
    </w:p>
    <w:p>
      <w:pPr>
        <w:spacing w:before="97" w:beforeLines="30"/>
        <w:ind w:firstLine="480"/>
        <w:rPr>
          <w:rFonts w:cs="宋体"/>
        </w:rPr>
      </w:pPr>
      <w:r>
        <w:rPr>
          <w:rFonts w:hint="eastAsia" w:cs="宋体"/>
        </w:rPr>
        <w:t>通过严格管理与宣传提高施工单位及游人居民的环保意识，大力倡导文明施工、文明游览。</w:t>
      </w:r>
    </w:p>
    <w:p>
      <w:pPr>
        <w:spacing w:before="97" w:beforeLines="30"/>
        <w:ind w:firstLine="480"/>
        <w:rPr>
          <w:rFonts w:cs="宋体"/>
        </w:rPr>
      </w:pPr>
      <w:r>
        <w:rPr>
          <w:rFonts w:hint="eastAsia" w:cs="宋体"/>
        </w:rPr>
        <w:t>在各个景点周围种植必要的绿化隔音带，将交通噪声影响降低到最低程度。</w:t>
      </w:r>
    </w:p>
    <w:bookmarkEnd w:id="30"/>
    <w:p>
      <w:pPr>
        <w:spacing w:before="97"/>
        <w:ind w:firstLine="480"/>
      </w:pPr>
      <w:r>
        <w:rPr>
          <w:rFonts w:hint="eastAsia"/>
        </w:rPr>
        <w:br w:type="page"/>
      </w:r>
    </w:p>
    <w:p>
      <w:pPr>
        <w:pStyle w:val="2"/>
        <w:spacing w:before="97"/>
      </w:pPr>
      <w:bookmarkStart w:id="33" w:name="_Toc176456005"/>
      <w:r>
        <w:rPr>
          <w:rFonts w:hint="eastAsia"/>
        </w:rPr>
        <w:t>第三章 关于游赏规划的说明</w:t>
      </w:r>
      <w:bookmarkEnd w:id="33"/>
    </w:p>
    <w:p>
      <w:pPr>
        <w:pStyle w:val="3"/>
        <w:spacing w:before="326"/>
      </w:pPr>
      <w:bookmarkStart w:id="34" w:name="_Toc176456006"/>
      <w:bookmarkStart w:id="35" w:name="_Toc426579253"/>
      <w:r>
        <w:rPr>
          <w:rFonts w:hint="eastAsia"/>
        </w:rPr>
        <w:t>一、游客容量</w:t>
      </w:r>
      <w:bookmarkEnd w:id="34"/>
      <w:bookmarkEnd w:id="35"/>
    </w:p>
    <w:p>
      <w:pPr>
        <w:spacing w:before="97" w:beforeLines="30"/>
        <w:ind w:firstLine="480"/>
        <w:rPr>
          <w:rFonts w:cs="宋体"/>
        </w:rPr>
      </w:pPr>
      <w:bookmarkStart w:id="36" w:name="_Toc426579254"/>
      <w:r>
        <w:rPr>
          <w:rFonts w:hint="eastAsia" w:cs="宋体"/>
        </w:rPr>
        <w:t>风景区的游客容量是进行风景资源保护，控制游人规模以及服务设施配置的重要依据。科学的游客容量测算是风景区规划建设和运营管理的重要基础。</w:t>
      </w:r>
    </w:p>
    <w:p>
      <w:pPr>
        <w:spacing w:before="97" w:beforeLines="30"/>
        <w:ind w:firstLine="480"/>
        <w:rPr>
          <w:rFonts w:cs="宋体"/>
        </w:rPr>
      </w:pPr>
      <w:r>
        <w:rPr>
          <w:rFonts w:hint="eastAsia" w:cs="宋体"/>
        </w:rPr>
        <w:t>本风景区的环境容量估算采用面积法进行测算。</w:t>
      </w:r>
    </w:p>
    <w:p>
      <w:pPr>
        <w:keepNext/>
        <w:keepLines/>
        <w:spacing w:before="163" w:beforeLines="50"/>
        <w:ind w:firstLine="360" w:firstLineChars="150"/>
        <w:outlineLvl w:val="2"/>
        <w:rPr>
          <w:rFonts w:eastAsia="黑体"/>
          <w:bCs/>
          <w:kern w:val="0"/>
        </w:rPr>
      </w:pPr>
      <w:r>
        <w:rPr>
          <w:rFonts w:hint="eastAsia" w:eastAsia="黑体"/>
          <w:bCs/>
          <w:kern w:val="0"/>
        </w:rPr>
        <w:t>（一）百丈漈片区</w:t>
      </w:r>
    </w:p>
    <w:p>
      <w:pPr>
        <w:spacing w:before="97" w:beforeLines="30"/>
        <w:ind w:firstLine="480"/>
        <w:rPr>
          <w:rFonts w:cs="宋体"/>
        </w:rPr>
      </w:pPr>
      <w:r>
        <w:rPr>
          <w:rFonts w:hint="eastAsia" w:cs="宋体"/>
        </w:rPr>
        <w:t>百丈漈景区面积</w:t>
      </w:r>
      <w:r>
        <w:rPr>
          <w:rFonts w:cs="宋体"/>
        </w:rPr>
        <w:t>11.6</w:t>
      </w:r>
      <w:r>
        <w:rPr>
          <w:rFonts w:hint="eastAsia" w:cs="宋体"/>
        </w:rPr>
        <w:t>平方公里，其中可游览面积中天顶湖水域</w:t>
      </w:r>
      <w:r>
        <w:rPr>
          <w:rFonts w:cs="宋体"/>
        </w:rPr>
        <w:t>3.3</w:t>
      </w:r>
      <w:r>
        <w:rPr>
          <w:rFonts w:hint="eastAsia" w:cs="宋体"/>
        </w:rPr>
        <w:t>平方公里，水域取游人不均匀分布系数</w:t>
      </w:r>
      <w:r>
        <w:rPr>
          <w:rFonts w:cs="宋体"/>
        </w:rPr>
        <w:t>0.01</w:t>
      </w:r>
      <w:r>
        <w:rPr>
          <w:rFonts w:hint="eastAsia" w:cs="宋体"/>
        </w:rPr>
        <w:t>，其余可游面积取</w:t>
      </w:r>
      <w:r>
        <w:rPr>
          <w:rFonts w:cs="宋体"/>
        </w:rPr>
        <w:t>10%</w:t>
      </w:r>
      <w:r>
        <w:rPr>
          <w:rFonts w:hint="eastAsia" w:cs="宋体"/>
        </w:rPr>
        <w:t>，人均游览面积按</w:t>
      </w:r>
      <w:r>
        <w:rPr>
          <w:rFonts w:cs="宋体"/>
        </w:rPr>
        <w:t>100</w:t>
      </w:r>
      <w:r>
        <w:rPr>
          <w:rFonts w:hint="eastAsia" w:cs="宋体"/>
        </w:rPr>
        <w:t>平方米</w:t>
      </w:r>
      <w:r>
        <w:rPr>
          <w:rFonts w:cs="宋体"/>
        </w:rPr>
        <w:t>/</w:t>
      </w:r>
      <w:r>
        <w:rPr>
          <w:rFonts w:hint="eastAsia" w:cs="宋体"/>
        </w:rPr>
        <w:t>人计算，瞬时游客容量为</w:t>
      </w:r>
      <w:r>
        <w:rPr>
          <w:rFonts w:cs="宋体"/>
        </w:rPr>
        <w:t>8373</w:t>
      </w:r>
      <w:r>
        <w:rPr>
          <w:rFonts w:hint="eastAsia" w:cs="宋体"/>
        </w:rPr>
        <w:t>人，周转率取</w:t>
      </w:r>
      <w:r>
        <w:rPr>
          <w:rFonts w:cs="宋体"/>
        </w:rPr>
        <w:t>2</w:t>
      </w:r>
      <w:r>
        <w:rPr>
          <w:rFonts w:hint="eastAsia" w:cs="宋体"/>
        </w:rPr>
        <w:t>，则该景区日游客容量为</w:t>
      </w:r>
      <w:r>
        <w:rPr>
          <w:rFonts w:cs="宋体"/>
        </w:rPr>
        <w:t>16746</w:t>
      </w:r>
      <w:r>
        <w:rPr>
          <w:rFonts w:hint="eastAsia" w:cs="宋体"/>
        </w:rPr>
        <w:t>人。</w:t>
      </w:r>
    </w:p>
    <w:p>
      <w:pPr>
        <w:spacing w:before="97" w:beforeLines="30"/>
        <w:ind w:firstLine="480"/>
        <w:rPr>
          <w:rFonts w:cs="宋体"/>
        </w:rPr>
      </w:pPr>
      <w:r>
        <w:rPr>
          <w:rFonts w:hint="eastAsia" w:cs="宋体"/>
        </w:rPr>
        <w:t>朱阳九峰景区景区面积</w:t>
      </w:r>
      <w:r>
        <w:rPr>
          <w:rFonts w:cs="宋体"/>
        </w:rPr>
        <w:t>13.6</w:t>
      </w:r>
      <w:r>
        <w:rPr>
          <w:rFonts w:hint="eastAsia" w:cs="宋体"/>
        </w:rPr>
        <w:t>平方公里，其中可游面积取</w:t>
      </w:r>
      <w:r>
        <w:rPr>
          <w:rFonts w:cs="宋体"/>
        </w:rPr>
        <w:t>2%</w:t>
      </w:r>
      <w:r>
        <w:rPr>
          <w:rFonts w:hint="eastAsia" w:cs="宋体"/>
        </w:rPr>
        <w:t>，人均游览面积按</w:t>
      </w:r>
      <w:r>
        <w:rPr>
          <w:rFonts w:cs="宋体"/>
        </w:rPr>
        <w:t>100</w:t>
      </w:r>
      <w:r>
        <w:rPr>
          <w:rFonts w:hint="eastAsia" w:cs="宋体"/>
        </w:rPr>
        <w:t>平方米</w:t>
      </w:r>
      <w:r>
        <w:rPr>
          <w:rFonts w:cs="宋体"/>
        </w:rPr>
        <w:t>/</w:t>
      </w:r>
      <w:r>
        <w:rPr>
          <w:rFonts w:hint="eastAsia" w:cs="宋体"/>
        </w:rPr>
        <w:t>人计算，瞬时容量为</w:t>
      </w:r>
      <w:r>
        <w:rPr>
          <w:rFonts w:cs="宋体"/>
        </w:rPr>
        <w:t>2716</w:t>
      </w:r>
      <w:r>
        <w:rPr>
          <w:rFonts w:hint="eastAsia" w:cs="宋体"/>
        </w:rPr>
        <w:t>人，周转率取</w:t>
      </w:r>
      <w:r>
        <w:rPr>
          <w:rFonts w:cs="宋体"/>
        </w:rPr>
        <w:t>2</w:t>
      </w:r>
      <w:r>
        <w:rPr>
          <w:rFonts w:hint="eastAsia" w:cs="宋体"/>
        </w:rPr>
        <w:t>，则该景区日游客容量为</w:t>
      </w:r>
      <w:r>
        <w:rPr>
          <w:rFonts w:cs="宋体"/>
        </w:rPr>
        <w:t>5432</w:t>
      </w:r>
      <w:r>
        <w:rPr>
          <w:rFonts w:hint="eastAsia" w:cs="宋体"/>
        </w:rPr>
        <w:t>人。</w:t>
      </w:r>
    </w:p>
    <w:p>
      <w:pPr>
        <w:spacing w:before="97" w:beforeLines="30"/>
        <w:ind w:firstLine="480"/>
        <w:rPr>
          <w:rFonts w:cs="宋体"/>
        </w:rPr>
      </w:pPr>
      <w:r>
        <w:rPr>
          <w:rFonts w:hint="eastAsia" w:cs="宋体"/>
        </w:rPr>
        <w:t>伯温故里景区面积</w:t>
      </w:r>
      <w:r>
        <w:rPr>
          <w:rFonts w:cs="宋体"/>
        </w:rPr>
        <w:t>3.5</w:t>
      </w:r>
      <w:r>
        <w:rPr>
          <w:rFonts w:hint="eastAsia" w:cs="宋体"/>
        </w:rPr>
        <w:t>平方公里，其中可游面积取</w:t>
      </w:r>
      <w:r>
        <w:rPr>
          <w:rFonts w:cs="宋体"/>
        </w:rPr>
        <w:t>10%</w:t>
      </w:r>
      <w:r>
        <w:rPr>
          <w:rFonts w:hint="eastAsia" w:cs="宋体"/>
        </w:rPr>
        <w:t>，人均游览面积按</w:t>
      </w:r>
      <w:r>
        <w:rPr>
          <w:rFonts w:cs="宋体"/>
        </w:rPr>
        <w:t>100</w:t>
      </w:r>
      <w:r>
        <w:rPr>
          <w:rFonts w:hint="eastAsia" w:cs="宋体"/>
        </w:rPr>
        <w:t>平方米</w:t>
      </w:r>
      <w:r>
        <w:rPr>
          <w:rFonts w:cs="宋体"/>
        </w:rPr>
        <w:t>/</w:t>
      </w:r>
      <w:r>
        <w:rPr>
          <w:rFonts w:hint="eastAsia" w:cs="宋体"/>
        </w:rPr>
        <w:t>人计算，瞬时游客容量为</w:t>
      </w:r>
      <w:r>
        <w:rPr>
          <w:rFonts w:cs="宋体"/>
        </w:rPr>
        <w:t>3500</w:t>
      </w:r>
      <w:r>
        <w:rPr>
          <w:rFonts w:hint="eastAsia" w:cs="宋体"/>
        </w:rPr>
        <w:t>人，周转率取</w:t>
      </w:r>
      <w:r>
        <w:rPr>
          <w:rFonts w:cs="宋体"/>
        </w:rPr>
        <w:t>2</w:t>
      </w:r>
      <w:r>
        <w:rPr>
          <w:rFonts w:hint="eastAsia" w:cs="宋体"/>
        </w:rPr>
        <w:t>，则该景区日游客容量为</w:t>
      </w:r>
      <w:r>
        <w:rPr>
          <w:rFonts w:cs="宋体"/>
        </w:rPr>
        <w:t>7000</w:t>
      </w:r>
      <w:r>
        <w:rPr>
          <w:rFonts w:hint="eastAsia" w:cs="宋体"/>
        </w:rPr>
        <w:t>人。</w:t>
      </w:r>
    </w:p>
    <w:p>
      <w:pPr>
        <w:keepNext/>
        <w:keepLines/>
        <w:spacing w:before="163" w:beforeLines="50"/>
        <w:ind w:firstLine="360" w:firstLineChars="150"/>
        <w:outlineLvl w:val="2"/>
        <w:rPr>
          <w:rFonts w:eastAsia="黑体"/>
          <w:bCs/>
          <w:kern w:val="0"/>
        </w:rPr>
      </w:pPr>
      <w:r>
        <w:rPr>
          <w:rFonts w:hint="eastAsia" w:eastAsia="黑体"/>
          <w:bCs/>
          <w:kern w:val="0"/>
        </w:rPr>
        <w:t>（二）铜铃山片区</w:t>
      </w:r>
    </w:p>
    <w:p>
      <w:pPr>
        <w:spacing w:before="97" w:beforeLines="30"/>
        <w:ind w:firstLine="480"/>
        <w:rPr>
          <w:rFonts w:cs="宋体"/>
        </w:rPr>
      </w:pPr>
      <w:r>
        <w:rPr>
          <w:rFonts w:hint="eastAsia" w:cs="宋体"/>
        </w:rPr>
        <w:t>石垟景区面积</w:t>
      </w:r>
      <w:r>
        <w:rPr>
          <w:rFonts w:cs="宋体"/>
        </w:rPr>
        <w:t>72.2</w:t>
      </w:r>
      <w:r>
        <w:rPr>
          <w:rFonts w:hint="eastAsia" w:cs="宋体"/>
        </w:rPr>
        <w:t>平方公里，可游览面积约占</w:t>
      </w:r>
      <w:r>
        <w:rPr>
          <w:rFonts w:cs="宋体"/>
        </w:rPr>
        <w:t>2%</w:t>
      </w:r>
      <w:r>
        <w:rPr>
          <w:rFonts w:hint="eastAsia" w:cs="宋体"/>
        </w:rPr>
        <w:t>，人均游览面积按</w:t>
      </w:r>
      <w:r>
        <w:rPr>
          <w:rFonts w:cs="宋体"/>
        </w:rPr>
        <w:t>100</w:t>
      </w:r>
      <w:r>
        <w:rPr>
          <w:rFonts w:hint="eastAsia" w:cs="宋体"/>
        </w:rPr>
        <w:t>平方米</w:t>
      </w:r>
      <w:r>
        <w:rPr>
          <w:rFonts w:cs="宋体"/>
        </w:rPr>
        <w:t>/</w:t>
      </w:r>
      <w:r>
        <w:rPr>
          <w:rFonts w:hint="eastAsia" w:cs="宋体"/>
        </w:rPr>
        <w:t>人计算，瞬时游客容量为</w:t>
      </w:r>
      <w:r>
        <w:rPr>
          <w:rFonts w:cs="宋体"/>
        </w:rPr>
        <w:t>14438</w:t>
      </w:r>
      <w:r>
        <w:rPr>
          <w:rFonts w:hint="eastAsia" w:cs="宋体"/>
        </w:rPr>
        <w:t>人，周转率取</w:t>
      </w:r>
      <w:r>
        <w:rPr>
          <w:rFonts w:cs="宋体"/>
        </w:rPr>
        <w:t>1</w:t>
      </w:r>
      <w:r>
        <w:rPr>
          <w:rFonts w:hint="eastAsia" w:cs="宋体"/>
        </w:rPr>
        <w:t>，则该景区日游客容量为</w:t>
      </w:r>
      <w:r>
        <w:rPr>
          <w:rFonts w:cs="宋体"/>
        </w:rPr>
        <w:t>14438</w:t>
      </w:r>
      <w:r>
        <w:rPr>
          <w:rFonts w:hint="eastAsia" w:cs="宋体"/>
        </w:rPr>
        <w:t>人。</w:t>
      </w:r>
    </w:p>
    <w:p>
      <w:pPr>
        <w:spacing w:before="97" w:beforeLines="30"/>
        <w:ind w:firstLine="480"/>
        <w:rPr>
          <w:rFonts w:cs="宋体"/>
        </w:rPr>
      </w:pPr>
      <w:r>
        <w:rPr>
          <w:rFonts w:hint="eastAsia" w:cs="宋体"/>
        </w:rPr>
        <w:t>龙麒源景区面积</w:t>
      </w:r>
      <w:r>
        <w:rPr>
          <w:rFonts w:cs="宋体"/>
        </w:rPr>
        <w:t>8.5</w:t>
      </w:r>
      <w:r>
        <w:rPr>
          <w:rFonts w:hint="eastAsia" w:cs="宋体"/>
        </w:rPr>
        <w:t>平方公里，可游览面积约占</w:t>
      </w:r>
      <w:r>
        <w:rPr>
          <w:rFonts w:cs="宋体"/>
        </w:rPr>
        <w:t>5%</w:t>
      </w:r>
      <w:r>
        <w:rPr>
          <w:rFonts w:hint="eastAsia" w:cs="宋体"/>
        </w:rPr>
        <w:t>，人均游览面积按</w:t>
      </w:r>
      <w:r>
        <w:rPr>
          <w:rFonts w:cs="宋体"/>
        </w:rPr>
        <w:t>100</w:t>
      </w:r>
      <w:r>
        <w:rPr>
          <w:rFonts w:hint="eastAsia" w:cs="宋体"/>
        </w:rPr>
        <w:t>平方米</w:t>
      </w:r>
      <w:r>
        <w:rPr>
          <w:rFonts w:cs="宋体"/>
        </w:rPr>
        <w:t>/</w:t>
      </w:r>
      <w:r>
        <w:rPr>
          <w:rFonts w:hint="eastAsia" w:cs="宋体"/>
        </w:rPr>
        <w:t>人计算，瞬时游客容量为</w:t>
      </w:r>
      <w:r>
        <w:rPr>
          <w:rFonts w:cs="宋体"/>
        </w:rPr>
        <w:t>4230</w:t>
      </w:r>
      <w:r>
        <w:rPr>
          <w:rFonts w:hint="eastAsia" w:cs="宋体"/>
        </w:rPr>
        <w:t>人，周转率取</w:t>
      </w:r>
      <w:r>
        <w:rPr>
          <w:rFonts w:cs="宋体"/>
        </w:rPr>
        <w:t>2</w:t>
      </w:r>
      <w:r>
        <w:rPr>
          <w:rFonts w:hint="eastAsia" w:cs="宋体"/>
        </w:rPr>
        <w:t>，则该景区日游客容量为</w:t>
      </w:r>
      <w:r>
        <w:rPr>
          <w:rFonts w:cs="宋体"/>
        </w:rPr>
        <w:t>8460</w:t>
      </w:r>
      <w:r>
        <w:rPr>
          <w:rFonts w:hint="eastAsia" w:cs="宋体"/>
        </w:rPr>
        <w:t>人。</w:t>
      </w:r>
    </w:p>
    <w:p>
      <w:pPr>
        <w:spacing w:before="97" w:beforeLines="30"/>
        <w:ind w:firstLine="480"/>
        <w:rPr>
          <w:rFonts w:cs="宋体"/>
        </w:rPr>
      </w:pPr>
    </w:p>
    <w:p>
      <w:pPr>
        <w:keepNext/>
        <w:keepLines/>
        <w:spacing w:before="163" w:beforeLines="50"/>
        <w:ind w:firstLine="360" w:firstLineChars="150"/>
        <w:outlineLvl w:val="2"/>
        <w:rPr>
          <w:rFonts w:eastAsia="黑体"/>
          <w:bCs/>
          <w:kern w:val="0"/>
        </w:rPr>
      </w:pPr>
      <w:r>
        <w:rPr>
          <w:rFonts w:hint="eastAsia" w:eastAsia="黑体"/>
          <w:bCs/>
          <w:kern w:val="0"/>
        </w:rPr>
        <w:t>（三）飞云湖片区</w:t>
      </w:r>
    </w:p>
    <w:p>
      <w:pPr>
        <w:spacing w:before="97" w:beforeLines="30"/>
        <w:ind w:firstLine="480"/>
        <w:rPr>
          <w:rFonts w:cs="宋体"/>
        </w:rPr>
      </w:pPr>
      <w:r>
        <w:rPr>
          <w:rFonts w:hint="eastAsia" w:cs="宋体"/>
        </w:rPr>
        <w:t>岩门大峡谷景区面积</w:t>
      </w:r>
      <w:r>
        <w:rPr>
          <w:rFonts w:cs="宋体"/>
        </w:rPr>
        <w:t>18.6</w:t>
      </w:r>
      <w:r>
        <w:rPr>
          <w:rFonts w:hint="eastAsia" w:cs="宋体"/>
        </w:rPr>
        <w:t>平方公里，可游览面积约占</w:t>
      </w:r>
      <w:r>
        <w:rPr>
          <w:rFonts w:cs="宋体"/>
        </w:rPr>
        <w:t>2%</w:t>
      </w:r>
      <w:r>
        <w:rPr>
          <w:rFonts w:hint="eastAsia" w:cs="宋体"/>
        </w:rPr>
        <w:t>，人均游览面积按</w:t>
      </w:r>
      <w:r>
        <w:rPr>
          <w:rFonts w:cs="宋体"/>
        </w:rPr>
        <w:t>100</w:t>
      </w:r>
      <w:r>
        <w:rPr>
          <w:rFonts w:hint="eastAsia" w:cs="宋体"/>
        </w:rPr>
        <w:t>平方米</w:t>
      </w:r>
      <w:r>
        <w:rPr>
          <w:rFonts w:cs="宋体"/>
        </w:rPr>
        <w:t>/</w:t>
      </w:r>
      <w:r>
        <w:rPr>
          <w:rFonts w:hint="eastAsia" w:cs="宋体"/>
        </w:rPr>
        <w:t>人计算，瞬时游客容量为</w:t>
      </w:r>
      <w:r>
        <w:rPr>
          <w:rFonts w:cs="宋体"/>
        </w:rPr>
        <w:t>3714</w:t>
      </w:r>
      <w:r>
        <w:rPr>
          <w:rFonts w:hint="eastAsia" w:cs="宋体"/>
        </w:rPr>
        <w:t>人，周转率取</w:t>
      </w:r>
      <w:r>
        <w:rPr>
          <w:rFonts w:cs="宋体"/>
        </w:rPr>
        <w:t>1</w:t>
      </w:r>
      <w:r>
        <w:rPr>
          <w:rFonts w:hint="eastAsia" w:cs="宋体"/>
        </w:rPr>
        <w:t>，则该景区日游客容量为</w:t>
      </w:r>
      <w:r>
        <w:rPr>
          <w:rFonts w:cs="宋体"/>
        </w:rPr>
        <w:t>3714</w:t>
      </w:r>
      <w:r>
        <w:rPr>
          <w:rFonts w:hint="eastAsia" w:cs="宋体"/>
        </w:rPr>
        <w:t>人。</w:t>
      </w:r>
    </w:p>
    <w:p>
      <w:pPr>
        <w:spacing w:before="97" w:beforeLines="30"/>
        <w:ind w:firstLine="480"/>
        <w:rPr>
          <w:rFonts w:cs="宋体"/>
        </w:rPr>
      </w:pPr>
      <w:r>
        <w:rPr>
          <w:rFonts w:hint="eastAsia" w:cs="宋体"/>
        </w:rPr>
        <w:t>飞云湖景区面积</w:t>
      </w:r>
      <w:r>
        <w:rPr>
          <w:rFonts w:cs="宋体"/>
        </w:rPr>
        <w:t>102.6</w:t>
      </w:r>
      <w:r>
        <w:rPr>
          <w:rFonts w:hint="eastAsia" w:cs="宋体"/>
        </w:rPr>
        <w:t>平方公里，其中可游览面积中水域为</w:t>
      </w:r>
      <w:r>
        <w:rPr>
          <w:rFonts w:cs="宋体"/>
        </w:rPr>
        <w:t>34.9</w:t>
      </w:r>
      <w:r>
        <w:rPr>
          <w:rFonts w:hint="eastAsia" w:cs="宋体"/>
        </w:rPr>
        <w:t>平方公里，水域取游人不均匀分布系数</w:t>
      </w:r>
      <w:r>
        <w:rPr>
          <w:rFonts w:cs="宋体"/>
        </w:rPr>
        <w:t>0.01</w:t>
      </w:r>
      <w:r>
        <w:rPr>
          <w:rFonts w:hint="eastAsia" w:cs="宋体"/>
        </w:rPr>
        <w:t>，其余可游览面积约占</w:t>
      </w:r>
      <w:r>
        <w:rPr>
          <w:rFonts w:cs="宋体"/>
        </w:rPr>
        <w:t>2%</w:t>
      </w:r>
      <w:r>
        <w:rPr>
          <w:rFonts w:hint="eastAsia" w:cs="宋体"/>
        </w:rPr>
        <w:t>，人均游览面积按</w:t>
      </w:r>
      <w:r>
        <w:rPr>
          <w:rFonts w:cs="宋体"/>
        </w:rPr>
        <w:t>100</w:t>
      </w:r>
      <w:r>
        <w:rPr>
          <w:rFonts w:hint="eastAsia" w:cs="宋体"/>
        </w:rPr>
        <w:t>平方米</w:t>
      </w:r>
      <w:r>
        <w:rPr>
          <w:rFonts w:cs="宋体"/>
        </w:rPr>
        <w:t>/</w:t>
      </w:r>
      <w:r>
        <w:rPr>
          <w:rFonts w:hint="eastAsia" w:cs="宋体"/>
        </w:rPr>
        <w:t>人计算，瞬时游客容量为</w:t>
      </w:r>
      <w:r>
        <w:rPr>
          <w:rFonts w:cs="宋体"/>
        </w:rPr>
        <w:t>13617</w:t>
      </w:r>
      <w:r>
        <w:rPr>
          <w:rFonts w:hint="eastAsia" w:cs="宋体"/>
        </w:rPr>
        <w:t>人，周转率取</w:t>
      </w:r>
      <w:r>
        <w:rPr>
          <w:rFonts w:cs="宋体"/>
        </w:rPr>
        <w:t>1</w:t>
      </w:r>
      <w:r>
        <w:rPr>
          <w:rFonts w:hint="eastAsia" w:cs="宋体"/>
        </w:rPr>
        <w:t>，则该景区日游客容量为</w:t>
      </w:r>
      <w:r>
        <w:rPr>
          <w:rFonts w:cs="宋体"/>
        </w:rPr>
        <w:t>13617</w:t>
      </w:r>
      <w:r>
        <w:rPr>
          <w:rFonts w:hint="eastAsia" w:cs="宋体"/>
        </w:rPr>
        <w:t>人。</w:t>
      </w:r>
    </w:p>
    <w:p>
      <w:pPr>
        <w:ind w:firstLine="480"/>
        <w:rPr>
          <w:rFonts w:cs="宋体"/>
        </w:rPr>
      </w:pPr>
      <w:r>
        <w:rPr>
          <w:rFonts w:hint="eastAsia" w:cs="宋体"/>
        </w:rPr>
        <w:t>牛栏湾景区面积</w:t>
      </w:r>
      <w:r>
        <w:rPr>
          <w:rFonts w:cs="宋体"/>
        </w:rPr>
        <w:t>10.1</w:t>
      </w:r>
      <w:r>
        <w:rPr>
          <w:rFonts w:hint="eastAsia" w:cs="宋体"/>
        </w:rPr>
        <w:t>平方公里，可游览面积约占</w:t>
      </w:r>
      <w:r>
        <w:rPr>
          <w:rFonts w:cs="宋体"/>
        </w:rPr>
        <w:t>2%</w:t>
      </w:r>
      <w:r>
        <w:rPr>
          <w:rFonts w:hint="eastAsia" w:cs="宋体"/>
        </w:rPr>
        <w:t>，人均游览面积按</w:t>
      </w:r>
      <w:r>
        <w:rPr>
          <w:rFonts w:cs="宋体"/>
        </w:rPr>
        <w:t>100</w:t>
      </w:r>
      <w:r>
        <w:rPr>
          <w:rFonts w:hint="eastAsia" w:cs="宋体"/>
        </w:rPr>
        <w:t>平方米</w:t>
      </w:r>
      <w:r>
        <w:rPr>
          <w:rFonts w:cs="宋体"/>
        </w:rPr>
        <w:t>/</w:t>
      </w:r>
      <w:r>
        <w:rPr>
          <w:rFonts w:hint="eastAsia" w:cs="宋体"/>
        </w:rPr>
        <w:t>人计算，瞬时游客容量为</w:t>
      </w:r>
      <w:r>
        <w:rPr>
          <w:rFonts w:cs="宋体"/>
        </w:rPr>
        <w:t>2024</w:t>
      </w:r>
      <w:r>
        <w:rPr>
          <w:rFonts w:hint="eastAsia" w:cs="宋体"/>
        </w:rPr>
        <w:t>人，周转率取</w:t>
      </w:r>
      <w:r>
        <w:rPr>
          <w:rFonts w:cs="宋体"/>
        </w:rPr>
        <w:t>1</w:t>
      </w:r>
      <w:r>
        <w:rPr>
          <w:rFonts w:hint="eastAsia" w:cs="宋体"/>
        </w:rPr>
        <w:t>，则该景区日游客容量为</w:t>
      </w:r>
      <w:r>
        <w:rPr>
          <w:rFonts w:cs="宋体"/>
        </w:rPr>
        <w:t>2024</w:t>
      </w:r>
      <w:r>
        <w:rPr>
          <w:rFonts w:hint="eastAsia" w:cs="宋体"/>
        </w:rPr>
        <w:t>人。</w:t>
      </w:r>
    </w:p>
    <w:p>
      <w:pPr>
        <w:ind w:firstLine="480"/>
        <w:rPr>
          <w:rFonts w:cs="宋体"/>
        </w:rPr>
      </w:pPr>
      <w:r>
        <w:rPr>
          <w:rFonts w:hint="eastAsia" w:cs="宋体"/>
        </w:rPr>
        <w:t>风景区除规划景区外其余区域面积</w:t>
      </w:r>
      <w:r>
        <w:rPr>
          <w:rFonts w:cs="宋体"/>
        </w:rPr>
        <w:t>291.1</w:t>
      </w:r>
      <w:r>
        <w:rPr>
          <w:rFonts w:hint="eastAsia" w:cs="宋体"/>
        </w:rPr>
        <w:t>平方公里，可游览面积取</w:t>
      </w:r>
      <w:r>
        <w:rPr>
          <w:rFonts w:cs="宋体"/>
        </w:rPr>
        <w:t>0.1%</w:t>
      </w:r>
      <w:r>
        <w:rPr>
          <w:rFonts w:hint="eastAsia" w:cs="宋体"/>
        </w:rPr>
        <w:t>，人均游览面积按</w:t>
      </w:r>
      <w:r>
        <w:rPr>
          <w:rFonts w:cs="宋体"/>
        </w:rPr>
        <w:t>100</w:t>
      </w:r>
      <w:r>
        <w:rPr>
          <w:rFonts w:hint="eastAsia" w:cs="宋体"/>
        </w:rPr>
        <w:t>平方米</w:t>
      </w:r>
      <w:r>
        <w:rPr>
          <w:rFonts w:cs="宋体"/>
        </w:rPr>
        <w:t>/</w:t>
      </w:r>
      <w:r>
        <w:rPr>
          <w:rFonts w:hint="eastAsia" w:cs="宋体"/>
        </w:rPr>
        <w:t>人计算，瞬时游客容量为</w:t>
      </w:r>
      <w:r>
        <w:rPr>
          <w:rFonts w:cs="宋体"/>
        </w:rPr>
        <w:t>2910</w:t>
      </w:r>
      <w:r>
        <w:rPr>
          <w:rFonts w:hint="eastAsia" w:cs="宋体"/>
        </w:rPr>
        <w:t>人，周转率取</w:t>
      </w:r>
      <w:r>
        <w:rPr>
          <w:rFonts w:cs="宋体"/>
        </w:rPr>
        <w:t>1</w:t>
      </w:r>
      <w:r>
        <w:rPr>
          <w:rFonts w:hint="eastAsia" w:cs="宋体"/>
        </w:rPr>
        <w:t>，则该区域日游客容量为</w:t>
      </w:r>
      <w:r>
        <w:rPr>
          <w:rFonts w:cs="宋体"/>
        </w:rPr>
        <w:t>2910</w:t>
      </w:r>
      <w:r>
        <w:rPr>
          <w:rFonts w:hint="eastAsia" w:cs="宋体"/>
        </w:rPr>
        <w:t>人。</w:t>
      </w:r>
    </w:p>
    <w:p>
      <w:pPr>
        <w:adjustRightInd w:val="0"/>
        <w:snapToGrid w:val="0"/>
        <w:spacing w:before="163" w:beforeLines="50" w:after="163" w:afterLines="50" w:line="600" w:lineRule="exact"/>
        <w:ind w:firstLine="0" w:firstLineChars="0"/>
        <w:jc w:val="center"/>
        <w:rPr>
          <w:rFonts w:ascii="宋体" w:hAnsi="宋体"/>
          <w:b/>
          <w:sz w:val="21"/>
          <w:szCs w:val="21"/>
        </w:rPr>
      </w:pPr>
      <w:r>
        <w:rPr>
          <w:rFonts w:hint="eastAsia" w:ascii="宋体" w:hAnsi="宋体"/>
          <w:b/>
          <w:sz w:val="21"/>
          <w:szCs w:val="21"/>
        </w:rPr>
        <w:t>表3</w:t>
      </w:r>
      <w:r>
        <w:rPr>
          <w:rFonts w:ascii="宋体" w:hAnsi="宋体"/>
          <w:b/>
          <w:sz w:val="21"/>
          <w:szCs w:val="21"/>
        </w:rPr>
        <w:t xml:space="preserve">-1 </w:t>
      </w:r>
      <w:r>
        <w:rPr>
          <w:rFonts w:hint="eastAsia" w:ascii="宋体" w:hAnsi="宋体"/>
          <w:b/>
          <w:sz w:val="21"/>
          <w:szCs w:val="21"/>
        </w:rPr>
        <w:t>景区游客环境容量一览表</w:t>
      </w:r>
    </w:p>
    <w:tbl>
      <w:tblPr>
        <w:tblStyle w:val="42"/>
        <w:tblW w:w="8701" w:type="dxa"/>
        <w:jc w:val="center"/>
        <w:tblInd w:w="0" w:type="dxa"/>
        <w:tblLayout w:type="fixed"/>
        <w:tblCellMar>
          <w:top w:w="0" w:type="dxa"/>
          <w:left w:w="0" w:type="dxa"/>
          <w:bottom w:w="0" w:type="dxa"/>
          <w:right w:w="0" w:type="dxa"/>
        </w:tblCellMar>
      </w:tblPr>
      <w:tblGrid>
        <w:gridCol w:w="595"/>
        <w:gridCol w:w="1146"/>
        <w:gridCol w:w="1174"/>
        <w:gridCol w:w="1066"/>
        <w:gridCol w:w="1094"/>
        <w:gridCol w:w="667"/>
        <w:gridCol w:w="1351"/>
        <w:gridCol w:w="1608"/>
      </w:tblGrid>
      <w:tr>
        <w:tblPrEx>
          <w:tblLayout w:type="fixed"/>
          <w:tblCellMar>
            <w:top w:w="0" w:type="dxa"/>
            <w:left w:w="0" w:type="dxa"/>
            <w:bottom w:w="0" w:type="dxa"/>
            <w:right w:w="0" w:type="dxa"/>
          </w:tblCellMar>
        </w:tblPrEx>
        <w:trPr>
          <w:trHeight w:val="324" w:hRule="atLeast"/>
          <w:jc w:val="center"/>
        </w:trPr>
        <w:tc>
          <w:tcPr>
            <w:tcW w:w="595" w:type="dxa"/>
            <w:tcBorders>
              <w:top w:val="single" w:color="000000" w:sz="6" w:space="0"/>
              <w:left w:val="single" w:color="000000" w:sz="6" w:space="0"/>
              <w:bottom w:val="single" w:color="000000" w:sz="6" w:space="0"/>
              <w:right w:val="single" w:color="000000" w:sz="6" w:space="0"/>
            </w:tcBorders>
            <w:shd w:val="clear" w:color="auto" w:fill="D7D7D7" w:themeFill="background1" w:themeFillShade="D8"/>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b/>
                <w:bCs/>
                <w:sz w:val="18"/>
                <w:szCs w:val="18"/>
              </w:rPr>
            </w:pPr>
            <w:r>
              <w:rPr>
                <w:rFonts w:hint="eastAsia" w:cs="宋体"/>
                <w:b/>
                <w:bCs/>
                <w:sz w:val="18"/>
                <w:szCs w:val="18"/>
              </w:rPr>
              <w:t>序号</w:t>
            </w:r>
          </w:p>
        </w:tc>
        <w:tc>
          <w:tcPr>
            <w:tcW w:w="1146" w:type="dxa"/>
            <w:tcBorders>
              <w:top w:val="single" w:color="000000" w:sz="6" w:space="0"/>
              <w:left w:val="single" w:color="000000" w:sz="6" w:space="0"/>
              <w:bottom w:val="single" w:color="000000" w:sz="6" w:space="0"/>
              <w:right w:val="single" w:color="000000" w:sz="6" w:space="0"/>
            </w:tcBorders>
            <w:shd w:val="clear" w:color="auto" w:fill="D7D7D7" w:themeFill="background1" w:themeFillShade="D8"/>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b/>
                <w:bCs/>
                <w:sz w:val="18"/>
                <w:szCs w:val="18"/>
              </w:rPr>
            </w:pPr>
            <w:r>
              <w:rPr>
                <w:rFonts w:hint="eastAsia" w:cs="宋体"/>
                <w:b/>
                <w:bCs/>
                <w:sz w:val="18"/>
                <w:szCs w:val="18"/>
              </w:rPr>
              <w:t>景区名称</w:t>
            </w:r>
          </w:p>
        </w:tc>
        <w:tc>
          <w:tcPr>
            <w:tcW w:w="1174" w:type="dxa"/>
            <w:tcBorders>
              <w:top w:val="single" w:color="000000" w:sz="6" w:space="0"/>
              <w:left w:val="single" w:color="000000" w:sz="6" w:space="0"/>
              <w:bottom w:val="single" w:color="000000" w:sz="6" w:space="0"/>
              <w:right w:val="single" w:color="000000" w:sz="6" w:space="0"/>
            </w:tcBorders>
            <w:shd w:val="clear" w:color="auto" w:fill="D7D7D7" w:themeFill="background1" w:themeFillShade="D8"/>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b/>
                <w:bCs/>
                <w:sz w:val="18"/>
                <w:szCs w:val="18"/>
              </w:rPr>
            </w:pPr>
            <w:r>
              <w:rPr>
                <w:rFonts w:hint="eastAsia" w:cs="宋体"/>
                <w:b/>
                <w:bCs/>
                <w:sz w:val="18"/>
                <w:szCs w:val="18"/>
              </w:rPr>
              <w:t>景区面积（</w:t>
            </w:r>
            <w:r>
              <w:rPr>
                <w:rFonts w:cs="宋体"/>
                <w:b/>
                <w:bCs/>
                <w:sz w:val="18"/>
                <w:szCs w:val="18"/>
              </w:rPr>
              <w:t>KM</w:t>
            </w:r>
            <w:r>
              <w:rPr>
                <w:rFonts w:cs="宋体"/>
                <w:b/>
                <w:bCs/>
                <w:sz w:val="18"/>
                <w:szCs w:val="18"/>
                <w:vertAlign w:val="superscript"/>
              </w:rPr>
              <w:t>2</w:t>
            </w:r>
            <w:r>
              <w:rPr>
                <w:rFonts w:hint="eastAsia" w:cs="宋体"/>
                <w:b/>
                <w:bCs/>
                <w:sz w:val="18"/>
                <w:szCs w:val="18"/>
              </w:rPr>
              <w:t>）</w:t>
            </w:r>
          </w:p>
        </w:tc>
        <w:tc>
          <w:tcPr>
            <w:tcW w:w="1066" w:type="dxa"/>
            <w:tcBorders>
              <w:top w:val="single" w:color="000000" w:sz="6" w:space="0"/>
              <w:left w:val="single" w:color="000000" w:sz="6" w:space="0"/>
              <w:bottom w:val="single" w:color="000000" w:sz="6" w:space="0"/>
              <w:right w:val="single" w:color="000000" w:sz="6" w:space="0"/>
            </w:tcBorders>
            <w:shd w:val="clear" w:color="auto" w:fill="D7D7D7" w:themeFill="background1" w:themeFillShade="D8"/>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b/>
                <w:bCs/>
                <w:sz w:val="18"/>
                <w:szCs w:val="18"/>
              </w:rPr>
            </w:pPr>
            <w:r>
              <w:rPr>
                <w:rFonts w:hint="eastAsia" w:cs="宋体"/>
                <w:b/>
                <w:bCs/>
                <w:sz w:val="18"/>
                <w:szCs w:val="18"/>
              </w:rPr>
              <w:t>可游面积</w:t>
            </w:r>
          </w:p>
          <w:p>
            <w:pPr>
              <w:pStyle w:val="38"/>
              <w:snapToGrid w:val="0"/>
              <w:spacing w:before="0" w:beforeAutospacing="0" w:after="0" w:afterAutospacing="0"/>
              <w:ind w:firstLine="0" w:firstLineChars="0"/>
              <w:jc w:val="center"/>
              <w:rPr>
                <w:rFonts w:cs="宋体"/>
                <w:b/>
                <w:bCs/>
                <w:sz w:val="18"/>
                <w:szCs w:val="18"/>
              </w:rPr>
            </w:pPr>
            <w:r>
              <w:rPr>
                <w:rFonts w:hint="eastAsia" w:cs="宋体"/>
                <w:b/>
                <w:bCs/>
                <w:sz w:val="18"/>
                <w:szCs w:val="18"/>
              </w:rPr>
              <w:t>（</w:t>
            </w:r>
            <w:r>
              <w:rPr>
                <w:rFonts w:cs="宋体"/>
                <w:b/>
                <w:bCs/>
                <w:sz w:val="18"/>
                <w:szCs w:val="18"/>
              </w:rPr>
              <w:t>KM</w:t>
            </w:r>
            <w:r>
              <w:rPr>
                <w:rFonts w:cs="宋体"/>
                <w:b/>
                <w:bCs/>
                <w:sz w:val="18"/>
                <w:szCs w:val="18"/>
                <w:vertAlign w:val="superscript"/>
              </w:rPr>
              <w:t>2</w:t>
            </w:r>
            <w:r>
              <w:rPr>
                <w:rFonts w:hint="eastAsia" w:cs="宋体"/>
                <w:b/>
                <w:bCs/>
                <w:sz w:val="18"/>
                <w:szCs w:val="18"/>
              </w:rPr>
              <w:t>）</w:t>
            </w:r>
          </w:p>
        </w:tc>
        <w:tc>
          <w:tcPr>
            <w:tcW w:w="1094" w:type="dxa"/>
            <w:tcBorders>
              <w:top w:val="single" w:color="000000" w:sz="6" w:space="0"/>
              <w:left w:val="single" w:color="000000" w:sz="6" w:space="0"/>
              <w:bottom w:val="single" w:color="000000" w:sz="6" w:space="0"/>
              <w:right w:val="single" w:color="000000" w:sz="6" w:space="0"/>
            </w:tcBorders>
            <w:shd w:val="clear" w:color="auto" w:fill="D7D7D7" w:themeFill="background1" w:themeFillShade="D8"/>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b/>
                <w:bCs/>
                <w:sz w:val="18"/>
                <w:szCs w:val="18"/>
              </w:rPr>
            </w:pPr>
            <w:r>
              <w:rPr>
                <w:rFonts w:hint="eastAsia" w:cs="宋体"/>
                <w:b/>
                <w:bCs/>
                <w:sz w:val="18"/>
                <w:szCs w:val="18"/>
              </w:rPr>
              <w:t>瞬时游客容量（人）</w:t>
            </w:r>
          </w:p>
        </w:tc>
        <w:tc>
          <w:tcPr>
            <w:tcW w:w="667" w:type="dxa"/>
            <w:tcBorders>
              <w:top w:val="single" w:color="000000" w:sz="6" w:space="0"/>
              <w:left w:val="single" w:color="000000" w:sz="6" w:space="0"/>
              <w:bottom w:val="single" w:color="000000" w:sz="6" w:space="0"/>
              <w:right w:val="single" w:color="000000" w:sz="6" w:space="0"/>
            </w:tcBorders>
            <w:shd w:val="clear" w:color="auto" w:fill="D7D7D7" w:themeFill="background1" w:themeFillShade="D8"/>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b/>
                <w:bCs/>
                <w:sz w:val="18"/>
                <w:szCs w:val="18"/>
              </w:rPr>
            </w:pPr>
            <w:r>
              <w:rPr>
                <w:rFonts w:hint="eastAsia" w:cs="宋体"/>
                <w:b/>
                <w:bCs/>
                <w:sz w:val="18"/>
                <w:szCs w:val="18"/>
              </w:rPr>
              <w:t>周转率</w:t>
            </w:r>
          </w:p>
        </w:tc>
        <w:tc>
          <w:tcPr>
            <w:tcW w:w="1351" w:type="dxa"/>
            <w:tcBorders>
              <w:top w:val="single" w:color="000000" w:sz="6" w:space="0"/>
              <w:left w:val="single" w:color="000000" w:sz="6" w:space="0"/>
              <w:bottom w:val="single" w:color="000000" w:sz="6" w:space="0"/>
              <w:right w:val="single" w:color="000000" w:sz="6" w:space="0"/>
            </w:tcBorders>
            <w:shd w:val="clear" w:color="auto" w:fill="D7D7D7" w:themeFill="background1" w:themeFillShade="D8"/>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b/>
                <w:bCs/>
                <w:sz w:val="18"/>
                <w:szCs w:val="18"/>
              </w:rPr>
            </w:pPr>
            <w:r>
              <w:rPr>
                <w:rFonts w:hint="eastAsia" w:cs="宋体"/>
                <w:b/>
                <w:bCs/>
                <w:sz w:val="18"/>
                <w:szCs w:val="18"/>
              </w:rPr>
              <w:t>日游客容量（人）</w:t>
            </w:r>
          </w:p>
        </w:tc>
        <w:tc>
          <w:tcPr>
            <w:tcW w:w="1608" w:type="dxa"/>
            <w:tcBorders>
              <w:top w:val="single" w:color="000000" w:sz="6" w:space="0"/>
              <w:left w:val="single" w:color="000000" w:sz="6" w:space="0"/>
              <w:bottom w:val="single" w:color="000000" w:sz="6" w:space="0"/>
              <w:right w:val="single" w:color="000000" w:sz="6" w:space="0"/>
            </w:tcBorders>
            <w:shd w:val="clear" w:color="auto" w:fill="D7D7D7" w:themeFill="background1" w:themeFillShade="D8"/>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b/>
                <w:bCs/>
                <w:sz w:val="18"/>
                <w:szCs w:val="18"/>
              </w:rPr>
            </w:pPr>
            <w:r>
              <w:rPr>
                <w:rFonts w:hint="eastAsia" w:cs="宋体"/>
                <w:b/>
                <w:bCs/>
                <w:sz w:val="18"/>
                <w:szCs w:val="18"/>
              </w:rPr>
              <w:t>日极限游客容量（人）</w:t>
            </w:r>
          </w:p>
        </w:tc>
      </w:tr>
      <w:tr>
        <w:tblPrEx>
          <w:tblLayout w:type="fixed"/>
          <w:tblCellMar>
            <w:top w:w="0" w:type="dxa"/>
            <w:left w:w="0" w:type="dxa"/>
            <w:bottom w:w="0" w:type="dxa"/>
            <w:right w:w="0" w:type="dxa"/>
          </w:tblCellMar>
        </w:tblPrEx>
        <w:trPr>
          <w:trHeight w:val="278" w:hRule="atLeast"/>
          <w:jc w:val="center"/>
        </w:trPr>
        <w:tc>
          <w:tcPr>
            <w:tcW w:w="595"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1</w:t>
            </w:r>
          </w:p>
        </w:tc>
        <w:tc>
          <w:tcPr>
            <w:tcW w:w="1146"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hint="eastAsia" w:cs="宋体"/>
                <w:sz w:val="18"/>
                <w:szCs w:val="18"/>
              </w:rPr>
              <w:t>百丈飞瀑</w:t>
            </w:r>
          </w:p>
        </w:tc>
        <w:tc>
          <w:tcPr>
            <w:tcW w:w="1174"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11.6</w:t>
            </w:r>
          </w:p>
        </w:tc>
        <w:tc>
          <w:tcPr>
            <w:tcW w:w="1066"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w:t>
            </w:r>
          </w:p>
        </w:tc>
        <w:tc>
          <w:tcPr>
            <w:tcW w:w="1094"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8373</w:t>
            </w:r>
          </w:p>
        </w:tc>
        <w:tc>
          <w:tcPr>
            <w:tcW w:w="667"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2</w:t>
            </w:r>
          </w:p>
        </w:tc>
        <w:tc>
          <w:tcPr>
            <w:tcW w:w="1351"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16746</w:t>
            </w:r>
          </w:p>
        </w:tc>
        <w:tc>
          <w:tcPr>
            <w:tcW w:w="1608"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33492</w:t>
            </w:r>
          </w:p>
        </w:tc>
      </w:tr>
      <w:tr>
        <w:tblPrEx>
          <w:tblLayout w:type="fixed"/>
          <w:tblCellMar>
            <w:top w:w="0" w:type="dxa"/>
            <w:left w:w="0" w:type="dxa"/>
            <w:bottom w:w="0" w:type="dxa"/>
            <w:right w:w="0" w:type="dxa"/>
          </w:tblCellMar>
        </w:tblPrEx>
        <w:trPr>
          <w:trHeight w:val="300" w:hRule="atLeast"/>
          <w:jc w:val="center"/>
        </w:trPr>
        <w:tc>
          <w:tcPr>
            <w:tcW w:w="595"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2</w:t>
            </w:r>
          </w:p>
        </w:tc>
        <w:tc>
          <w:tcPr>
            <w:tcW w:w="1146"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hint="eastAsia" w:cs="宋体"/>
                <w:sz w:val="18"/>
                <w:szCs w:val="18"/>
              </w:rPr>
              <w:t>朱阳九峰</w:t>
            </w:r>
          </w:p>
        </w:tc>
        <w:tc>
          <w:tcPr>
            <w:tcW w:w="1174"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13.6</w:t>
            </w:r>
          </w:p>
        </w:tc>
        <w:tc>
          <w:tcPr>
            <w:tcW w:w="1066"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hint="eastAsia" w:cs="宋体"/>
                <w:sz w:val="18"/>
                <w:szCs w:val="18"/>
              </w:rPr>
              <w:t>占比</w:t>
            </w:r>
            <w:r>
              <w:rPr>
                <w:rFonts w:cs="宋体"/>
                <w:sz w:val="18"/>
                <w:szCs w:val="18"/>
              </w:rPr>
              <w:t>2%</w:t>
            </w:r>
          </w:p>
        </w:tc>
        <w:tc>
          <w:tcPr>
            <w:tcW w:w="1094"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2716</w:t>
            </w:r>
          </w:p>
        </w:tc>
        <w:tc>
          <w:tcPr>
            <w:tcW w:w="667"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2</w:t>
            </w:r>
          </w:p>
        </w:tc>
        <w:tc>
          <w:tcPr>
            <w:tcW w:w="1351"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5432</w:t>
            </w:r>
          </w:p>
        </w:tc>
        <w:tc>
          <w:tcPr>
            <w:tcW w:w="1608"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10864</w:t>
            </w:r>
          </w:p>
        </w:tc>
      </w:tr>
      <w:tr>
        <w:tblPrEx>
          <w:tblLayout w:type="fixed"/>
          <w:tblCellMar>
            <w:top w:w="0" w:type="dxa"/>
            <w:left w:w="0" w:type="dxa"/>
            <w:bottom w:w="0" w:type="dxa"/>
            <w:right w:w="0" w:type="dxa"/>
          </w:tblCellMar>
        </w:tblPrEx>
        <w:trPr>
          <w:trHeight w:val="292" w:hRule="atLeast"/>
          <w:jc w:val="center"/>
        </w:trPr>
        <w:tc>
          <w:tcPr>
            <w:tcW w:w="595"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3</w:t>
            </w:r>
          </w:p>
        </w:tc>
        <w:tc>
          <w:tcPr>
            <w:tcW w:w="1146"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hint="eastAsia" w:cs="宋体"/>
                <w:sz w:val="18"/>
                <w:szCs w:val="18"/>
              </w:rPr>
              <w:t>伯温故里</w:t>
            </w:r>
          </w:p>
        </w:tc>
        <w:tc>
          <w:tcPr>
            <w:tcW w:w="1174"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3.5</w:t>
            </w:r>
          </w:p>
        </w:tc>
        <w:tc>
          <w:tcPr>
            <w:tcW w:w="1066"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hint="eastAsia" w:cs="宋体"/>
                <w:sz w:val="18"/>
                <w:szCs w:val="18"/>
              </w:rPr>
              <w:t>占比</w:t>
            </w:r>
            <w:r>
              <w:rPr>
                <w:rFonts w:cs="宋体"/>
                <w:sz w:val="18"/>
                <w:szCs w:val="18"/>
              </w:rPr>
              <w:t>10%</w:t>
            </w:r>
          </w:p>
        </w:tc>
        <w:tc>
          <w:tcPr>
            <w:tcW w:w="1094"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3500</w:t>
            </w:r>
          </w:p>
        </w:tc>
        <w:tc>
          <w:tcPr>
            <w:tcW w:w="667"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2</w:t>
            </w:r>
          </w:p>
        </w:tc>
        <w:tc>
          <w:tcPr>
            <w:tcW w:w="1351"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7000</w:t>
            </w:r>
          </w:p>
        </w:tc>
        <w:tc>
          <w:tcPr>
            <w:tcW w:w="1608"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14000</w:t>
            </w:r>
          </w:p>
        </w:tc>
      </w:tr>
      <w:tr>
        <w:tblPrEx>
          <w:tblLayout w:type="fixed"/>
          <w:tblCellMar>
            <w:top w:w="0" w:type="dxa"/>
            <w:left w:w="0" w:type="dxa"/>
            <w:bottom w:w="0" w:type="dxa"/>
            <w:right w:w="0" w:type="dxa"/>
          </w:tblCellMar>
        </w:tblPrEx>
        <w:trPr>
          <w:trHeight w:val="283" w:hRule="atLeast"/>
          <w:jc w:val="center"/>
        </w:trPr>
        <w:tc>
          <w:tcPr>
            <w:tcW w:w="595"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4</w:t>
            </w:r>
          </w:p>
        </w:tc>
        <w:tc>
          <w:tcPr>
            <w:tcW w:w="1146"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hint="eastAsia" w:cs="宋体"/>
                <w:sz w:val="18"/>
                <w:szCs w:val="18"/>
              </w:rPr>
              <w:t>龙麒源</w:t>
            </w:r>
          </w:p>
        </w:tc>
        <w:tc>
          <w:tcPr>
            <w:tcW w:w="1174"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8.5</w:t>
            </w:r>
          </w:p>
        </w:tc>
        <w:tc>
          <w:tcPr>
            <w:tcW w:w="1066"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hint="eastAsia" w:cs="宋体"/>
                <w:sz w:val="18"/>
                <w:szCs w:val="18"/>
              </w:rPr>
              <w:t>占比</w:t>
            </w:r>
            <w:r>
              <w:rPr>
                <w:rFonts w:cs="宋体"/>
                <w:sz w:val="18"/>
                <w:szCs w:val="18"/>
              </w:rPr>
              <w:t>5%</w:t>
            </w:r>
          </w:p>
        </w:tc>
        <w:tc>
          <w:tcPr>
            <w:tcW w:w="1094"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4230</w:t>
            </w:r>
          </w:p>
        </w:tc>
        <w:tc>
          <w:tcPr>
            <w:tcW w:w="667"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2</w:t>
            </w:r>
          </w:p>
        </w:tc>
        <w:tc>
          <w:tcPr>
            <w:tcW w:w="1351"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8460</w:t>
            </w:r>
          </w:p>
        </w:tc>
        <w:tc>
          <w:tcPr>
            <w:tcW w:w="1608"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16920</w:t>
            </w:r>
          </w:p>
        </w:tc>
      </w:tr>
      <w:tr>
        <w:tblPrEx>
          <w:tblLayout w:type="fixed"/>
          <w:tblCellMar>
            <w:top w:w="0" w:type="dxa"/>
            <w:left w:w="0" w:type="dxa"/>
            <w:bottom w:w="0" w:type="dxa"/>
            <w:right w:w="0" w:type="dxa"/>
          </w:tblCellMar>
        </w:tblPrEx>
        <w:trPr>
          <w:trHeight w:val="304" w:hRule="atLeast"/>
          <w:jc w:val="center"/>
        </w:trPr>
        <w:tc>
          <w:tcPr>
            <w:tcW w:w="595"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5</w:t>
            </w:r>
          </w:p>
        </w:tc>
        <w:tc>
          <w:tcPr>
            <w:tcW w:w="1146"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hint="eastAsia" w:cs="宋体"/>
                <w:sz w:val="18"/>
                <w:szCs w:val="18"/>
              </w:rPr>
              <w:t>石垟</w:t>
            </w:r>
          </w:p>
        </w:tc>
        <w:tc>
          <w:tcPr>
            <w:tcW w:w="1174"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72.2</w:t>
            </w:r>
          </w:p>
        </w:tc>
        <w:tc>
          <w:tcPr>
            <w:tcW w:w="1066"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hint="eastAsia" w:cs="宋体"/>
                <w:sz w:val="18"/>
                <w:szCs w:val="18"/>
              </w:rPr>
              <w:t>占比</w:t>
            </w:r>
            <w:r>
              <w:rPr>
                <w:rFonts w:cs="宋体"/>
                <w:sz w:val="18"/>
                <w:szCs w:val="18"/>
              </w:rPr>
              <w:t>2%</w:t>
            </w:r>
          </w:p>
        </w:tc>
        <w:tc>
          <w:tcPr>
            <w:tcW w:w="1094"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14438</w:t>
            </w:r>
          </w:p>
        </w:tc>
        <w:tc>
          <w:tcPr>
            <w:tcW w:w="667"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1</w:t>
            </w:r>
          </w:p>
        </w:tc>
        <w:tc>
          <w:tcPr>
            <w:tcW w:w="1351"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14438</w:t>
            </w:r>
          </w:p>
        </w:tc>
        <w:tc>
          <w:tcPr>
            <w:tcW w:w="1608"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28876</w:t>
            </w:r>
          </w:p>
        </w:tc>
      </w:tr>
      <w:tr>
        <w:tblPrEx>
          <w:tblLayout w:type="fixed"/>
          <w:tblCellMar>
            <w:top w:w="0" w:type="dxa"/>
            <w:left w:w="0" w:type="dxa"/>
            <w:bottom w:w="0" w:type="dxa"/>
            <w:right w:w="0" w:type="dxa"/>
          </w:tblCellMar>
        </w:tblPrEx>
        <w:trPr>
          <w:trHeight w:val="296" w:hRule="atLeast"/>
          <w:jc w:val="center"/>
        </w:trPr>
        <w:tc>
          <w:tcPr>
            <w:tcW w:w="595"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6</w:t>
            </w:r>
          </w:p>
        </w:tc>
        <w:tc>
          <w:tcPr>
            <w:tcW w:w="1146"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hint="eastAsia" w:cs="宋体"/>
                <w:sz w:val="18"/>
                <w:szCs w:val="18"/>
              </w:rPr>
              <w:t>岩门大峡谷</w:t>
            </w:r>
          </w:p>
        </w:tc>
        <w:tc>
          <w:tcPr>
            <w:tcW w:w="1174"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18.6</w:t>
            </w:r>
          </w:p>
        </w:tc>
        <w:tc>
          <w:tcPr>
            <w:tcW w:w="1066"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hint="eastAsia" w:cs="宋体"/>
                <w:sz w:val="18"/>
                <w:szCs w:val="18"/>
              </w:rPr>
              <w:t>占比</w:t>
            </w:r>
            <w:r>
              <w:rPr>
                <w:rFonts w:cs="宋体"/>
                <w:sz w:val="18"/>
                <w:szCs w:val="18"/>
              </w:rPr>
              <w:t>2%</w:t>
            </w:r>
          </w:p>
        </w:tc>
        <w:tc>
          <w:tcPr>
            <w:tcW w:w="1094"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3714</w:t>
            </w:r>
          </w:p>
        </w:tc>
        <w:tc>
          <w:tcPr>
            <w:tcW w:w="667"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1</w:t>
            </w:r>
          </w:p>
        </w:tc>
        <w:tc>
          <w:tcPr>
            <w:tcW w:w="1351"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3714</w:t>
            </w:r>
          </w:p>
        </w:tc>
        <w:tc>
          <w:tcPr>
            <w:tcW w:w="1608"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7428</w:t>
            </w:r>
          </w:p>
        </w:tc>
      </w:tr>
      <w:tr>
        <w:tblPrEx>
          <w:tblLayout w:type="fixed"/>
          <w:tblCellMar>
            <w:top w:w="0" w:type="dxa"/>
            <w:left w:w="0" w:type="dxa"/>
            <w:bottom w:w="0" w:type="dxa"/>
            <w:right w:w="0" w:type="dxa"/>
          </w:tblCellMar>
        </w:tblPrEx>
        <w:trPr>
          <w:trHeight w:val="288" w:hRule="atLeast"/>
          <w:jc w:val="center"/>
        </w:trPr>
        <w:tc>
          <w:tcPr>
            <w:tcW w:w="595"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7</w:t>
            </w:r>
          </w:p>
        </w:tc>
        <w:tc>
          <w:tcPr>
            <w:tcW w:w="1146"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hint="eastAsia" w:cs="宋体"/>
                <w:sz w:val="18"/>
                <w:szCs w:val="18"/>
              </w:rPr>
              <w:t>飞云湖</w:t>
            </w:r>
          </w:p>
        </w:tc>
        <w:tc>
          <w:tcPr>
            <w:tcW w:w="1174"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102.6</w:t>
            </w:r>
          </w:p>
        </w:tc>
        <w:tc>
          <w:tcPr>
            <w:tcW w:w="1066"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w:t>
            </w:r>
          </w:p>
        </w:tc>
        <w:tc>
          <w:tcPr>
            <w:tcW w:w="1094"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13617</w:t>
            </w:r>
          </w:p>
        </w:tc>
        <w:tc>
          <w:tcPr>
            <w:tcW w:w="667"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1</w:t>
            </w:r>
          </w:p>
        </w:tc>
        <w:tc>
          <w:tcPr>
            <w:tcW w:w="1351"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13617</w:t>
            </w:r>
          </w:p>
        </w:tc>
        <w:tc>
          <w:tcPr>
            <w:tcW w:w="1608"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27235</w:t>
            </w:r>
          </w:p>
        </w:tc>
      </w:tr>
      <w:tr>
        <w:tblPrEx>
          <w:tblLayout w:type="fixed"/>
          <w:tblCellMar>
            <w:top w:w="0" w:type="dxa"/>
            <w:left w:w="0" w:type="dxa"/>
            <w:bottom w:w="0" w:type="dxa"/>
            <w:right w:w="0" w:type="dxa"/>
          </w:tblCellMar>
        </w:tblPrEx>
        <w:trPr>
          <w:trHeight w:val="293" w:hRule="atLeast"/>
          <w:jc w:val="center"/>
        </w:trPr>
        <w:tc>
          <w:tcPr>
            <w:tcW w:w="595"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8</w:t>
            </w:r>
          </w:p>
        </w:tc>
        <w:tc>
          <w:tcPr>
            <w:tcW w:w="1146"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hint="eastAsia" w:cs="宋体"/>
                <w:sz w:val="18"/>
                <w:szCs w:val="18"/>
              </w:rPr>
              <w:t>牛栏湾</w:t>
            </w:r>
          </w:p>
        </w:tc>
        <w:tc>
          <w:tcPr>
            <w:tcW w:w="1174"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10.1</w:t>
            </w:r>
          </w:p>
        </w:tc>
        <w:tc>
          <w:tcPr>
            <w:tcW w:w="1066"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hint="eastAsia" w:cs="宋体"/>
                <w:sz w:val="18"/>
                <w:szCs w:val="18"/>
              </w:rPr>
              <w:t>占比</w:t>
            </w:r>
            <w:r>
              <w:rPr>
                <w:rFonts w:cs="宋体"/>
                <w:sz w:val="18"/>
                <w:szCs w:val="18"/>
              </w:rPr>
              <w:t>2%</w:t>
            </w:r>
          </w:p>
        </w:tc>
        <w:tc>
          <w:tcPr>
            <w:tcW w:w="1094"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2024</w:t>
            </w:r>
          </w:p>
        </w:tc>
        <w:tc>
          <w:tcPr>
            <w:tcW w:w="667"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1</w:t>
            </w:r>
          </w:p>
        </w:tc>
        <w:tc>
          <w:tcPr>
            <w:tcW w:w="1351"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2024</w:t>
            </w:r>
          </w:p>
        </w:tc>
        <w:tc>
          <w:tcPr>
            <w:tcW w:w="1608"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4048</w:t>
            </w:r>
          </w:p>
        </w:tc>
      </w:tr>
      <w:tr>
        <w:tblPrEx>
          <w:tblLayout w:type="fixed"/>
          <w:tblCellMar>
            <w:top w:w="0" w:type="dxa"/>
            <w:left w:w="0" w:type="dxa"/>
            <w:bottom w:w="0" w:type="dxa"/>
            <w:right w:w="0" w:type="dxa"/>
          </w:tblCellMar>
        </w:tblPrEx>
        <w:trPr>
          <w:trHeight w:val="286" w:hRule="atLeast"/>
          <w:jc w:val="center"/>
        </w:trPr>
        <w:tc>
          <w:tcPr>
            <w:tcW w:w="1741" w:type="dxa"/>
            <w:gridSpan w:val="2"/>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hint="eastAsia" w:cs="宋体"/>
                <w:sz w:val="18"/>
                <w:szCs w:val="18"/>
              </w:rPr>
              <w:t>其余区域</w:t>
            </w:r>
          </w:p>
        </w:tc>
        <w:tc>
          <w:tcPr>
            <w:tcW w:w="1174"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291.1</w:t>
            </w:r>
          </w:p>
        </w:tc>
        <w:tc>
          <w:tcPr>
            <w:tcW w:w="1066"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hint="eastAsia" w:cs="宋体"/>
                <w:sz w:val="18"/>
                <w:szCs w:val="18"/>
              </w:rPr>
              <w:t>占比</w:t>
            </w:r>
            <w:r>
              <w:rPr>
                <w:rFonts w:cs="宋体"/>
                <w:sz w:val="18"/>
                <w:szCs w:val="18"/>
              </w:rPr>
              <w:t>0.1%</w:t>
            </w:r>
          </w:p>
        </w:tc>
        <w:tc>
          <w:tcPr>
            <w:tcW w:w="1094"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2910</w:t>
            </w:r>
          </w:p>
        </w:tc>
        <w:tc>
          <w:tcPr>
            <w:tcW w:w="667"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1</w:t>
            </w:r>
          </w:p>
        </w:tc>
        <w:tc>
          <w:tcPr>
            <w:tcW w:w="1351"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2910</w:t>
            </w:r>
          </w:p>
        </w:tc>
        <w:tc>
          <w:tcPr>
            <w:tcW w:w="1608"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5820</w:t>
            </w:r>
          </w:p>
        </w:tc>
      </w:tr>
      <w:tr>
        <w:tblPrEx>
          <w:tblLayout w:type="fixed"/>
          <w:tblCellMar>
            <w:top w:w="0" w:type="dxa"/>
            <w:left w:w="0" w:type="dxa"/>
            <w:bottom w:w="0" w:type="dxa"/>
            <w:right w:w="0" w:type="dxa"/>
          </w:tblCellMar>
        </w:tblPrEx>
        <w:trPr>
          <w:trHeight w:val="62" w:hRule="atLeast"/>
          <w:jc w:val="center"/>
        </w:trPr>
        <w:tc>
          <w:tcPr>
            <w:tcW w:w="1741" w:type="dxa"/>
            <w:gridSpan w:val="2"/>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hint="eastAsia" w:cs="宋体"/>
                <w:sz w:val="18"/>
                <w:szCs w:val="18"/>
              </w:rPr>
              <w:t>合计</w:t>
            </w:r>
          </w:p>
        </w:tc>
        <w:tc>
          <w:tcPr>
            <w:tcW w:w="1174"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531.8</w:t>
            </w:r>
          </w:p>
        </w:tc>
        <w:tc>
          <w:tcPr>
            <w:tcW w:w="1066"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p>
        </w:tc>
        <w:tc>
          <w:tcPr>
            <w:tcW w:w="1094"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p>
        </w:tc>
        <w:tc>
          <w:tcPr>
            <w:tcW w:w="667"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p>
        </w:tc>
        <w:tc>
          <w:tcPr>
            <w:tcW w:w="1351"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74342</w:t>
            </w:r>
            <w:r>
              <w:rPr>
                <w:rFonts w:hint="eastAsia" w:cs="宋体"/>
                <w:sz w:val="18"/>
                <w:szCs w:val="18"/>
              </w:rPr>
              <w:t>（约</w:t>
            </w:r>
            <w:r>
              <w:rPr>
                <w:rFonts w:cs="宋体"/>
                <w:sz w:val="18"/>
                <w:szCs w:val="18"/>
              </w:rPr>
              <w:t>74300）</w:t>
            </w:r>
          </w:p>
        </w:tc>
        <w:tc>
          <w:tcPr>
            <w:tcW w:w="1608" w:type="dxa"/>
            <w:tcBorders>
              <w:top w:val="single" w:color="000000" w:sz="6" w:space="0"/>
              <w:left w:val="single" w:color="000000" w:sz="6" w:space="0"/>
              <w:bottom w:val="single" w:color="000000" w:sz="6" w:space="0"/>
              <w:right w:val="single" w:color="000000" w:sz="6" w:space="0"/>
            </w:tcBorders>
            <w:shd w:val="clear" w:color="auto" w:fill="auto"/>
            <w:tcMar>
              <w:top w:w="12" w:type="dxa"/>
              <w:left w:w="12" w:type="dxa"/>
              <w:bottom w:w="72" w:type="dxa"/>
              <w:right w:w="12" w:type="dxa"/>
            </w:tcMar>
            <w:vAlign w:val="center"/>
          </w:tcPr>
          <w:p>
            <w:pPr>
              <w:pStyle w:val="38"/>
              <w:snapToGrid w:val="0"/>
              <w:spacing w:before="0" w:beforeAutospacing="0" w:after="0" w:afterAutospacing="0"/>
              <w:ind w:firstLine="0" w:firstLineChars="0"/>
              <w:jc w:val="center"/>
              <w:rPr>
                <w:rFonts w:cs="宋体"/>
                <w:sz w:val="18"/>
                <w:szCs w:val="18"/>
              </w:rPr>
            </w:pPr>
            <w:r>
              <w:rPr>
                <w:rFonts w:cs="宋体"/>
                <w:sz w:val="18"/>
                <w:szCs w:val="18"/>
              </w:rPr>
              <w:t>148684</w:t>
            </w:r>
            <w:r>
              <w:rPr>
                <w:rFonts w:hint="eastAsia" w:cs="宋体"/>
                <w:sz w:val="18"/>
                <w:szCs w:val="18"/>
              </w:rPr>
              <w:t>（约</w:t>
            </w:r>
            <w:r>
              <w:rPr>
                <w:rFonts w:cs="宋体"/>
                <w:sz w:val="18"/>
                <w:szCs w:val="18"/>
              </w:rPr>
              <w:t>148700）</w:t>
            </w:r>
          </w:p>
        </w:tc>
      </w:tr>
    </w:tbl>
    <w:p>
      <w:pPr>
        <w:spacing w:before="72" w:line="240" w:lineRule="auto"/>
        <w:ind w:firstLine="0" w:firstLineChars="0"/>
        <w:rPr>
          <w:rFonts w:ascii="宋体"/>
          <w:kern w:val="0"/>
          <w:sz w:val="18"/>
          <w:szCs w:val="18"/>
        </w:rPr>
      </w:pPr>
      <w:r>
        <w:rPr>
          <w:rFonts w:hint="eastAsia" w:ascii="宋体" w:hAnsi="宋体"/>
          <w:kern w:val="0"/>
          <w:sz w:val="18"/>
          <w:szCs w:val="18"/>
        </w:rPr>
        <w:t>注：根据《风景名胜区总体规划标准》确定面积法、线路法两种测算方法；其中面积法人均游览面积按照</w:t>
      </w:r>
      <w:r>
        <w:rPr>
          <w:rFonts w:ascii="宋体" w:hAnsi="宋体"/>
          <w:kern w:val="0"/>
          <w:sz w:val="18"/>
          <w:szCs w:val="18"/>
        </w:rPr>
        <w:t>100平方米/人计，线路法人均步道面积按照10平方米/人计；年可游天数取300天，以日游客容量的2倍作为日极限游客容量；故确定风景区日游客容量约为74300</w:t>
      </w:r>
      <w:r>
        <w:rPr>
          <w:rFonts w:hint="eastAsia" w:ascii="宋体" w:hAnsi="宋体"/>
          <w:kern w:val="0"/>
          <w:sz w:val="18"/>
          <w:szCs w:val="18"/>
        </w:rPr>
        <w:t>人次</w:t>
      </w:r>
      <w:r>
        <w:rPr>
          <w:rFonts w:ascii="宋体" w:hAnsi="宋体"/>
          <w:kern w:val="0"/>
          <w:sz w:val="18"/>
          <w:szCs w:val="18"/>
        </w:rPr>
        <w:t>/日，日极限游客容量为148700</w:t>
      </w:r>
      <w:r>
        <w:rPr>
          <w:rFonts w:hint="eastAsia" w:ascii="宋体" w:hAnsi="宋体"/>
          <w:kern w:val="0"/>
          <w:sz w:val="18"/>
          <w:szCs w:val="18"/>
        </w:rPr>
        <w:t>人</w:t>
      </w:r>
      <w:r>
        <w:rPr>
          <w:rFonts w:ascii="宋体" w:hAnsi="宋体"/>
          <w:kern w:val="0"/>
          <w:sz w:val="18"/>
          <w:szCs w:val="18"/>
        </w:rPr>
        <w:t>/次，年游客容量为2229</w:t>
      </w:r>
      <w:r>
        <w:rPr>
          <w:rFonts w:hint="eastAsia" w:ascii="宋体" w:hAnsi="宋体"/>
          <w:kern w:val="0"/>
          <w:sz w:val="18"/>
          <w:szCs w:val="18"/>
        </w:rPr>
        <w:t>万人次</w:t>
      </w:r>
      <w:r>
        <w:rPr>
          <w:rFonts w:ascii="宋体" w:hAnsi="宋体"/>
          <w:kern w:val="0"/>
          <w:sz w:val="18"/>
          <w:szCs w:val="18"/>
        </w:rPr>
        <w:t>/年。</w:t>
      </w:r>
    </w:p>
    <w:p>
      <w:pPr>
        <w:spacing w:before="97" w:beforeLines="30"/>
        <w:ind w:firstLine="480"/>
        <w:rPr>
          <w:rFonts w:cs="宋体"/>
        </w:rPr>
      </w:pPr>
      <w:r>
        <w:rPr>
          <w:rFonts w:hint="eastAsia" w:cs="宋体"/>
        </w:rPr>
        <w:t>综上，风景区的日游客容量约为</w:t>
      </w:r>
      <w:r>
        <w:rPr>
          <w:rFonts w:cs="宋体"/>
        </w:rPr>
        <w:t>74300</w:t>
      </w:r>
      <w:r>
        <w:rPr>
          <w:rFonts w:hint="eastAsia" w:cs="宋体"/>
        </w:rPr>
        <w:t>人，可游天数为300天，年游客容量约为</w:t>
      </w:r>
      <w:r>
        <w:rPr>
          <w:rFonts w:cs="宋体"/>
        </w:rPr>
        <w:t>2229</w:t>
      </w:r>
      <w:r>
        <w:rPr>
          <w:rFonts w:hint="eastAsia" w:cs="宋体"/>
        </w:rPr>
        <w:t>万人。</w:t>
      </w:r>
    </w:p>
    <w:p>
      <w:pPr>
        <w:spacing w:before="97" w:beforeLines="30"/>
        <w:ind w:firstLine="480"/>
        <w:rPr>
          <w:rFonts w:cs="宋体"/>
        </w:rPr>
      </w:pPr>
      <w:r>
        <w:rPr>
          <w:rFonts w:hint="eastAsia" w:cs="宋体"/>
        </w:rPr>
        <w:t>考虑到本规划依据的《风景名胜区总体规划标准》中关于人均游览面积指标存在上下限取值比为2，同时通过与负责风景区日常管理的部门和实地工作人员充分沟通，在综合考虑游客安全保障、组织管理保障等因素的前提下，取日极限游客容量为日游客容量的2倍，日极限游客容量为</w:t>
      </w:r>
      <w:r>
        <w:rPr>
          <w:rFonts w:cs="宋体"/>
        </w:rPr>
        <w:t>148700</w:t>
      </w:r>
      <w:r>
        <w:rPr>
          <w:rFonts w:hint="eastAsia" w:cs="宋体"/>
        </w:rPr>
        <w:t>人。</w:t>
      </w:r>
    </w:p>
    <w:p>
      <w:pPr>
        <w:pStyle w:val="3"/>
        <w:spacing w:before="326"/>
      </w:pPr>
      <w:bookmarkStart w:id="37" w:name="_Toc176456007"/>
      <w:r>
        <w:rPr>
          <w:rFonts w:hint="eastAsia"/>
        </w:rPr>
        <w:t>二、典型景观与展示</w:t>
      </w:r>
      <w:bookmarkEnd w:id="36"/>
      <w:bookmarkEnd w:id="37"/>
    </w:p>
    <w:p>
      <w:pPr>
        <w:pStyle w:val="4"/>
        <w:spacing w:before="163"/>
        <w:ind w:firstLine="360"/>
      </w:pPr>
      <w:bookmarkStart w:id="38" w:name="_Toc370989691"/>
      <w:r>
        <w:rPr>
          <w:rFonts w:hint="eastAsia"/>
        </w:rPr>
        <w:t>（一）典型景观类型</w:t>
      </w:r>
    </w:p>
    <w:p>
      <w:pPr>
        <w:spacing w:before="97" w:beforeLines="30"/>
        <w:ind w:firstLine="480"/>
        <w:rPr>
          <w:rFonts w:cs="宋体"/>
        </w:rPr>
      </w:pPr>
      <w:r>
        <w:rPr>
          <w:rFonts w:hint="eastAsia" w:cs="宋体"/>
        </w:rPr>
        <w:t>风景区具有“</w:t>
      </w:r>
      <w:r>
        <w:rPr>
          <w:rFonts w:hint="eastAsia" w:cs="宋体"/>
          <w:b/>
        </w:rPr>
        <w:t>百瀑雄奇、云湖碧波、峡谷险幽、奇峰叠翠、伯温故里、森海秘境、畲寨风情、红枫古道、红色遗迹</w:t>
      </w:r>
      <w:r>
        <w:rPr>
          <w:rFonts w:hint="eastAsia" w:cs="宋体"/>
        </w:rPr>
        <w:t>”九大胜景，构成了风景区的典型景观特征，规划将其作为风景区核心解说主题，依托旅游村、旅游点和服务部作为集中解说展示场所，并在各景区入口、重要景观景点和游步道两侧设立解说标识系统。</w:t>
      </w:r>
    </w:p>
    <w:p>
      <w:pPr>
        <w:pStyle w:val="4"/>
        <w:spacing w:before="163"/>
        <w:ind w:firstLine="360"/>
      </w:pPr>
      <w:r>
        <w:rPr>
          <w:rFonts w:hint="eastAsia"/>
        </w:rPr>
        <w:t>（二）特色景观展示</w:t>
      </w:r>
    </w:p>
    <w:p>
      <w:pPr>
        <w:spacing w:before="97" w:beforeLines="30"/>
        <w:ind w:firstLine="482"/>
        <w:rPr>
          <w:rFonts w:cs="宋体"/>
          <w:b/>
        </w:rPr>
      </w:pPr>
      <w:r>
        <w:rPr>
          <w:rFonts w:cs="宋体"/>
          <w:b/>
        </w:rPr>
        <w:t>1</w:t>
      </w:r>
      <w:r>
        <w:rPr>
          <w:rFonts w:hint="eastAsia" w:cs="宋体"/>
          <w:b/>
        </w:rPr>
        <w:t>、“百瀑雄奇”景观</w:t>
      </w:r>
    </w:p>
    <w:p>
      <w:pPr>
        <w:spacing w:before="97" w:beforeLines="30"/>
        <w:ind w:firstLine="480"/>
        <w:rPr>
          <w:rFonts w:cs="宋体"/>
        </w:rPr>
      </w:pPr>
      <w:r>
        <w:rPr>
          <w:rFonts w:hint="eastAsia" w:cs="宋体"/>
        </w:rPr>
        <w:t>瀑布是风景区最为突出，最具代表性典型景观，不仅数量多、规模大、分布广，且形声各异，奇特壮观，各具特色。其中，尤以百丈飞瀑景区的百丈一漈和朱阳九峰景区的三潭三瀑最具特色。</w:t>
      </w:r>
    </w:p>
    <w:p>
      <w:pPr>
        <w:spacing w:before="97" w:beforeLines="30"/>
        <w:ind w:firstLine="0" w:firstLineChars="0"/>
        <w:jc w:val="center"/>
        <w:rPr>
          <w:rFonts w:cs="宋体"/>
        </w:rPr>
      </w:pPr>
      <w:r>
        <w:rPr>
          <w:rFonts w:hint="eastAsia" w:ascii="Calibri" w:hAnsi="Calibri"/>
          <w:b/>
          <w:sz w:val="21"/>
          <w:szCs w:val="21"/>
        </w:rPr>
        <w:t>表</w:t>
      </w:r>
      <w:r>
        <w:rPr>
          <w:rFonts w:ascii="Calibri" w:hAnsi="Calibri"/>
          <w:b/>
          <w:sz w:val="21"/>
          <w:szCs w:val="21"/>
        </w:rPr>
        <w:t xml:space="preserve">3-2 </w:t>
      </w:r>
      <w:r>
        <w:rPr>
          <w:rFonts w:hint="eastAsia" w:ascii="Calibri" w:hAnsi="Calibri"/>
          <w:b/>
          <w:sz w:val="21"/>
          <w:szCs w:val="21"/>
        </w:rPr>
        <w:t>各景区瀑布分布一览表</w:t>
      </w:r>
    </w:p>
    <w:tbl>
      <w:tblPr>
        <w:tblStyle w:val="22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4"/>
        <w:gridCol w:w="1663"/>
        <w:gridCol w:w="1397"/>
        <w:gridCol w:w="1525"/>
        <w:gridCol w:w="1463"/>
        <w:gridCol w:w="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4" w:type="dxa"/>
            <w:vMerge w:val="restart"/>
            <w:shd w:val="pct10" w:color="auto" w:fill="auto"/>
            <w:vAlign w:val="center"/>
          </w:tcPr>
          <w:p>
            <w:pPr>
              <w:spacing w:line="240" w:lineRule="auto"/>
              <w:ind w:firstLine="0" w:firstLineChars="0"/>
              <w:jc w:val="center"/>
              <w:rPr>
                <w:rFonts w:ascii="Calibri" w:hAnsi="Calibri"/>
                <w:b/>
                <w:sz w:val="18"/>
                <w:szCs w:val="18"/>
              </w:rPr>
            </w:pPr>
            <w:r>
              <w:rPr>
                <w:rFonts w:hint="eastAsia" w:ascii="Calibri" w:hAnsi="Calibri"/>
                <w:b/>
                <w:sz w:val="18"/>
                <w:szCs w:val="18"/>
              </w:rPr>
              <w:t>景区</w:t>
            </w:r>
          </w:p>
        </w:tc>
        <w:tc>
          <w:tcPr>
            <w:tcW w:w="6048" w:type="dxa"/>
            <w:gridSpan w:val="4"/>
            <w:shd w:val="pct10" w:color="auto" w:fill="auto"/>
            <w:vAlign w:val="center"/>
          </w:tcPr>
          <w:p>
            <w:pPr>
              <w:spacing w:line="240" w:lineRule="auto"/>
              <w:ind w:firstLine="0" w:firstLineChars="0"/>
              <w:jc w:val="center"/>
              <w:rPr>
                <w:rFonts w:ascii="Calibri" w:hAnsi="Calibri"/>
                <w:b/>
                <w:sz w:val="18"/>
                <w:szCs w:val="18"/>
              </w:rPr>
            </w:pPr>
            <w:r>
              <w:rPr>
                <w:rFonts w:hint="eastAsia" w:ascii="Calibri" w:hAnsi="Calibri"/>
                <w:b/>
                <w:sz w:val="18"/>
                <w:szCs w:val="18"/>
              </w:rPr>
              <w:t>瀑布名称</w:t>
            </w:r>
          </w:p>
        </w:tc>
        <w:tc>
          <w:tcPr>
            <w:tcW w:w="704" w:type="dxa"/>
            <w:vMerge w:val="restart"/>
            <w:shd w:val="pct10" w:color="auto" w:fill="auto"/>
            <w:vAlign w:val="center"/>
          </w:tcPr>
          <w:p>
            <w:pPr>
              <w:spacing w:line="240" w:lineRule="auto"/>
              <w:ind w:firstLine="0" w:firstLineChars="0"/>
              <w:jc w:val="center"/>
              <w:rPr>
                <w:rFonts w:ascii="Calibri" w:hAnsi="Calibri"/>
                <w:b/>
                <w:sz w:val="18"/>
                <w:szCs w:val="18"/>
              </w:rPr>
            </w:pPr>
            <w:r>
              <w:rPr>
                <w:rFonts w:hint="eastAsia" w:ascii="Calibri" w:hAnsi="Calibri"/>
                <w:b/>
                <w:sz w:val="18"/>
                <w:szCs w:val="18"/>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trPr>
        <w:tc>
          <w:tcPr>
            <w:tcW w:w="1544" w:type="dxa"/>
            <w:vMerge w:val="continue"/>
            <w:shd w:val="pct10" w:color="auto" w:fill="auto"/>
            <w:vAlign w:val="center"/>
          </w:tcPr>
          <w:p>
            <w:pPr>
              <w:spacing w:line="240" w:lineRule="auto"/>
              <w:ind w:firstLine="0" w:firstLineChars="0"/>
              <w:jc w:val="center"/>
              <w:rPr>
                <w:rFonts w:ascii="Calibri" w:hAnsi="Calibri"/>
                <w:b/>
                <w:sz w:val="18"/>
                <w:szCs w:val="18"/>
              </w:rPr>
            </w:pPr>
          </w:p>
        </w:tc>
        <w:tc>
          <w:tcPr>
            <w:tcW w:w="1663" w:type="dxa"/>
            <w:shd w:val="pct10" w:color="auto" w:fill="auto"/>
            <w:vAlign w:val="center"/>
          </w:tcPr>
          <w:p>
            <w:pPr>
              <w:spacing w:line="240" w:lineRule="auto"/>
              <w:ind w:firstLine="0" w:firstLineChars="0"/>
              <w:jc w:val="center"/>
              <w:rPr>
                <w:rFonts w:ascii="Calibri" w:hAnsi="Calibri"/>
                <w:b/>
                <w:sz w:val="18"/>
                <w:szCs w:val="18"/>
              </w:rPr>
            </w:pPr>
            <w:r>
              <w:rPr>
                <w:rFonts w:hint="eastAsia" w:ascii="Calibri" w:hAnsi="Calibri"/>
                <w:b/>
                <w:sz w:val="18"/>
                <w:szCs w:val="18"/>
              </w:rPr>
              <w:t>一级</w:t>
            </w:r>
          </w:p>
        </w:tc>
        <w:tc>
          <w:tcPr>
            <w:tcW w:w="1397" w:type="dxa"/>
            <w:shd w:val="pct10" w:color="auto" w:fill="auto"/>
            <w:vAlign w:val="center"/>
          </w:tcPr>
          <w:p>
            <w:pPr>
              <w:spacing w:line="240" w:lineRule="auto"/>
              <w:ind w:firstLine="0" w:firstLineChars="0"/>
              <w:jc w:val="center"/>
              <w:rPr>
                <w:rFonts w:ascii="Calibri" w:hAnsi="Calibri"/>
                <w:b/>
                <w:sz w:val="18"/>
                <w:szCs w:val="18"/>
              </w:rPr>
            </w:pPr>
            <w:r>
              <w:rPr>
                <w:rFonts w:hint="eastAsia" w:ascii="Calibri" w:hAnsi="Calibri"/>
                <w:b/>
                <w:sz w:val="18"/>
                <w:szCs w:val="18"/>
              </w:rPr>
              <w:t>二级</w:t>
            </w:r>
          </w:p>
        </w:tc>
        <w:tc>
          <w:tcPr>
            <w:tcW w:w="1525" w:type="dxa"/>
            <w:shd w:val="pct10" w:color="auto" w:fill="auto"/>
            <w:vAlign w:val="center"/>
          </w:tcPr>
          <w:p>
            <w:pPr>
              <w:spacing w:line="240" w:lineRule="auto"/>
              <w:ind w:firstLine="0" w:firstLineChars="0"/>
              <w:jc w:val="center"/>
              <w:rPr>
                <w:rFonts w:ascii="Calibri" w:hAnsi="Calibri"/>
                <w:b/>
                <w:sz w:val="18"/>
                <w:szCs w:val="18"/>
              </w:rPr>
            </w:pPr>
            <w:r>
              <w:rPr>
                <w:rFonts w:hint="eastAsia" w:ascii="Calibri" w:hAnsi="Calibri"/>
                <w:b/>
                <w:sz w:val="18"/>
                <w:szCs w:val="18"/>
              </w:rPr>
              <w:t>三级</w:t>
            </w:r>
          </w:p>
        </w:tc>
        <w:tc>
          <w:tcPr>
            <w:tcW w:w="1463" w:type="dxa"/>
            <w:shd w:val="pct10" w:color="auto" w:fill="auto"/>
            <w:vAlign w:val="center"/>
          </w:tcPr>
          <w:p>
            <w:pPr>
              <w:spacing w:line="240" w:lineRule="auto"/>
              <w:ind w:firstLine="0" w:firstLineChars="0"/>
              <w:jc w:val="center"/>
              <w:rPr>
                <w:rFonts w:ascii="Calibri" w:hAnsi="Calibri"/>
                <w:b/>
                <w:sz w:val="18"/>
                <w:szCs w:val="18"/>
              </w:rPr>
            </w:pPr>
            <w:r>
              <w:rPr>
                <w:rFonts w:hint="eastAsia" w:ascii="Calibri" w:hAnsi="Calibri"/>
                <w:b/>
                <w:sz w:val="18"/>
                <w:szCs w:val="18"/>
              </w:rPr>
              <w:t>四级</w:t>
            </w:r>
          </w:p>
        </w:tc>
        <w:tc>
          <w:tcPr>
            <w:tcW w:w="704" w:type="dxa"/>
            <w:vMerge w:val="continue"/>
            <w:shd w:val="pct10" w:color="auto" w:fill="auto"/>
            <w:vAlign w:val="center"/>
          </w:tcPr>
          <w:p>
            <w:pPr>
              <w:spacing w:line="240" w:lineRule="auto"/>
              <w:ind w:firstLine="0" w:firstLineChars="0"/>
              <w:jc w:val="center"/>
              <w:rPr>
                <w:rFonts w:ascii="Calibri" w:hAnsi="Calibri"/>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trPr>
        <w:tc>
          <w:tcPr>
            <w:tcW w:w="1544" w:type="dxa"/>
            <w:vAlign w:val="center"/>
          </w:tcPr>
          <w:p>
            <w:pPr>
              <w:spacing w:line="240" w:lineRule="auto"/>
              <w:ind w:firstLine="0" w:firstLineChars="0"/>
              <w:jc w:val="center"/>
              <w:rPr>
                <w:rFonts w:ascii="Calibri" w:hAnsi="Calibri"/>
                <w:b/>
                <w:sz w:val="18"/>
                <w:szCs w:val="18"/>
              </w:rPr>
            </w:pPr>
            <w:r>
              <w:rPr>
                <w:rFonts w:hint="eastAsia" w:ascii="Calibri" w:hAnsi="Calibri"/>
                <w:b/>
                <w:sz w:val="18"/>
                <w:szCs w:val="18"/>
              </w:rPr>
              <w:t>百丈飞瀑景区</w:t>
            </w:r>
          </w:p>
        </w:tc>
        <w:tc>
          <w:tcPr>
            <w:tcW w:w="1663" w:type="dxa"/>
            <w:vAlign w:val="center"/>
          </w:tcPr>
          <w:p>
            <w:pPr>
              <w:spacing w:line="240" w:lineRule="auto"/>
              <w:ind w:firstLine="0" w:firstLineChars="0"/>
              <w:jc w:val="center"/>
              <w:rPr>
                <w:rFonts w:ascii="Calibri" w:hAnsi="Calibri"/>
                <w:sz w:val="18"/>
                <w:szCs w:val="18"/>
              </w:rPr>
            </w:pPr>
            <w:r>
              <w:rPr>
                <w:rFonts w:hint="eastAsia" w:ascii="Calibri" w:hAnsi="Calibri"/>
                <w:sz w:val="18"/>
                <w:szCs w:val="18"/>
              </w:rPr>
              <w:t>一漈、二漈、西天屏</w:t>
            </w:r>
          </w:p>
        </w:tc>
        <w:tc>
          <w:tcPr>
            <w:tcW w:w="1397" w:type="dxa"/>
            <w:vAlign w:val="center"/>
          </w:tcPr>
          <w:p>
            <w:pPr>
              <w:spacing w:line="240" w:lineRule="auto"/>
              <w:ind w:firstLine="0" w:firstLineChars="0"/>
              <w:jc w:val="center"/>
              <w:rPr>
                <w:rFonts w:ascii="Calibri" w:hAnsi="Calibri"/>
                <w:sz w:val="18"/>
                <w:szCs w:val="18"/>
              </w:rPr>
            </w:pPr>
            <w:r>
              <w:rPr>
                <w:rFonts w:hint="eastAsia" w:ascii="Calibri" w:hAnsi="Calibri"/>
                <w:sz w:val="18"/>
                <w:szCs w:val="18"/>
              </w:rPr>
              <w:t>三漈、三叠瀑、阴阳瀑</w:t>
            </w:r>
          </w:p>
        </w:tc>
        <w:tc>
          <w:tcPr>
            <w:tcW w:w="1525" w:type="dxa"/>
            <w:vAlign w:val="center"/>
          </w:tcPr>
          <w:p>
            <w:pPr>
              <w:spacing w:line="240" w:lineRule="auto"/>
              <w:ind w:firstLine="0" w:firstLineChars="0"/>
              <w:jc w:val="center"/>
              <w:rPr>
                <w:rFonts w:ascii="Calibri" w:hAnsi="Calibri"/>
                <w:sz w:val="18"/>
                <w:szCs w:val="18"/>
              </w:rPr>
            </w:pPr>
            <w:r>
              <w:rPr>
                <w:rFonts w:hint="eastAsia" w:ascii="Calibri" w:hAnsi="Calibri"/>
                <w:sz w:val="18"/>
                <w:szCs w:val="18"/>
              </w:rPr>
              <w:t>天际瀑</w:t>
            </w:r>
          </w:p>
        </w:tc>
        <w:tc>
          <w:tcPr>
            <w:tcW w:w="1463" w:type="dxa"/>
            <w:vAlign w:val="center"/>
          </w:tcPr>
          <w:p>
            <w:pPr>
              <w:spacing w:line="240" w:lineRule="auto"/>
              <w:ind w:firstLine="0" w:firstLineChars="0"/>
              <w:jc w:val="center"/>
              <w:rPr>
                <w:rFonts w:ascii="Calibri" w:hAnsi="Calibri"/>
                <w:sz w:val="18"/>
                <w:szCs w:val="18"/>
              </w:rPr>
            </w:pPr>
            <w:r>
              <w:rPr>
                <w:rFonts w:ascii="Calibri" w:hAnsi="Calibri"/>
                <w:sz w:val="18"/>
                <w:szCs w:val="18"/>
              </w:rPr>
              <w:t>/</w:t>
            </w:r>
          </w:p>
        </w:tc>
        <w:tc>
          <w:tcPr>
            <w:tcW w:w="704" w:type="dxa"/>
            <w:vAlign w:val="center"/>
          </w:tcPr>
          <w:p>
            <w:pPr>
              <w:spacing w:line="240" w:lineRule="auto"/>
              <w:ind w:firstLine="0" w:firstLineChars="0"/>
              <w:jc w:val="center"/>
              <w:rPr>
                <w:rFonts w:ascii="Calibri" w:hAnsi="Calibri"/>
                <w:sz w:val="18"/>
                <w:szCs w:val="18"/>
              </w:rPr>
            </w:pPr>
            <w:r>
              <w:rPr>
                <w:rFonts w:ascii="Calibri" w:hAnsi="Calibri"/>
                <w:sz w:val="18"/>
                <w:szCs w:val="1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trPr>
        <w:tc>
          <w:tcPr>
            <w:tcW w:w="1544" w:type="dxa"/>
            <w:vAlign w:val="center"/>
          </w:tcPr>
          <w:p>
            <w:pPr>
              <w:spacing w:line="240" w:lineRule="auto"/>
              <w:ind w:firstLine="0" w:firstLineChars="0"/>
              <w:jc w:val="center"/>
              <w:rPr>
                <w:rFonts w:ascii="Calibri" w:hAnsi="Calibri"/>
                <w:b/>
                <w:sz w:val="18"/>
                <w:szCs w:val="18"/>
              </w:rPr>
            </w:pPr>
            <w:r>
              <w:rPr>
                <w:rFonts w:hint="eastAsia" w:ascii="Calibri" w:hAnsi="Calibri"/>
                <w:b/>
                <w:sz w:val="18"/>
                <w:szCs w:val="18"/>
              </w:rPr>
              <w:t>飞云湖景区</w:t>
            </w:r>
          </w:p>
        </w:tc>
        <w:tc>
          <w:tcPr>
            <w:tcW w:w="1663" w:type="dxa"/>
            <w:vAlign w:val="center"/>
          </w:tcPr>
          <w:p>
            <w:pPr>
              <w:spacing w:line="240" w:lineRule="auto"/>
              <w:ind w:firstLine="0" w:firstLineChars="0"/>
              <w:jc w:val="center"/>
              <w:rPr>
                <w:rFonts w:ascii="Calibri" w:hAnsi="Calibri"/>
                <w:sz w:val="18"/>
                <w:szCs w:val="18"/>
              </w:rPr>
            </w:pPr>
          </w:p>
        </w:tc>
        <w:tc>
          <w:tcPr>
            <w:tcW w:w="1397" w:type="dxa"/>
            <w:vAlign w:val="center"/>
          </w:tcPr>
          <w:p>
            <w:pPr>
              <w:spacing w:line="240" w:lineRule="auto"/>
              <w:ind w:firstLine="0" w:firstLineChars="0"/>
              <w:jc w:val="center"/>
              <w:rPr>
                <w:rFonts w:ascii="Calibri" w:hAnsi="Calibri"/>
                <w:sz w:val="18"/>
                <w:szCs w:val="18"/>
              </w:rPr>
            </w:pPr>
            <w:r>
              <w:rPr>
                <w:rFonts w:ascii="Calibri" w:hAnsi="Calibri"/>
                <w:sz w:val="18"/>
                <w:szCs w:val="18"/>
              </w:rPr>
              <w:t>/</w:t>
            </w:r>
          </w:p>
        </w:tc>
        <w:tc>
          <w:tcPr>
            <w:tcW w:w="1525" w:type="dxa"/>
            <w:vAlign w:val="center"/>
          </w:tcPr>
          <w:p>
            <w:pPr>
              <w:spacing w:line="240" w:lineRule="auto"/>
              <w:ind w:firstLine="0" w:firstLineChars="0"/>
              <w:jc w:val="center"/>
              <w:rPr>
                <w:rFonts w:ascii="Calibri" w:hAnsi="Calibri"/>
                <w:sz w:val="18"/>
                <w:szCs w:val="18"/>
              </w:rPr>
            </w:pPr>
            <w:r>
              <w:rPr>
                <w:rFonts w:hint="eastAsia" w:ascii="Calibri" w:hAnsi="Calibri"/>
                <w:sz w:val="18"/>
                <w:szCs w:val="18"/>
              </w:rPr>
              <w:t>龙井、双龙瀑、临湖瀑、金龙叠瀑、仙叠瀑</w:t>
            </w:r>
          </w:p>
        </w:tc>
        <w:tc>
          <w:tcPr>
            <w:tcW w:w="1463" w:type="dxa"/>
            <w:vAlign w:val="center"/>
          </w:tcPr>
          <w:p>
            <w:pPr>
              <w:spacing w:line="240" w:lineRule="auto"/>
              <w:ind w:firstLine="0" w:firstLineChars="0"/>
              <w:jc w:val="center"/>
              <w:rPr>
                <w:rFonts w:ascii="Calibri" w:hAnsi="Calibri"/>
                <w:sz w:val="18"/>
                <w:szCs w:val="18"/>
              </w:rPr>
            </w:pPr>
            <w:r>
              <w:rPr>
                <w:rFonts w:hint="eastAsia" w:ascii="Calibri" w:hAnsi="Calibri"/>
                <w:sz w:val="18"/>
                <w:szCs w:val="18"/>
              </w:rPr>
              <w:t>擎天瀑、银龙瀑</w:t>
            </w:r>
          </w:p>
        </w:tc>
        <w:tc>
          <w:tcPr>
            <w:tcW w:w="704" w:type="dxa"/>
            <w:vAlign w:val="center"/>
          </w:tcPr>
          <w:p>
            <w:pPr>
              <w:spacing w:line="240" w:lineRule="auto"/>
              <w:ind w:firstLine="0" w:firstLineChars="0"/>
              <w:jc w:val="center"/>
              <w:rPr>
                <w:rFonts w:ascii="Calibri" w:hAnsi="Calibri"/>
                <w:sz w:val="18"/>
                <w:szCs w:val="18"/>
              </w:rPr>
            </w:pPr>
            <w:r>
              <w:rPr>
                <w:rFonts w:ascii="Calibri" w:hAnsi="Calibri"/>
                <w:sz w:val="18"/>
                <w:szCs w:val="1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trPr>
        <w:tc>
          <w:tcPr>
            <w:tcW w:w="1544" w:type="dxa"/>
            <w:vAlign w:val="center"/>
          </w:tcPr>
          <w:p>
            <w:pPr>
              <w:spacing w:line="240" w:lineRule="auto"/>
              <w:ind w:firstLine="0" w:firstLineChars="0"/>
              <w:jc w:val="center"/>
              <w:rPr>
                <w:rFonts w:ascii="Calibri" w:hAnsi="Calibri"/>
                <w:b/>
                <w:sz w:val="18"/>
                <w:szCs w:val="18"/>
              </w:rPr>
            </w:pPr>
            <w:r>
              <w:rPr>
                <w:rFonts w:hint="eastAsia" w:ascii="Calibri" w:hAnsi="Calibri"/>
                <w:b/>
                <w:sz w:val="18"/>
                <w:szCs w:val="18"/>
              </w:rPr>
              <w:t>朱阳九峰景区</w:t>
            </w:r>
          </w:p>
        </w:tc>
        <w:tc>
          <w:tcPr>
            <w:tcW w:w="1663" w:type="dxa"/>
            <w:vAlign w:val="center"/>
          </w:tcPr>
          <w:p>
            <w:pPr>
              <w:spacing w:line="240" w:lineRule="auto"/>
              <w:ind w:firstLine="0" w:firstLineChars="0"/>
              <w:jc w:val="center"/>
              <w:rPr>
                <w:rFonts w:ascii="Calibri" w:hAnsi="Calibri"/>
                <w:sz w:val="18"/>
                <w:szCs w:val="18"/>
              </w:rPr>
            </w:pPr>
            <w:r>
              <w:rPr>
                <w:rFonts w:hint="eastAsia" w:ascii="Calibri" w:hAnsi="Calibri"/>
                <w:sz w:val="18"/>
                <w:szCs w:val="18"/>
              </w:rPr>
              <w:t>百折瀑、龙瀑、三潭三瀑</w:t>
            </w:r>
          </w:p>
        </w:tc>
        <w:tc>
          <w:tcPr>
            <w:tcW w:w="1397" w:type="dxa"/>
            <w:vAlign w:val="center"/>
          </w:tcPr>
          <w:p>
            <w:pPr>
              <w:spacing w:line="240" w:lineRule="auto"/>
              <w:ind w:firstLine="0" w:firstLineChars="0"/>
              <w:jc w:val="center"/>
              <w:rPr>
                <w:rFonts w:ascii="Calibri" w:hAnsi="Calibri"/>
                <w:sz w:val="18"/>
                <w:szCs w:val="18"/>
              </w:rPr>
            </w:pPr>
            <w:r>
              <w:rPr>
                <w:rFonts w:ascii="Calibri" w:hAnsi="Calibri"/>
                <w:sz w:val="18"/>
                <w:szCs w:val="18"/>
              </w:rPr>
              <w:t>/</w:t>
            </w:r>
          </w:p>
        </w:tc>
        <w:tc>
          <w:tcPr>
            <w:tcW w:w="1525" w:type="dxa"/>
            <w:vAlign w:val="center"/>
          </w:tcPr>
          <w:p>
            <w:pPr>
              <w:spacing w:line="240" w:lineRule="auto"/>
              <w:ind w:firstLine="0" w:firstLineChars="0"/>
              <w:jc w:val="center"/>
              <w:rPr>
                <w:rFonts w:ascii="Calibri" w:hAnsi="Calibri"/>
                <w:sz w:val="18"/>
                <w:szCs w:val="18"/>
              </w:rPr>
            </w:pPr>
            <w:r>
              <w:rPr>
                <w:rFonts w:ascii="Calibri" w:hAnsi="Calibri"/>
                <w:sz w:val="18"/>
                <w:szCs w:val="18"/>
              </w:rPr>
              <w:t>/</w:t>
            </w:r>
          </w:p>
        </w:tc>
        <w:tc>
          <w:tcPr>
            <w:tcW w:w="1463" w:type="dxa"/>
            <w:vAlign w:val="center"/>
          </w:tcPr>
          <w:p>
            <w:pPr>
              <w:spacing w:line="240" w:lineRule="auto"/>
              <w:ind w:firstLine="0" w:firstLineChars="0"/>
              <w:jc w:val="center"/>
              <w:rPr>
                <w:rFonts w:ascii="Calibri" w:hAnsi="Calibri"/>
                <w:sz w:val="18"/>
                <w:szCs w:val="18"/>
              </w:rPr>
            </w:pPr>
            <w:r>
              <w:rPr>
                <w:rFonts w:ascii="Calibri" w:hAnsi="Calibri"/>
                <w:sz w:val="18"/>
                <w:szCs w:val="18"/>
              </w:rPr>
              <w:t>/</w:t>
            </w:r>
          </w:p>
        </w:tc>
        <w:tc>
          <w:tcPr>
            <w:tcW w:w="704" w:type="dxa"/>
            <w:vAlign w:val="center"/>
          </w:tcPr>
          <w:p>
            <w:pPr>
              <w:spacing w:line="240" w:lineRule="auto"/>
              <w:ind w:firstLine="0" w:firstLineChars="0"/>
              <w:jc w:val="center"/>
              <w:rPr>
                <w:rFonts w:ascii="Calibri" w:hAnsi="Calibri"/>
                <w:sz w:val="18"/>
                <w:szCs w:val="18"/>
              </w:rPr>
            </w:pPr>
            <w:r>
              <w:rPr>
                <w:rFonts w:ascii="Calibri" w:hAnsi="Calibri"/>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4" w:type="dxa"/>
            <w:vAlign w:val="center"/>
          </w:tcPr>
          <w:p>
            <w:pPr>
              <w:spacing w:line="240" w:lineRule="auto"/>
              <w:ind w:firstLine="0" w:firstLineChars="0"/>
              <w:jc w:val="center"/>
              <w:rPr>
                <w:rFonts w:ascii="Calibri" w:hAnsi="Calibri"/>
                <w:b/>
                <w:sz w:val="18"/>
                <w:szCs w:val="18"/>
              </w:rPr>
            </w:pPr>
            <w:r>
              <w:rPr>
                <w:rFonts w:hint="eastAsia" w:ascii="Calibri" w:hAnsi="Calibri"/>
                <w:b/>
                <w:sz w:val="18"/>
                <w:szCs w:val="18"/>
              </w:rPr>
              <w:t>石垟景区</w:t>
            </w:r>
          </w:p>
        </w:tc>
        <w:tc>
          <w:tcPr>
            <w:tcW w:w="1663" w:type="dxa"/>
            <w:vAlign w:val="center"/>
          </w:tcPr>
          <w:p>
            <w:pPr>
              <w:spacing w:line="240" w:lineRule="auto"/>
              <w:ind w:firstLine="0" w:firstLineChars="0"/>
              <w:jc w:val="center"/>
              <w:rPr>
                <w:rFonts w:ascii="Calibri" w:hAnsi="Calibri"/>
                <w:sz w:val="18"/>
                <w:szCs w:val="18"/>
              </w:rPr>
            </w:pPr>
            <w:r>
              <w:rPr>
                <w:rFonts w:ascii="Calibri" w:hAnsi="Calibri"/>
                <w:sz w:val="18"/>
                <w:szCs w:val="18"/>
              </w:rPr>
              <w:t>/</w:t>
            </w:r>
          </w:p>
        </w:tc>
        <w:tc>
          <w:tcPr>
            <w:tcW w:w="1397" w:type="dxa"/>
            <w:vAlign w:val="center"/>
          </w:tcPr>
          <w:p>
            <w:pPr>
              <w:spacing w:line="240" w:lineRule="auto"/>
              <w:ind w:firstLine="0" w:firstLineChars="0"/>
              <w:jc w:val="center"/>
              <w:rPr>
                <w:rFonts w:ascii="Calibri" w:hAnsi="Calibri"/>
                <w:sz w:val="18"/>
                <w:szCs w:val="18"/>
              </w:rPr>
            </w:pPr>
            <w:r>
              <w:rPr>
                <w:rFonts w:ascii="Calibri" w:hAnsi="Calibri"/>
                <w:sz w:val="18"/>
                <w:szCs w:val="18"/>
              </w:rPr>
              <w:t>/</w:t>
            </w:r>
          </w:p>
        </w:tc>
        <w:tc>
          <w:tcPr>
            <w:tcW w:w="1525" w:type="dxa"/>
            <w:vAlign w:val="center"/>
          </w:tcPr>
          <w:p>
            <w:pPr>
              <w:spacing w:line="240" w:lineRule="auto"/>
              <w:ind w:firstLine="0" w:firstLineChars="0"/>
              <w:jc w:val="center"/>
              <w:rPr>
                <w:rFonts w:ascii="Calibri" w:hAnsi="Calibri"/>
                <w:sz w:val="18"/>
                <w:szCs w:val="18"/>
              </w:rPr>
            </w:pPr>
            <w:r>
              <w:rPr>
                <w:rFonts w:ascii="Calibri" w:hAnsi="Calibri"/>
                <w:sz w:val="18"/>
                <w:szCs w:val="18"/>
              </w:rPr>
              <w:t>/</w:t>
            </w:r>
          </w:p>
        </w:tc>
        <w:tc>
          <w:tcPr>
            <w:tcW w:w="1463" w:type="dxa"/>
            <w:vAlign w:val="center"/>
          </w:tcPr>
          <w:p>
            <w:pPr>
              <w:spacing w:line="240" w:lineRule="auto"/>
              <w:ind w:firstLine="0" w:firstLineChars="0"/>
              <w:jc w:val="center"/>
              <w:rPr>
                <w:rFonts w:ascii="Calibri" w:hAnsi="Calibri"/>
                <w:sz w:val="18"/>
                <w:szCs w:val="18"/>
              </w:rPr>
            </w:pPr>
            <w:r>
              <w:rPr>
                <w:rFonts w:hint="eastAsia" w:ascii="Calibri" w:hAnsi="Calibri"/>
                <w:sz w:val="18"/>
                <w:szCs w:val="18"/>
              </w:rPr>
              <w:t>龙凤瀑、青龙吐珠、烟雨瀑</w:t>
            </w:r>
          </w:p>
        </w:tc>
        <w:tc>
          <w:tcPr>
            <w:tcW w:w="704" w:type="dxa"/>
            <w:vAlign w:val="center"/>
          </w:tcPr>
          <w:p>
            <w:pPr>
              <w:spacing w:line="240" w:lineRule="auto"/>
              <w:ind w:firstLine="0" w:firstLineChars="0"/>
              <w:jc w:val="center"/>
              <w:rPr>
                <w:rFonts w:ascii="Calibri" w:hAnsi="Calibri"/>
                <w:sz w:val="18"/>
                <w:szCs w:val="18"/>
              </w:rPr>
            </w:pPr>
            <w:r>
              <w:rPr>
                <w:rFonts w:ascii="Calibri" w:hAnsi="Calibri"/>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trPr>
        <w:tc>
          <w:tcPr>
            <w:tcW w:w="1544" w:type="dxa"/>
            <w:vAlign w:val="center"/>
          </w:tcPr>
          <w:p>
            <w:pPr>
              <w:spacing w:line="240" w:lineRule="auto"/>
              <w:ind w:firstLine="0" w:firstLineChars="0"/>
              <w:jc w:val="center"/>
              <w:rPr>
                <w:rFonts w:ascii="Calibri" w:hAnsi="Calibri"/>
                <w:b/>
                <w:sz w:val="18"/>
                <w:szCs w:val="18"/>
              </w:rPr>
            </w:pPr>
            <w:r>
              <w:rPr>
                <w:rFonts w:hint="eastAsia" w:ascii="Calibri" w:hAnsi="Calibri"/>
                <w:b/>
                <w:sz w:val="18"/>
                <w:szCs w:val="18"/>
              </w:rPr>
              <w:t>牛栏湾景区</w:t>
            </w:r>
          </w:p>
        </w:tc>
        <w:tc>
          <w:tcPr>
            <w:tcW w:w="1663" w:type="dxa"/>
            <w:vAlign w:val="center"/>
          </w:tcPr>
          <w:p>
            <w:pPr>
              <w:spacing w:line="240" w:lineRule="auto"/>
              <w:ind w:firstLine="0" w:firstLineChars="0"/>
              <w:jc w:val="center"/>
              <w:rPr>
                <w:rFonts w:ascii="Calibri" w:hAnsi="Calibri"/>
                <w:sz w:val="18"/>
                <w:szCs w:val="18"/>
              </w:rPr>
            </w:pPr>
            <w:r>
              <w:rPr>
                <w:rFonts w:ascii="Calibri" w:hAnsi="Calibri"/>
                <w:sz w:val="18"/>
                <w:szCs w:val="18"/>
              </w:rPr>
              <w:t>/</w:t>
            </w:r>
          </w:p>
        </w:tc>
        <w:tc>
          <w:tcPr>
            <w:tcW w:w="1397" w:type="dxa"/>
            <w:vAlign w:val="center"/>
          </w:tcPr>
          <w:p>
            <w:pPr>
              <w:spacing w:line="240" w:lineRule="auto"/>
              <w:ind w:firstLine="0" w:firstLineChars="0"/>
              <w:jc w:val="center"/>
              <w:rPr>
                <w:rFonts w:ascii="Calibri" w:hAnsi="Calibri"/>
                <w:sz w:val="18"/>
                <w:szCs w:val="18"/>
              </w:rPr>
            </w:pPr>
            <w:r>
              <w:rPr>
                <w:rFonts w:ascii="Calibri" w:hAnsi="Calibri"/>
                <w:sz w:val="18"/>
                <w:szCs w:val="18"/>
              </w:rPr>
              <w:t>/</w:t>
            </w:r>
          </w:p>
        </w:tc>
        <w:tc>
          <w:tcPr>
            <w:tcW w:w="1525" w:type="dxa"/>
            <w:vAlign w:val="center"/>
          </w:tcPr>
          <w:p>
            <w:pPr>
              <w:spacing w:line="240" w:lineRule="auto"/>
              <w:ind w:firstLine="0" w:firstLineChars="0"/>
              <w:jc w:val="center"/>
              <w:rPr>
                <w:rFonts w:ascii="Calibri" w:hAnsi="Calibri"/>
                <w:sz w:val="18"/>
                <w:szCs w:val="18"/>
              </w:rPr>
            </w:pPr>
            <w:r>
              <w:rPr>
                <w:rFonts w:hint="eastAsia" w:ascii="Calibri" w:hAnsi="Calibri"/>
                <w:sz w:val="18"/>
                <w:szCs w:val="18"/>
              </w:rPr>
              <w:t>水帘玉璧</w:t>
            </w:r>
          </w:p>
        </w:tc>
        <w:tc>
          <w:tcPr>
            <w:tcW w:w="1463" w:type="dxa"/>
            <w:vAlign w:val="center"/>
          </w:tcPr>
          <w:p>
            <w:pPr>
              <w:spacing w:line="240" w:lineRule="auto"/>
              <w:ind w:firstLine="0" w:firstLineChars="0"/>
              <w:jc w:val="center"/>
              <w:rPr>
                <w:rFonts w:ascii="Calibri" w:hAnsi="Calibri"/>
                <w:sz w:val="18"/>
                <w:szCs w:val="18"/>
              </w:rPr>
            </w:pPr>
            <w:r>
              <w:rPr>
                <w:rFonts w:hint="eastAsia" w:ascii="Calibri" w:hAnsi="Calibri"/>
                <w:sz w:val="18"/>
                <w:szCs w:val="18"/>
              </w:rPr>
              <w:t>七瀑东飞</w:t>
            </w:r>
          </w:p>
        </w:tc>
        <w:tc>
          <w:tcPr>
            <w:tcW w:w="704" w:type="dxa"/>
            <w:vAlign w:val="center"/>
          </w:tcPr>
          <w:p>
            <w:pPr>
              <w:spacing w:line="240" w:lineRule="auto"/>
              <w:ind w:firstLine="0" w:firstLineChars="0"/>
              <w:jc w:val="center"/>
              <w:rPr>
                <w:rFonts w:ascii="Calibri" w:hAnsi="Calibri"/>
                <w:sz w:val="18"/>
                <w:szCs w:val="18"/>
              </w:rPr>
            </w:pPr>
            <w:r>
              <w:rPr>
                <w:rFonts w:ascii="Calibri" w:hAnsi="Calibri"/>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544" w:type="dxa"/>
            <w:vAlign w:val="center"/>
          </w:tcPr>
          <w:p>
            <w:pPr>
              <w:spacing w:line="240" w:lineRule="auto"/>
              <w:ind w:firstLine="0" w:firstLineChars="0"/>
              <w:jc w:val="center"/>
              <w:rPr>
                <w:rFonts w:ascii="Calibri" w:hAnsi="Calibri"/>
                <w:b/>
                <w:sz w:val="18"/>
                <w:szCs w:val="18"/>
              </w:rPr>
            </w:pPr>
            <w:r>
              <w:rPr>
                <w:rFonts w:hint="eastAsia" w:ascii="Calibri" w:hAnsi="Calibri"/>
                <w:b/>
                <w:sz w:val="18"/>
                <w:szCs w:val="18"/>
              </w:rPr>
              <w:t>岩门大峡谷景区</w:t>
            </w:r>
          </w:p>
        </w:tc>
        <w:tc>
          <w:tcPr>
            <w:tcW w:w="1663" w:type="dxa"/>
            <w:vAlign w:val="center"/>
          </w:tcPr>
          <w:p>
            <w:pPr>
              <w:spacing w:line="240" w:lineRule="auto"/>
              <w:ind w:firstLine="0" w:firstLineChars="0"/>
              <w:jc w:val="center"/>
              <w:rPr>
                <w:rFonts w:ascii="Calibri" w:hAnsi="Calibri"/>
                <w:sz w:val="18"/>
                <w:szCs w:val="18"/>
              </w:rPr>
            </w:pPr>
            <w:r>
              <w:rPr>
                <w:rFonts w:hint="eastAsia" w:ascii="Calibri" w:hAnsi="Calibri"/>
                <w:sz w:val="18"/>
                <w:szCs w:val="18"/>
              </w:rPr>
              <w:t>三重漈</w:t>
            </w:r>
          </w:p>
        </w:tc>
        <w:tc>
          <w:tcPr>
            <w:tcW w:w="1397" w:type="dxa"/>
            <w:vAlign w:val="center"/>
          </w:tcPr>
          <w:p>
            <w:pPr>
              <w:spacing w:line="240" w:lineRule="auto"/>
              <w:ind w:firstLine="0" w:firstLineChars="0"/>
              <w:jc w:val="center"/>
              <w:rPr>
                <w:rFonts w:ascii="Calibri" w:hAnsi="Calibri"/>
                <w:sz w:val="18"/>
                <w:szCs w:val="18"/>
              </w:rPr>
            </w:pPr>
            <w:r>
              <w:rPr>
                <w:rFonts w:ascii="Calibri" w:hAnsi="Calibri"/>
                <w:sz w:val="18"/>
                <w:szCs w:val="18"/>
              </w:rPr>
              <w:t>/</w:t>
            </w:r>
          </w:p>
        </w:tc>
        <w:tc>
          <w:tcPr>
            <w:tcW w:w="1525" w:type="dxa"/>
            <w:vAlign w:val="center"/>
          </w:tcPr>
          <w:p>
            <w:pPr>
              <w:spacing w:line="240" w:lineRule="auto"/>
              <w:ind w:firstLine="0" w:firstLineChars="0"/>
              <w:jc w:val="center"/>
              <w:rPr>
                <w:rFonts w:ascii="Calibri" w:hAnsi="Calibri"/>
                <w:sz w:val="18"/>
                <w:szCs w:val="18"/>
              </w:rPr>
            </w:pPr>
          </w:p>
        </w:tc>
        <w:tc>
          <w:tcPr>
            <w:tcW w:w="1463" w:type="dxa"/>
            <w:vAlign w:val="center"/>
          </w:tcPr>
          <w:p>
            <w:pPr>
              <w:spacing w:line="240" w:lineRule="auto"/>
              <w:ind w:firstLine="0" w:firstLineChars="0"/>
              <w:jc w:val="center"/>
              <w:rPr>
                <w:rFonts w:ascii="Calibri" w:hAnsi="Calibri"/>
                <w:sz w:val="18"/>
                <w:szCs w:val="18"/>
              </w:rPr>
            </w:pPr>
          </w:p>
        </w:tc>
        <w:tc>
          <w:tcPr>
            <w:tcW w:w="704" w:type="dxa"/>
            <w:vAlign w:val="center"/>
          </w:tcPr>
          <w:p>
            <w:pPr>
              <w:spacing w:line="240" w:lineRule="auto"/>
              <w:ind w:firstLine="0" w:firstLineChars="0"/>
              <w:jc w:val="center"/>
              <w:rPr>
                <w:rFonts w:ascii="Calibri" w:hAnsi="Calibri"/>
                <w:sz w:val="18"/>
                <w:szCs w:val="18"/>
              </w:rPr>
            </w:pPr>
            <w:r>
              <w:rPr>
                <w:rFonts w:ascii="Calibri" w:hAnsi="Calibri"/>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4" w:type="dxa"/>
            <w:vAlign w:val="center"/>
          </w:tcPr>
          <w:p>
            <w:pPr>
              <w:spacing w:line="240" w:lineRule="auto"/>
              <w:ind w:firstLine="0" w:firstLineChars="0"/>
              <w:jc w:val="center"/>
              <w:rPr>
                <w:rFonts w:ascii="Calibri" w:hAnsi="Calibri"/>
                <w:b/>
                <w:sz w:val="18"/>
                <w:szCs w:val="18"/>
              </w:rPr>
            </w:pPr>
            <w:r>
              <w:rPr>
                <w:rFonts w:hint="eastAsia" w:ascii="Calibri" w:hAnsi="Calibri"/>
                <w:b/>
                <w:sz w:val="18"/>
                <w:szCs w:val="18"/>
              </w:rPr>
              <w:t>小计</w:t>
            </w:r>
          </w:p>
        </w:tc>
        <w:tc>
          <w:tcPr>
            <w:tcW w:w="1663" w:type="dxa"/>
            <w:vAlign w:val="center"/>
          </w:tcPr>
          <w:p>
            <w:pPr>
              <w:spacing w:line="240" w:lineRule="auto"/>
              <w:ind w:firstLine="0" w:firstLineChars="0"/>
              <w:jc w:val="center"/>
              <w:rPr>
                <w:rFonts w:ascii="Calibri" w:hAnsi="Calibri"/>
                <w:sz w:val="18"/>
                <w:szCs w:val="18"/>
              </w:rPr>
            </w:pPr>
            <w:r>
              <w:rPr>
                <w:rFonts w:ascii="Calibri" w:hAnsi="Calibri"/>
                <w:sz w:val="18"/>
                <w:szCs w:val="18"/>
              </w:rPr>
              <w:t>7</w:t>
            </w:r>
          </w:p>
        </w:tc>
        <w:tc>
          <w:tcPr>
            <w:tcW w:w="1397" w:type="dxa"/>
            <w:vAlign w:val="center"/>
          </w:tcPr>
          <w:p>
            <w:pPr>
              <w:spacing w:line="240" w:lineRule="auto"/>
              <w:ind w:firstLine="0" w:firstLineChars="0"/>
              <w:jc w:val="center"/>
              <w:rPr>
                <w:rFonts w:ascii="Calibri" w:hAnsi="Calibri"/>
                <w:sz w:val="18"/>
                <w:szCs w:val="18"/>
              </w:rPr>
            </w:pPr>
            <w:r>
              <w:rPr>
                <w:rFonts w:ascii="Calibri" w:hAnsi="Calibri"/>
                <w:sz w:val="18"/>
                <w:szCs w:val="18"/>
              </w:rPr>
              <w:t>3</w:t>
            </w:r>
          </w:p>
        </w:tc>
        <w:tc>
          <w:tcPr>
            <w:tcW w:w="1525" w:type="dxa"/>
            <w:vAlign w:val="center"/>
          </w:tcPr>
          <w:p>
            <w:pPr>
              <w:spacing w:line="240" w:lineRule="auto"/>
              <w:ind w:firstLine="0" w:firstLineChars="0"/>
              <w:jc w:val="center"/>
              <w:rPr>
                <w:rFonts w:ascii="Calibri" w:hAnsi="Calibri"/>
                <w:sz w:val="18"/>
                <w:szCs w:val="18"/>
              </w:rPr>
            </w:pPr>
            <w:r>
              <w:rPr>
                <w:rFonts w:ascii="Calibri" w:hAnsi="Calibri"/>
                <w:sz w:val="18"/>
                <w:szCs w:val="18"/>
              </w:rPr>
              <w:t>7</w:t>
            </w:r>
          </w:p>
        </w:tc>
        <w:tc>
          <w:tcPr>
            <w:tcW w:w="1463" w:type="dxa"/>
            <w:vAlign w:val="center"/>
          </w:tcPr>
          <w:p>
            <w:pPr>
              <w:spacing w:line="240" w:lineRule="auto"/>
              <w:ind w:firstLine="0" w:firstLineChars="0"/>
              <w:jc w:val="center"/>
              <w:rPr>
                <w:rFonts w:ascii="Calibri" w:hAnsi="Calibri"/>
                <w:sz w:val="18"/>
                <w:szCs w:val="18"/>
              </w:rPr>
            </w:pPr>
            <w:r>
              <w:rPr>
                <w:rFonts w:ascii="Calibri" w:hAnsi="Calibri"/>
                <w:sz w:val="18"/>
                <w:szCs w:val="18"/>
              </w:rPr>
              <w:t>6</w:t>
            </w:r>
          </w:p>
        </w:tc>
        <w:tc>
          <w:tcPr>
            <w:tcW w:w="704" w:type="dxa"/>
            <w:vAlign w:val="center"/>
          </w:tcPr>
          <w:p>
            <w:pPr>
              <w:spacing w:line="240" w:lineRule="auto"/>
              <w:ind w:firstLine="0" w:firstLineChars="0"/>
              <w:jc w:val="center"/>
              <w:rPr>
                <w:rFonts w:ascii="Calibri" w:hAnsi="Calibri"/>
                <w:sz w:val="18"/>
                <w:szCs w:val="18"/>
              </w:rPr>
            </w:pPr>
            <w:r>
              <w:rPr>
                <w:rFonts w:ascii="Calibri" w:hAnsi="Calibri"/>
                <w:sz w:val="18"/>
                <w:szCs w:val="18"/>
              </w:rPr>
              <w:t>23</w:t>
            </w:r>
          </w:p>
        </w:tc>
      </w:tr>
    </w:tbl>
    <w:p>
      <w:pPr>
        <w:numPr>
          <w:ilvl w:val="255"/>
          <w:numId w:val="0"/>
        </w:numPr>
        <w:spacing w:before="97" w:beforeLines="30" w:line="240" w:lineRule="auto"/>
        <w:ind w:firstLine="480"/>
        <w:rPr>
          <w:rFonts w:ascii="Calibri" w:hAnsi="Calibri"/>
          <w:b/>
          <w:bCs/>
          <w:szCs w:val="22"/>
        </w:rPr>
      </w:pPr>
      <w:r>
        <w:rPr>
          <w:rFonts w:hint="eastAsia" w:ascii="Calibri" w:hAnsi="Calibri"/>
          <w:b/>
          <w:bCs/>
          <w:szCs w:val="22"/>
        </w:rPr>
        <w:t>（</w:t>
      </w:r>
      <w:r>
        <w:rPr>
          <w:rFonts w:ascii="Calibri" w:hAnsi="Calibri"/>
          <w:b/>
          <w:bCs/>
          <w:szCs w:val="22"/>
        </w:rPr>
        <w:t>1</w:t>
      </w:r>
      <w:r>
        <w:rPr>
          <w:rFonts w:hint="eastAsia" w:ascii="Calibri" w:hAnsi="Calibri"/>
          <w:b/>
          <w:bCs/>
          <w:szCs w:val="22"/>
        </w:rPr>
        <w:t>）百丈一漈——“雄伟壮观”</w:t>
      </w:r>
    </w:p>
    <w:p>
      <w:pPr>
        <w:spacing w:before="97" w:beforeLines="30"/>
        <w:ind w:firstLine="480"/>
        <w:rPr>
          <w:rFonts w:cs="宋体"/>
        </w:rPr>
      </w:pPr>
      <w:r>
        <w:rPr>
          <w:rFonts w:hint="eastAsia" w:cs="宋体"/>
        </w:rPr>
        <w:t>位于天顶湖之旁，垂直高</w:t>
      </w:r>
      <w:r>
        <w:rPr>
          <w:rFonts w:cs="宋体"/>
        </w:rPr>
        <w:t>207</w:t>
      </w:r>
      <w:r>
        <w:rPr>
          <w:rFonts w:hint="eastAsia" w:cs="宋体"/>
        </w:rPr>
        <w:t>米，宽</w:t>
      </w:r>
      <w:r>
        <w:rPr>
          <w:rFonts w:cs="宋体"/>
        </w:rPr>
        <w:t>60</w:t>
      </w:r>
      <w:r>
        <w:rPr>
          <w:rFonts w:hint="eastAsia" w:cs="宋体"/>
        </w:rPr>
        <w:t>余米，三面绝壁如削，中成深壑峡谷，瀑从百丈悬崖绝壁冲泻而下，飞珠溅玉，云雾迷漫，烟虹变幻，龙吟虎啸，震撼山谷，似万马奔腾，漈声雷震十里外，谓旷世奇观。</w:t>
      </w:r>
    </w:p>
    <w:p>
      <w:pPr>
        <w:spacing w:before="97" w:beforeLines="30"/>
        <w:ind w:firstLine="480"/>
        <w:rPr>
          <w:rFonts w:cs="宋体"/>
        </w:rPr>
      </w:pPr>
      <w:r>
        <w:rPr>
          <w:rFonts w:hint="eastAsia" w:cs="宋体"/>
        </w:rPr>
        <w:t>当年刘基到此观瀑谱写了“悬崖峭壁使人惊，百斛长空抛水晶，六月不辞飞霜雪，三冬更有怒雷鸣”的诗句。</w:t>
      </w:r>
      <w:r>
        <w:rPr>
          <w:rFonts w:cs="宋体"/>
        </w:rPr>
        <w:t>1935</w:t>
      </w:r>
      <w:r>
        <w:rPr>
          <w:rFonts w:hint="eastAsia" w:cs="宋体"/>
        </w:rPr>
        <w:t>年，杭州名士陈叔通（解放后曾任全国人大副委员长，政协副主席）一行七人，从天台山、雁荡山游览至百丈漈，叹为观止，谓远胜于雁荡龙湫。其中著名金石收藏家、西泠印社创史人之一丁铺之赋诗赞曰：“天台雁荡来，我性喜观瀑，对此百丈漈，余子皆碌碌”。</w:t>
      </w:r>
    </w:p>
    <w:p>
      <w:pPr>
        <w:numPr>
          <w:ilvl w:val="255"/>
          <w:numId w:val="0"/>
        </w:numPr>
        <w:spacing w:before="97" w:beforeLines="30" w:line="240" w:lineRule="atLeast"/>
        <w:ind w:left="482"/>
        <w:rPr>
          <w:rFonts w:ascii="Calibri" w:hAnsi="Calibri"/>
          <w:b/>
          <w:bCs/>
          <w:szCs w:val="22"/>
        </w:rPr>
      </w:pPr>
      <w:r>
        <w:rPr>
          <w:rFonts w:hint="eastAsia" w:ascii="Calibri" w:hAnsi="Calibri"/>
          <w:b/>
          <w:bCs/>
          <w:szCs w:val="22"/>
        </w:rPr>
        <w:t>（</w:t>
      </w:r>
      <w:r>
        <w:rPr>
          <w:rFonts w:ascii="Calibri" w:hAnsi="Calibri"/>
          <w:b/>
          <w:bCs/>
          <w:szCs w:val="22"/>
        </w:rPr>
        <w:t>2</w:t>
      </w:r>
      <w:r>
        <w:rPr>
          <w:rFonts w:hint="eastAsia" w:ascii="Calibri" w:hAnsi="Calibri"/>
          <w:b/>
          <w:bCs/>
          <w:szCs w:val="22"/>
        </w:rPr>
        <w:t>）三潭三瀑——“潭碧幽深”</w:t>
      </w:r>
    </w:p>
    <w:p>
      <w:pPr>
        <w:spacing w:before="97" w:beforeLines="30"/>
        <w:ind w:firstLine="480"/>
        <w:rPr>
          <w:rFonts w:ascii="Calibri" w:hAnsi="Calibri"/>
          <w:szCs w:val="22"/>
        </w:rPr>
      </w:pPr>
      <w:r>
        <w:rPr>
          <w:rFonts w:hint="eastAsia" w:ascii="Calibri" w:hAnsi="Calibri"/>
          <w:szCs w:val="22"/>
        </w:rPr>
        <w:t>朱阳九峰景区丛林茂密、溪水潺潺，三瀑三潭相接、层叠而下。一瀑高</w:t>
      </w:r>
      <w:r>
        <w:rPr>
          <w:rFonts w:ascii="Calibri" w:hAnsi="Calibri"/>
          <w:szCs w:val="22"/>
        </w:rPr>
        <w:t>60</w:t>
      </w:r>
      <w:r>
        <w:rPr>
          <w:rFonts w:hint="eastAsia" w:ascii="Calibri" w:hAnsi="Calibri"/>
          <w:szCs w:val="22"/>
        </w:rPr>
        <w:t>余米，水流壮观，内有奇异岩棚，可容数十人；二瀑高</w:t>
      </w:r>
      <w:r>
        <w:rPr>
          <w:rFonts w:ascii="Calibri" w:hAnsi="Calibri"/>
          <w:szCs w:val="22"/>
        </w:rPr>
        <w:t>30</w:t>
      </w:r>
      <w:r>
        <w:rPr>
          <w:rFonts w:hint="eastAsia" w:ascii="Calibri" w:hAnsi="Calibri"/>
          <w:szCs w:val="22"/>
        </w:rPr>
        <w:t>余米，瀑流曲折泻下；三瀑高</w:t>
      </w:r>
      <w:r>
        <w:rPr>
          <w:rFonts w:ascii="Calibri" w:hAnsi="Calibri"/>
          <w:szCs w:val="22"/>
        </w:rPr>
        <w:t>40</w:t>
      </w:r>
      <w:r>
        <w:rPr>
          <w:rFonts w:hint="eastAsia" w:ascii="Calibri" w:hAnsi="Calibri"/>
          <w:szCs w:val="22"/>
        </w:rPr>
        <w:t>余米，潭奇水秀。三瀑相接，互为映衬，互为依仗。冬季时，飞瀑冰封，成片的球状、柱状的“冰”垂挂在山体上，像一条白色的绸带依附在山涧，奇特壮观。</w:t>
      </w:r>
    </w:p>
    <w:p>
      <w:pPr>
        <w:spacing w:before="97" w:beforeLines="30"/>
        <w:ind w:firstLine="480"/>
        <w:rPr>
          <w:rFonts w:ascii="Calibri" w:hAnsi="Calibri"/>
          <w:szCs w:val="22"/>
        </w:rPr>
      </w:pPr>
      <w:r>
        <w:rPr>
          <w:rFonts w:hint="eastAsia" w:ascii="Calibri" w:hAnsi="Calibri"/>
          <w:szCs w:val="22"/>
        </w:rPr>
        <w:t>各色瀑布的游赏方式可结合各自特征展开，具体包括游赏观光型和探险感知型两类。</w:t>
      </w:r>
    </w:p>
    <w:p>
      <w:pPr>
        <w:spacing w:before="97" w:beforeLines="30"/>
        <w:ind w:firstLine="0" w:firstLineChars="0"/>
        <w:jc w:val="center"/>
        <w:rPr>
          <w:rFonts w:ascii="Calibri" w:hAnsi="Calibri"/>
          <w:b/>
          <w:sz w:val="21"/>
          <w:szCs w:val="21"/>
        </w:rPr>
      </w:pPr>
      <w:r>
        <w:rPr>
          <w:rFonts w:hint="eastAsia" w:ascii="Calibri" w:hAnsi="Calibri"/>
          <w:b/>
          <w:sz w:val="21"/>
          <w:szCs w:val="21"/>
        </w:rPr>
        <w:t>表</w:t>
      </w:r>
      <w:r>
        <w:rPr>
          <w:rFonts w:ascii="Calibri" w:hAnsi="Calibri"/>
          <w:b/>
          <w:sz w:val="21"/>
          <w:szCs w:val="21"/>
        </w:rPr>
        <w:t xml:space="preserve">3-3 </w:t>
      </w:r>
      <w:r>
        <w:rPr>
          <w:rFonts w:hint="eastAsia" w:ascii="Calibri" w:hAnsi="Calibri"/>
          <w:b/>
          <w:sz w:val="21"/>
          <w:szCs w:val="21"/>
        </w:rPr>
        <w:t>瀑布游赏方式建设一览表</w:t>
      </w:r>
    </w:p>
    <w:tbl>
      <w:tblPr>
        <w:tblStyle w:val="220"/>
        <w:tblW w:w="8648"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168"/>
        <w:gridCol w:w="2268"/>
        <w:gridCol w:w="1514"/>
        <w:gridCol w:w="2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shd w:val="pct10" w:color="auto" w:fill="auto"/>
            <w:vAlign w:val="center"/>
          </w:tcPr>
          <w:p>
            <w:pPr>
              <w:spacing w:before="0" w:beforeLines="-2147483648" w:line="240" w:lineRule="auto"/>
              <w:ind w:firstLine="0" w:firstLineChars="0"/>
              <w:jc w:val="center"/>
              <w:rPr>
                <w:rFonts w:ascii="Calibri" w:hAnsi="Calibri"/>
                <w:b/>
                <w:sz w:val="18"/>
                <w:szCs w:val="18"/>
              </w:rPr>
            </w:pPr>
            <w:r>
              <w:rPr>
                <w:rFonts w:hint="eastAsia" w:ascii="Calibri" w:hAnsi="Calibri"/>
                <w:b/>
                <w:sz w:val="18"/>
                <w:szCs w:val="18"/>
              </w:rPr>
              <w:t>游赏方式</w:t>
            </w:r>
          </w:p>
        </w:tc>
        <w:tc>
          <w:tcPr>
            <w:tcW w:w="1168" w:type="dxa"/>
            <w:shd w:val="pct10" w:color="auto" w:fill="auto"/>
            <w:vAlign w:val="center"/>
          </w:tcPr>
          <w:p>
            <w:pPr>
              <w:spacing w:before="0" w:beforeLines="-2147483648" w:line="240" w:lineRule="auto"/>
              <w:ind w:firstLine="0" w:firstLineChars="0"/>
              <w:jc w:val="center"/>
              <w:rPr>
                <w:rFonts w:ascii="Calibri" w:hAnsi="Calibri"/>
                <w:b/>
                <w:sz w:val="18"/>
                <w:szCs w:val="18"/>
              </w:rPr>
            </w:pPr>
            <w:r>
              <w:rPr>
                <w:rFonts w:hint="eastAsia" w:ascii="Calibri" w:hAnsi="Calibri"/>
                <w:b/>
                <w:sz w:val="18"/>
                <w:szCs w:val="18"/>
              </w:rPr>
              <w:t>体验内容</w:t>
            </w:r>
          </w:p>
        </w:tc>
        <w:tc>
          <w:tcPr>
            <w:tcW w:w="2268" w:type="dxa"/>
            <w:shd w:val="pct10" w:color="auto" w:fill="auto"/>
            <w:vAlign w:val="center"/>
          </w:tcPr>
          <w:p>
            <w:pPr>
              <w:spacing w:before="0" w:beforeLines="-2147483648" w:line="240" w:lineRule="auto"/>
              <w:ind w:firstLine="0" w:firstLineChars="0"/>
              <w:jc w:val="center"/>
              <w:rPr>
                <w:rFonts w:ascii="Calibri" w:hAnsi="Calibri"/>
                <w:b/>
                <w:sz w:val="18"/>
                <w:szCs w:val="18"/>
              </w:rPr>
            </w:pPr>
            <w:r>
              <w:rPr>
                <w:rFonts w:hint="eastAsia" w:ascii="Calibri" w:hAnsi="Calibri"/>
                <w:b/>
                <w:sz w:val="18"/>
                <w:szCs w:val="18"/>
              </w:rPr>
              <w:t>建设重点</w:t>
            </w:r>
          </w:p>
        </w:tc>
        <w:tc>
          <w:tcPr>
            <w:tcW w:w="1514" w:type="dxa"/>
            <w:shd w:val="pct10" w:color="auto" w:fill="auto"/>
            <w:vAlign w:val="center"/>
          </w:tcPr>
          <w:p>
            <w:pPr>
              <w:spacing w:before="0" w:beforeLines="-2147483648" w:line="240" w:lineRule="auto"/>
              <w:ind w:firstLine="0" w:firstLineChars="0"/>
              <w:jc w:val="center"/>
              <w:rPr>
                <w:rFonts w:ascii="Calibri" w:hAnsi="Calibri"/>
                <w:b/>
                <w:sz w:val="18"/>
                <w:szCs w:val="18"/>
              </w:rPr>
            </w:pPr>
            <w:r>
              <w:rPr>
                <w:rFonts w:hint="eastAsia" w:ascii="Calibri" w:hAnsi="Calibri"/>
                <w:b/>
                <w:sz w:val="18"/>
                <w:szCs w:val="18"/>
              </w:rPr>
              <w:t>景区</w:t>
            </w:r>
          </w:p>
        </w:tc>
        <w:tc>
          <w:tcPr>
            <w:tcW w:w="2739" w:type="dxa"/>
            <w:shd w:val="pct10" w:color="auto" w:fill="auto"/>
            <w:vAlign w:val="center"/>
          </w:tcPr>
          <w:p>
            <w:pPr>
              <w:spacing w:before="0" w:beforeLines="-2147483648" w:line="240" w:lineRule="auto"/>
              <w:ind w:firstLine="0" w:firstLineChars="0"/>
              <w:jc w:val="center"/>
              <w:rPr>
                <w:rFonts w:ascii="Calibri" w:hAnsi="Calibri"/>
                <w:b/>
                <w:sz w:val="18"/>
                <w:szCs w:val="18"/>
              </w:rPr>
            </w:pPr>
            <w:r>
              <w:rPr>
                <w:rFonts w:hint="eastAsia" w:ascii="Calibri" w:hAnsi="Calibri"/>
                <w:b/>
                <w:sz w:val="18"/>
                <w:szCs w:val="18"/>
              </w:rPr>
              <w:t>瀑布名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trPr>
        <w:tc>
          <w:tcPr>
            <w:tcW w:w="959" w:type="dxa"/>
            <w:vMerge w:val="restart"/>
            <w:vAlign w:val="center"/>
          </w:tcPr>
          <w:p>
            <w:pPr>
              <w:spacing w:before="0" w:beforeLines="-2147483648" w:line="240" w:lineRule="auto"/>
              <w:ind w:firstLine="0" w:firstLineChars="0"/>
              <w:jc w:val="left"/>
              <w:rPr>
                <w:rFonts w:ascii="Calibri" w:hAnsi="Calibri"/>
                <w:sz w:val="18"/>
                <w:szCs w:val="18"/>
              </w:rPr>
            </w:pPr>
            <w:r>
              <w:rPr>
                <w:rFonts w:hint="eastAsia" w:ascii="Calibri" w:hAnsi="Calibri"/>
                <w:sz w:val="18"/>
                <w:szCs w:val="18"/>
              </w:rPr>
              <w:t>游赏观光型</w:t>
            </w:r>
          </w:p>
        </w:tc>
        <w:tc>
          <w:tcPr>
            <w:tcW w:w="1168" w:type="dxa"/>
            <w:vMerge w:val="restart"/>
            <w:vAlign w:val="center"/>
          </w:tcPr>
          <w:p>
            <w:pPr>
              <w:spacing w:before="0" w:beforeLines="-2147483648" w:line="240" w:lineRule="auto"/>
              <w:ind w:firstLine="0" w:firstLineChars="0"/>
              <w:jc w:val="left"/>
              <w:rPr>
                <w:rFonts w:ascii="Calibri" w:hAnsi="Calibri"/>
                <w:sz w:val="18"/>
                <w:szCs w:val="18"/>
              </w:rPr>
            </w:pPr>
            <w:r>
              <w:rPr>
                <w:rFonts w:hint="eastAsia" w:ascii="Calibri" w:hAnsi="Calibri"/>
                <w:sz w:val="18"/>
                <w:szCs w:val="18"/>
              </w:rPr>
              <w:t>以观光为主</w:t>
            </w:r>
          </w:p>
        </w:tc>
        <w:tc>
          <w:tcPr>
            <w:tcW w:w="2268" w:type="dxa"/>
            <w:vMerge w:val="restart"/>
            <w:vAlign w:val="center"/>
          </w:tcPr>
          <w:p>
            <w:pPr>
              <w:spacing w:before="0" w:beforeLines="-2147483648" w:line="240" w:lineRule="auto"/>
              <w:ind w:firstLine="0" w:firstLineChars="0"/>
              <w:jc w:val="left"/>
              <w:rPr>
                <w:rFonts w:ascii="Calibri" w:hAnsi="Calibri"/>
                <w:sz w:val="18"/>
                <w:szCs w:val="18"/>
              </w:rPr>
            </w:pPr>
            <w:r>
              <w:rPr>
                <w:rFonts w:hint="eastAsia" w:ascii="Calibri" w:hAnsi="Calibri"/>
                <w:sz w:val="18"/>
                <w:szCs w:val="18"/>
              </w:rPr>
              <w:t>提升观赏游览体验，完善观景体系及游赏线路配套的观景设施</w:t>
            </w:r>
          </w:p>
        </w:tc>
        <w:tc>
          <w:tcPr>
            <w:tcW w:w="1514" w:type="dxa"/>
            <w:vAlign w:val="center"/>
          </w:tcPr>
          <w:p>
            <w:pPr>
              <w:spacing w:before="0" w:beforeLines="-2147483648" w:line="240" w:lineRule="auto"/>
              <w:ind w:firstLine="0" w:firstLineChars="0"/>
              <w:jc w:val="center"/>
              <w:rPr>
                <w:rFonts w:ascii="Calibri" w:hAnsi="Calibri"/>
                <w:sz w:val="18"/>
                <w:szCs w:val="18"/>
              </w:rPr>
            </w:pPr>
            <w:r>
              <w:rPr>
                <w:rFonts w:hint="eastAsia" w:ascii="Calibri" w:hAnsi="Calibri"/>
                <w:sz w:val="18"/>
                <w:szCs w:val="18"/>
              </w:rPr>
              <w:t>百丈飞瀑景区</w:t>
            </w:r>
          </w:p>
        </w:tc>
        <w:tc>
          <w:tcPr>
            <w:tcW w:w="2739" w:type="dxa"/>
            <w:vAlign w:val="center"/>
          </w:tcPr>
          <w:p>
            <w:pPr>
              <w:spacing w:before="0" w:beforeLines="-2147483648" w:line="240" w:lineRule="atLeast"/>
              <w:ind w:firstLine="0" w:firstLineChars="0"/>
              <w:jc w:val="left"/>
              <w:rPr>
                <w:rFonts w:ascii="Calibri" w:hAnsi="Calibri"/>
                <w:sz w:val="18"/>
                <w:szCs w:val="18"/>
              </w:rPr>
            </w:pPr>
            <w:r>
              <w:rPr>
                <w:rFonts w:hint="eastAsia" w:ascii="Calibri" w:hAnsi="Calibri"/>
                <w:sz w:val="18"/>
                <w:szCs w:val="18"/>
              </w:rPr>
              <w:t>一漈、二漈、三漈、西天屏、三叠瀑、阴阳瀑、天际瀑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959" w:type="dxa"/>
            <w:vMerge w:val="continue"/>
            <w:vAlign w:val="center"/>
          </w:tcPr>
          <w:p>
            <w:pPr>
              <w:spacing w:before="0" w:beforeLines="-2147483648" w:line="240" w:lineRule="auto"/>
              <w:ind w:firstLine="0" w:firstLineChars="0"/>
              <w:jc w:val="left"/>
              <w:rPr>
                <w:rFonts w:ascii="Calibri" w:hAnsi="Calibri"/>
                <w:sz w:val="18"/>
                <w:szCs w:val="18"/>
              </w:rPr>
            </w:pPr>
          </w:p>
        </w:tc>
        <w:tc>
          <w:tcPr>
            <w:tcW w:w="1168" w:type="dxa"/>
            <w:vMerge w:val="continue"/>
            <w:vAlign w:val="center"/>
          </w:tcPr>
          <w:p>
            <w:pPr>
              <w:spacing w:before="0" w:beforeLines="-2147483648" w:line="240" w:lineRule="auto"/>
              <w:ind w:firstLine="0" w:firstLineChars="0"/>
              <w:jc w:val="left"/>
              <w:rPr>
                <w:rFonts w:ascii="Calibri" w:hAnsi="Calibri"/>
                <w:sz w:val="18"/>
                <w:szCs w:val="18"/>
              </w:rPr>
            </w:pPr>
          </w:p>
        </w:tc>
        <w:tc>
          <w:tcPr>
            <w:tcW w:w="2268" w:type="dxa"/>
            <w:vMerge w:val="continue"/>
            <w:vAlign w:val="center"/>
          </w:tcPr>
          <w:p>
            <w:pPr>
              <w:spacing w:before="0" w:beforeLines="-2147483648" w:line="240" w:lineRule="auto"/>
              <w:ind w:firstLine="0" w:firstLineChars="0"/>
              <w:jc w:val="left"/>
              <w:rPr>
                <w:rFonts w:ascii="Calibri" w:hAnsi="Calibri"/>
                <w:sz w:val="18"/>
                <w:szCs w:val="18"/>
              </w:rPr>
            </w:pPr>
          </w:p>
        </w:tc>
        <w:tc>
          <w:tcPr>
            <w:tcW w:w="1514" w:type="dxa"/>
            <w:vAlign w:val="center"/>
          </w:tcPr>
          <w:p>
            <w:pPr>
              <w:spacing w:before="0" w:beforeLines="-2147483648" w:line="240" w:lineRule="auto"/>
              <w:ind w:firstLine="0" w:firstLineChars="0"/>
              <w:jc w:val="center"/>
              <w:rPr>
                <w:rFonts w:ascii="Calibri" w:hAnsi="Calibri"/>
                <w:sz w:val="18"/>
                <w:szCs w:val="18"/>
              </w:rPr>
            </w:pPr>
            <w:r>
              <w:rPr>
                <w:rFonts w:hint="eastAsia" w:ascii="Calibri" w:hAnsi="Calibri"/>
                <w:sz w:val="18"/>
                <w:szCs w:val="18"/>
              </w:rPr>
              <w:t>石垟景区</w:t>
            </w:r>
          </w:p>
        </w:tc>
        <w:tc>
          <w:tcPr>
            <w:tcW w:w="2739" w:type="dxa"/>
            <w:vAlign w:val="center"/>
          </w:tcPr>
          <w:p>
            <w:pPr>
              <w:spacing w:before="0" w:beforeLines="-2147483648" w:line="240" w:lineRule="atLeast"/>
              <w:ind w:firstLine="0" w:firstLineChars="0"/>
              <w:jc w:val="left"/>
              <w:rPr>
                <w:rFonts w:ascii="Calibri" w:hAnsi="Calibri"/>
                <w:sz w:val="18"/>
                <w:szCs w:val="18"/>
              </w:rPr>
            </w:pPr>
            <w:r>
              <w:rPr>
                <w:rFonts w:hint="eastAsia" w:ascii="Calibri" w:hAnsi="Calibri"/>
                <w:sz w:val="18"/>
                <w:szCs w:val="18"/>
              </w:rPr>
              <w:t>龙凤瀑、青龙吐珠、烟雨瀑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959" w:type="dxa"/>
            <w:vMerge w:val="restart"/>
            <w:vAlign w:val="center"/>
          </w:tcPr>
          <w:p>
            <w:pPr>
              <w:spacing w:before="0" w:beforeLines="-2147483648" w:line="240" w:lineRule="auto"/>
              <w:ind w:firstLine="0" w:firstLineChars="0"/>
              <w:jc w:val="left"/>
              <w:rPr>
                <w:rFonts w:ascii="Calibri" w:hAnsi="Calibri"/>
                <w:sz w:val="18"/>
                <w:szCs w:val="18"/>
              </w:rPr>
            </w:pPr>
            <w:r>
              <w:rPr>
                <w:rFonts w:hint="eastAsia" w:ascii="Calibri" w:hAnsi="Calibri"/>
                <w:sz w:val="18"/>
                <w:szCs w:val="18"/>
              </w:rPr>
              <w:t>探险感知型</w:t>
            </w:r>
          </w:p>
        </w:tc>
        <w:tc>
          <w:tcPr>
            <w:tcW w:w="1168" w:type="dxa"/>
            <w:vMerge w:val="restart"/>
            <w:vAlign w:val="center"/>
          </w:tcPr>
          <w:p>
            <w:pPr>
              <w:spacing w:before="0" w:beforeLines="-2147483648" w:line="240" w:lineRule="auto"/>
              <w:ind w:firstLine="0" w:firstLineChars="0"/>
              <w:jc w:val="left"/>
              <w:rPr>
                <w:rFonts w:ascii="Calibri" w:hAnsi="Calibri"/>
                <w:sz w:val="18"/>
                <w:szCs w:val="18"/>
              </w:rPr>
            </w:pPr>
            <w:r>
              <w:rPr>
                <w:rFonts w:hint="eastAsia" w:ascii="Calibri" w:hAnsi="Calibri"/>
                <w:sz w:val="18"/>
                <w:szCs w:val="18"/>
              </w:rPr>
              <w:t>以探险越野、生态感知为主</w:t>
            </w:r>
          </w:p>
        </w:tc>
        <w:tc>
          <w:tcPr>
            <w:tcW w:w="2268" w:type="dxa"/>
            <w:vMerge w:val="restart"/>
            <w:vAlign w:val="center"/>
          </w:tcPr>
          <w:p>
            <w:pPr>
              <w:spacing w:before="0" w:beforeLines="-2147483648" w:line="240" w:lineRule="auto"/>
              <w:ind w:firstLine="0" w:firstLineChars="0"/>
              <w:jc w:val="left"/>
              <w:rPr>
                <w:rFonts w:ascii="Calibri" w:hAnsi="Calibri"/>
                <w:sz w:val="18"/>
                <w:szCs w:val="18"/>
              </w:rPr>
            </w:pPr>
            <w:r>
              <w:rPr>
                <w:rFonts w:hint="eastAsia" w:ascii="Calibri" w:hAnsi="Calibri"/>
                <w:sz w:val="18"/>
                <w:szCs w:val="18"/>
              </w:rPr>
              <w:t>具有层阶多、落差大，陡峭绵长的特点，适合开展徒步探险活动，建议加强瀑布周边徒步线路的组织和串联，使线路具有求知性、探险性和不可预见性，同时注意设置观景点</w:t>
            </w:r>
          </w:p>
        </w:tc>
        <w:tc>
          <w:tcPr>
            <w:tcW w:w="1514" w:type="dxa"/>
            <w:vAlign w:val="center"/>
          </w:tcPr>
          <w:p>
            <w:pPr>
              <w:spacing w:before="0" w:beforeLines="-2147483648" w:line="240" w:lineRule="auto"/>
              <w:ind w:firstLine="0" w:firstLineChars="0"/>
              <w:jc w:val="center"/>
              <w:rPr>
                <w:rFonts w:ascii="Calibri" w:hAnsi="Calibri"/>
                <w:sz w:val="18"/>
                <w:szCs w:val="18"/>
              </w:rPr>
            </w:pPr>
            <w:r>
              <w:rPr>
                <w:rFonts w:hint="eastAsia" w:ascii="Calibri" w:hAnsi="Calibri"/>
                <w:sz w:val="18"/>
                <w:szCs w:val="18"/>
              </w:rPr>
              <w:t>朱阳九峰景区</w:t>
            </w:r>
          </w:p>
        </w:tc>
        <w:tc>
          <w:tcPr>
            <w:tcW w:w="2739" w:type="dxa"/>
            <w:vAlign w:val="center"/>
          </w:tcPr>
          <w:p>
            <w:pPr>
              <w:spacing w:before="0" w:beforeLines="-2147483648" w:line="240" w:lineRule="atLeast"/>
              <w:ind w:firstLine="0" w:firstLineChars="0"/>
              <w:jc w:val="left"/>
              <w:rPr>
                <w:rFonts w:ascii="Calibri" w:hAnsi="Calibri"/>
                <w:sz w:val="18"/>
                <w:szCs w:val="18"/>
              </w:rPr>
            </w:pPr>
            <w:r>
              <w:rPr>
                <w:rFonts w:hint="eastAsia" w:ascii="Calibri" w:hAnsi="Calibri"/>
                <w:sz w:val="18"/>
                <w:szCs w:val="18"/>
              </w:rPr>
              <w:t>百折瀑、三潭三瀑、龙瀑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trPr>
        <w:tc>
          <w:tcPr>
            <w:tcW w:w="959" w:type="dxa"/>
            <w:vMerge w:val="continue"/>
            <w:vAlign w:val="center"/>
          </w:tcPr>
          <w:p>
            <w:pPr>
              <w:spacing w:before="0" w:beforeLines="-2147483648" w:line="240" w:lineRule="auto"/>
              <w:ind w:firstLine="0" w:firstLineChars="0"/>
              <w:jc w:val="left"/>
              <w:rPr>
                <w:rFonts w:ascii="Calibri" w:hAnsi="Calibri"/>
                <w:sz w:val="18"/>
                <w:szCs w:val="18"/>
              </w:rPr>
            </w:pPr>
          </w:p>
        </w:tc>
        <w:tc>
          <w:tcPr>
            <w:tcW w:w="1168" w:type="dxa"/>
            <w:vMerge w:val="continue"/>
            <w:vAlign w:val="center"/>
          </w:tcPr>
          <w:p>
            <w:pPr>
              <w:spacing w:before="0" w:beforeLines="-2147483648" w:line="240" w:lineRule="auto"/>
              <w:ind w:firstLine="0" w:firstLineChars="0"/>
              <w:jc w:val="left"/>
              <w:rPr>
                <w:rFonts w:ascii="Calibri" w:hAnsi="Calibri"/>
                <w:sz w:val="18"/>
                <w:szCs w:val="18"/>
              </w:rPr>
            </w:pPr>
          </w:p>
        </w:tc>
        <w:tc>
          <w:tcPr>
            <w:tcW w:w="2268" w:type="dxa"/>
            <w:vMerge w:val="continue"/>
            <w:vAlign w:val="center"/>
          </w:tcPr>
          <w:p>
            <w:pPr>
              <w:spacing w:before="0" w:beforeLines="-2147483648" w:line="240" w:lineRule="auto"/>
              <w:ind w:firstLine="0" w:firstLineChars="0"/>
              <w:jc w:val="left"/>
              <w:rPr>
                <w:rFonts w:ascii="Calibri" w:hAnsi="Calibri"/>
                <w:sz w:val="18"/>
                <w:szCs w:val="18"/>
              </w:rPr>
            </w:pPr>
          </w:p>
        </w:tc>
        <w:tc>
          <w:tcPr>
            <w:tcW w:w="1514" w:type="dxa"/>
            <w:vAlign w:val="center"/>
          </w:tcPr>
          <w:p>
            <w:pPr>
              <w:spacing w:before="0" w:beforeLines="-2147483648" w:line="240" w:lineRule="auto"/>
              <w:ind w:firstLine="0" w:firstLineChars="0"/>
              <w:jc w:val="center"/>
              <w:rPr>
                <w:rFonts w:ascii="Calibri" w:hAnsi="Calibri"/>
                <w:sz w:val="18"/>
                <w:szCs w:val="18"/>
              </w:rPr>
            </w:pPr>
            <w:r>
              <w:rPr>
                <w:rFonts w:hint="eastAsia" w:ascii="Calibri" w:hAnsi="Calibri"/>
                <w:sz w:val="18"/>
                <w:szCs w:val="18"/>
              </w:rPr>
              <w:t>飞云湖景区</w:t>
            </w:r>
          </w:p>
        </w:tc>
        <w:tc>
          <w:tcPr>
            <w:tcW w:w="2739" w:type="dxa"/>
            <w:vAlign w:val="center"/>
          </w:tcPr>
          <w:p>
            <w:pPr>
              <w:spacing w:before="0" w:beforeLines="-2147483648" w:line="240" w:lineRule="atLeast"/>
              <w:ind w:firstLine="0" w:firstLineChars="0"/>
              <w:jc w:val="left"/>
              <w:rPr>
                <w:rFonts w:ascii="Calibri" w:hAnsi="Calibri"/>
                <w:sz w:val="18"/>
                <w:szCs w:val="18"/>
              </w:rPr>
            </w:pPr>
            <w:r>
              <w:rPr>
                <w:rFonts w:hint="eastAsia" w:ascii="Calibri" w:hAnsi="Calibri"/>
                <w:sz w:val="18"/>
                <w:szCs w:val="18"/>
              </w:rPr>
              <w:t>龙井、双龙瀑、临湖瀑、金龙叠瀑、仙叠瀑、擎天瀑、银龙瀑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trPr>
        <w:tc>
          <w:tcPr>
            <w:tcW w:w="959" w:type="dxa"/>
            <w:vMerge w:val="continue"/>
            <w:vAlign w:val="center"/>
          </w:tcPr>
          <w:p>
            <w:pPr>
              <w:spacing w:before="0" w:beforeLines="-2147483648" w:line="240" w:lineRule="auto"/>
              <w:ind w:firstLine="0" w:firstLineChars="0"/>
              <w:jc w:val="left"/>
              <w:rPr>
                <w:rFonts w:ascii="Calibri" w:hAnsi="Calibri"/>
                <w:sz w:val="18"/>
                <w:szCs w:val="18"/>
              </w:rPr>
            </w:pPr>
          </w:p>
        </w:tc>
        <w:tc>
          <w:tcPr>
            <w:tcW w:w="1168" w:type="dxa"/>
            <w:vMerge w:val="continue"/>
            <w:vAlign w:val="center"/>
          </w:tcPr>
          <w:p>
            <w:pPr>
              <w:spacing w:before="0" w:beforeLines="-2147483648" w:line="240" w:lineRule="auto"/>
              <w:ind w:firstLine="0" w:firstLineChars="0"/>
              <w:jc w:val="left"/>
              <w:rPr>
                <w:rFonts w:ascii="Calibri" w:hAnsi="Calibri"/>
                <w:sz w:val="18"/>
                <w:szCs w:val="18"/>
              </w:rPr>
            </w:pPr>
          </w:p>
        </w:tc>
        <w:tc>
          <w:tcPr>
            <w:tcW w:w="2268" w:type="dxa"/>
            <w:vMerge w:val="continue"/>
            <w:vAlign w:val="center"/>
          </w:tcPr>
          <w:p>
            <w:pPr>
              <w:spacing w:before="0" w:beforeLines="-2147483648" w:line="240" w:lineRule="auto"/>
              <w:ind w:firstLine="0" w:firstLineChars="0"/>
              <w:jc w:val="left"/>
              <w:rPr>
                <w:rFonts w:ascii="Calibri" w:hAnsi="Calibri"/>
                <w:sz w:val="18"/>
                <w:szCs w:val="18"/>
              </w:rPr>
            </w:pPr>
          </w:p>
        </w:tc>
        <w:tc>
          <w:tcPr>
            <w:tcW w:w="1514" w:type="dxa"/>
            <w:vAlign w:val="center"/>
          </w:tcPr>
          <w:p>
            <w:pPr>
              <w:spacing w:before="0" w:beforeLines="-2147483648" w:line="240" w:lineRule="auto"/>
              <w:ind w:firstLine="0" w:firstLineChars="0"/>
              <w:jc w:val="center"/>
              <w:rPr>
                <w:rFonts w:ascii="Calibri" w:hAnsi="Calibri"/>
                <w:sz w:val="18"/>
                <w:szCs w:val="18"/>
              </w:rPr>
            </w:pPr>
            <w:r>
              <w:rPr>
                <w:rFonts w:hint="eastAsia" w:ascii="Calibri" w:hAnsi="Calibri"/>
                <w:sz w:val="18"/>
                <w:szCs w:val="18"/>
              </w:rPr>
              <w:t>牛栏湾景区</w:t>
            </w:r>
          </w:p>
        </w:tc>
        <w:tc>
          <w:tcPr>
            <w:tcW w:w="2739" w:type="dxa"/>
            <w:vAlign w:val="center"/>
          </w:tcPr>
          <w:p>
            <w:pPr>
              <w:spacing w:before="0" w:beforeLines="-2147483648" w:line="240" w:lineRule="atLeast"/>
              <w:ind w:firstLine="0" w:firstLineChars="0"/>
              <w:jc w:val="left"/>
              <w:rPr>
                <w:rFonts w:ascii="Calibri" w:hAnsi="Calibri"/>
                <w:sz w:val="18"/>
                <w:szCs w:val="18"/>
              </w:rPr>
            </w:pPr>
            <w:r>
              <w:rPr>
                <w:rFonts w:hint="eastAsia" w:ascii="Calibri" w:hAnsi="Calibri"/>
                <w:sz w:val="18"/>
                <w:szCs w:val="18"/>
              </w:rPr>
              <w:t>七瀑东飞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1" w:hRule="atLeast"/>
        </w:trPr>
        <w:tc>
          <w:tcPr>
            <w:tcW w:w="959" w:type="dxa"/>
            <w:vMerge w:val="continue"/>
            <w:vAlign w:val="center"/>
          </w:tcPr>
          <w:p>
            <w:pPr>
              <w:spacing w:before="0" w:beforeLines="-2147483648" w:line="240" w:lineRule="auto"/>
              <w:ind w:firstLine="0" w:firstLineChars="0"/>
              <w:jc w:val="left"/>
              <w:rPr>
                <w:rFonts w:ascii="Calibri" w:hAnsi="Calibri"/>
                <w:sz w:val="18"/>
                <w:szCs w:val="18"/>
              </w:rPr>
            </w:pPr>
          </w:p>
        </w:tc>
        <w:tc>
          <w:tcPr>
            <w:tcW w:w="1168" w:type="dxa"/>
            <w:vMerge w:val="continue"/>
            <w:vAlign w:val="center"/>
          </w:tcPr>
          <w:p>
            <w:pPr>
              <w:spacing w:before="0" w:beforeLines="-2147483648" w:line="240" w:lineRule="auto"/>
              <w:ind w:firstLine="0" w:firstLineChars="0"/>
              <w:jc w:val="left"/>
              <w:rPr>
                <w:rFonts w:ascii="Calibri" w:hAnsi="Calibri"/>
                <w:sz w:val="18"/>
                <w:szCs w:val="18"/>
              </w:rPr>
            </w:pPr>
          </w:p>
        </w:tc>
        <w:tc>
          <w:tcPr>
            <w:tcW w:w="2268" w:type="dxa"/>
            <w:vMerge w:val="continue"/>
            <w:vAlign w:val="center"/>
          </w:tcPr>
          <w:p>
            <w:pPr>
              <w:spacing w:before="0" w:beforeLines="-2147483648" w:line="240" w:lineRule="auto"/>
              <w:ind w:firstLine="0" w:firstLineChars="0"/>
              <w:jc w:val="left"/>
              <w:rPr>
                <w:rFonts w:ascii="Calibri" w:hAnsi="Calibri"/>
                <w:sz w:val="18"/>
                <w:szCs w:val="18"/>
              </w:rPr>
            </w:pPr>
          </w:p>
        </w:tc>
        <w:tc>
          <w:tcPr>
            <w:tcW w:w="1514" w:type="dxa"/>
            <w:vAlign w:val="center"/>
          </w:tcPr>
          <w:p>
            <w:pPr>
              <w:spacing w:before="0" w:beforeLines="-2147483648" w:line="240" w:lineRule="auto"/>
              <w:ind w:firstLine="0" w:firstLineChars="0"/>
              <w:jc w:val="center"/>
              <w:rPr>
                <w:rFonts w:ascii="Calibri" w:hAnsi="Calibri"/>
                <w:sz w:val="18"/>
                <w:szCs w:val="18"/>
              </w:rPr>
            </w:pPr>
            <w:r>
              <w:rPr>
                <w:rFonts w:hint="eastAsia" w:ascii="Calibri" w:hAnsi="Calibri"/>
                <w:sz w:val="18"/>
                <w:szCs w:val="18"/>
              </w:rPr>
              <w:t>岩门大峡谷景区</w:t>
            </w:r>
          </w:p>
        </w:tc>
        <w:tc>
          <w:tcPr>
            <w:tcW w:w="2739" w:type="dxa"/>
            <w:vAlign w:val="center"/>
          </w:tcPr>
          <w:p>
            <w:pPr>
              <w:spacing w:before="0" w:beforeLines="-2147483648" w:line="240" w:lineRule="atLeast"/>
              <w:ind w:firstLine="0" w:firstLineChars="0"/>
              <w:jc w:val="left"/>
              <w:rPr>
                <w:rFonts w:ascii="Calibri" w:hAnsi="Calibri"/>
                <w:sz w:val="18"/>
                <w:szCs w:val="18"/>
              </w:rPr>
            </w:pPr>
            <w:r>
              <w:rPr>
                <w:rFonts w:hint="eastAsia" w:ascii="Calibri" w:hAnsi="Calibri"/>
                <w:sz w:val="18"/>
                <w:szCs w:val="18"/>
              </w:rPr>
              <w:t>三重漈</w:t>
            </w:r>
          </w:p>
        </w:tc>
      </w:tr>
    </w:tbl>
    <w:p>
      <w:pPr>
        <w:spacing w:before="163" w:beforeLines="50" w:line="520" w:lineRule="exact"/>
        <w:ind w:firstLine="482"/>
        <w:rPr>
          <w:rFonts w:asciiTheme="minorEastAsia" w:hAnsiTheme="minorEastAsia" w:eastAsiaTheme="minorEastAsia"/>
          <w:b/>
          <w:szCs w:val="22"/>
        </w:rPr>
      </w:pPr>
      <w:r>
        <w:rPr>
          <w:rFonts w:asciiTheme="minorEastAsia" w:hAnsiTheme="minorEastAsia" w:eastAsiaTheme="minorEastAsia"/>
          <w:b/>
          <w:szCs w:val="22"/>
        </w:rPr>
        <w:t>2、“云湖碧波”景观</w:t>
      </w:r>
    </w:p>
    <w:p>
      <w:pPr>
        <w:spacing w:before="97" w:beforeLines="30"/>
        <w:ind w:firstLine="480"/>
        <w:rPr>
          <w:rFonts w:ascii="Calibri" w:hAnsi="Calibri"/>
          <w:szCs w:val="22"/>
        </w:rPr>
      </w:pPr>
      <w:r>
        <w:rPr>
          <w:rFonts w:hint="eastAsia" w:ascii="Calibri" w:hAnsi="Calibri"/>
          <w:szCs w:val="22"/>
        </w:rPr>
        <w:t>天顶湖和飞云湖是风景区水面面积最大的两处水域。</w:t>
      </w:r>
    </w:p>
    <w:p>
      <w:pPr>
        <w:spacing w:before="97" w:beforeLines="30"/>
        <w:ind w:firstLine="480"/>
        <w:rPr>
          <w:rFonts w:ascii="Calibri" w:hAnsi="Calibri" w:cs="宋体"/>
          <w:szCs w:val="22"/>
        </w:rPr>
      </w:pPr>
      <w:r>
        <w:rPr>
          <w:rFonts w:hint="eastAsia" w:ascii="Calibri" w:hAnsi="Calibri"/>
          <w:szCs w:val="22"/>
        </w:rPr>
        <w:t>天顶湖位于海</w:t>
      </w:r>
      <w:r>
        <w:rPr>
          <w:rFonts w:hint="eastAsia" w:ascii="Calibri" w:hAnsi="Calibri" w:cs="宋体"/>
          <w:szCs w:val="22"/>
        </w:rPr>
        <w:t>拔</w:t>
      </w:r>
      <w:r>
        <w:rPr>
          <w:rFonts w:ascii="Calibri" w:hAnsi="Calibri" w:cs="宋体"/>
          <w:szCs w:val="22"/>
        </w:rPr>
        <w:t>630</w:t>
      </w:r>
      <w:r>
        <w:rPr>
          <w:rFonts w:hint="eastAsia" w:ascii="Calibri" w:hAnsi="Calibri" w:cs="宋体"/>
          <w:szCs w:val="22"/>
        </w:rPr>
        <w:t>米的天顶秀湖，湖面犹如一面明镜，清澈纯净，湖岛滴翠，可适当开展水面活动，重点进行环湖绿道的建设。</w:t>
      </w:r>
    </w:p>
    <w:p>
      <w:pPr>
        <w:spacing w:before="97" w:beforeLines="30"/>
        <w:ind w:firstLine="480"/>
        <w:rPr>
          <w:rFonts w:ascii="Calibri" w:hAnsi="Calibri"/>
          <w:szCs w:val="22"/>
        </w:rPr>
      </w:pPr>
      <w:r>
        <w:rPr>
          <w:rFonts w:hint="eastAsia" w:ascii="Calibri" w:hAnsi="Calibri" w:cs="宋体"/>
          <w:szCs w:val="22"/>
        </w:rPr>
        <w:t>飞云</w:t>
      </w:r>
      <w:r>
        <w:rPr>
          <w:rFonts w:hint="eastAsia" w:ascii="Calibri" w:hAnsi="Calibri"/>
          <w:szCs w:val="22"/>
        </w:rPr>
        <w:t>湖为飞云江中游，首推乘游船观赏，沿水湾探幽寻源，宽阔处，烟波浩瀚，水天一色；狭窄处，岸边野花，伸手可摘；山重水复，柳暗花明，峰回水转，豁然开朗。规划强调满足游人的亲水性和对自然山水环境的追求，在环境恢复的同时，设置一定的水上游赏项目和岛屿景观建设项目，但必须严格控制规模，防止游览活动对水体和风景环境的破坏。</w:t>
      </w:r>
    </w:p>
    <w:p>
      <w:pPr>
        <w:spacing w:before="163" w:beforeLines="50" w:line="520" w:lineRule="exact"/>
        <w:ind w:firstLine="482"/>
        <w:rPr>
          <w:rFonts w:asciiTheme="minorEastAsia" w:hAnsiTheme="minorEastAsia" w:eastAsiaTheme="minorEastAsia"/>
          <w:b/>
          <w:szCs w:val="22"/>
        </w:rPr>
      </w:pPr>
      <w:r>
        <w:rPr>
          <w:rFonts w:asciiTheme="minorEastAsia" w:hAnsiTheme="minorEastAsia" w:eastAsiaTheme="minorEastAsia"/>
          <w:b/>
          <w:szCs w:val="22"/>
        </w:rPr>
        <w:t>3、“峡谷险幽”景观</w:t>
      </w:r>
    </w:p>
    <w:p>
      <w:pPr>
        <w:spacing w:before="97" w:beforeLines="30"/>
        <w:ind w:firstLine="480"/>
        <w:rPr>
          <w:rFonts w:ascii="Calibri" w:hAnsi="Calibri"/>
          <w:szCs w:val="22"/>
        </w:rPr>
      </w:pPr>
      <w:r>
        <w:rPr>
          <w:rFonts w:hint="eastAsia" w:ascii="Calibri" w:hAnsi="Calibri"/>
          <w:szCs w:val="22"/>
        </w:rPr>
        <w:t>文成县山地地貌形成了其众多的峡谷景观，峡谷景廊、朱阳九峰、铜铃山森林公园、岩门大峡谷都是典型的峡谷，甚至连飞云湖，也可以称为“飞云峡”。风景区尤以岩门大峡谷最为突出，且峡谷向西与铜铃山森林公园的铜铃山峡相连，总长约为</w:t>
      </w:r>
      <w:r>
        <w:rPr>
          <w:rFonts w:ascii="Calibri" w:hAnsi="Calibri"/>
          <w:szCs w:val="22"/>
        </w:rPr>
        <w:t>18</w:t>
      </w:r>
      <w:r>
        <w:rPr>
          <w:rFonts w:hint="eastAsia" w:ascii="Calibri" w:hAnsi="Calibri"/>
          <w:szCs w:val="22"/>
        </w:rPr>
        <w:t>公里，俗称“神州第一峡”。</w:t>
      </w:r>
    </w:p>
    <w:p>
      <w:pPr>
        <w:spacing w:before="97" w:beforeLines="30"/>
        <w:ind w:firstLine="0" w:firstLineChars="0"/>
        <w:jc w:val="center"/>
        <w:rPr>
          <w:rFonts w:ascii="Calibri" w:hAnsi="Calibri"/>
          <w:b/>
          <w:sz w:val="21"/>
          <w:szCs w:val="21"/>
        </w:rPr>
      </w:pPr>
      <w:r>
        <w:rPr>
          <w:rFonts w:hint="eastAsia" w:ascii="Calibri" w:hAnsi="Calibri"/>
          <w:b/>
          <w:sz w:val="21"/>
          <w:szCs w:val="21"/>
        </w:rPr>
        <w:t>表</w:t>
      </w:r>
      <w:r>
        <w:rPr>
          <w:rFonts w:ascii="Calibri" w:hAnsi="Calibri"/>
          <w:b/>
          <w:sz w:val="21"/>
          <w:szCs w:val="21"/>
        </w:rPr>
        <w:t xml:space="preserve">3-4 </w:t>
      </w:r>
      <w:r>
        <w:rPr>
          <w:rFonts w:hint="eastAsia" w:ascii="Calibri" w:hAnsi="Calibri"/>
          <w:b/>
          <w:sz w:val="21"/>
          <w:szCs w:val="21"/>
        </w:rPr>
        <w:t>各景区峡谷资源特征一览表</w:t>
      </w:r>
    </w:p>
    <w:tbl>
      <w:tblPr>
        <w:tblStyle w:val="220"/>
        <w:tblW w:w="82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4644"/>
        <w:gridCol w:w="2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98" w:type="dxa"/>
            <w:shd w:val="clear" w:color="auto" w:fill="E2E2E2"/>
            <w:vAlign w:val="center"/>
          </w:tcPr>
          <w:p>
            <w:pPr>
              <w:spacing w:before="0" w:beforeLines="-2147483648" w:line="240" w:lineRule="auto"/>
              <w:ind w:firstLine="0" w:firstLineChars="0"/>
              <w:jc w:val="center"/>
              <w:rPr>
                <w:rFonts w:ascii="Calibri" w:hAnsi="Calibri" w:eastAsiaTheme="minorEastAsia"/>
                <w:b/>
                <w:sz w:val="18"/>
                <w:szCs w:val="18"/>
              </w:rPr>
            </w:pPr>
            <w:r>
              <w:rPr>
                <w:rFonts w:hint="eastAsia" w:asciiTheme="minorHAnsi" w:hAnsiTheme="minorHAnsi" w:eastAsiaTheme="minorEastAsia"/>
                <w:b/>
                <w:sz w:val="18"/>
                <w:szCs w:val="18"/>
              </w:rPr>
              <w:t>区域</w:t>
            </w:r>
          </w:p>
        </w:tc>
        <w:tc>
          <w:tcPr>
            <w:tcW w:w="4644" w:type="dxa"/>
            <w:shd w:val="clear" w:color="auto" w:fill="E2E2E2"/>
            <w:vAlign w:val="center"/>
          </w:tcPr>
          <w:p>
            <w:pPr>
              <w:spacing w:before="0" w:beforeLines="-2147483648" w:line="240" w:lineRule="auto"/>
              <w:ind w:firstLine="0" w:firstLineChars="0"/>
              <w:jc w:val="center"/>
              <w:rPr>
                <w:rFonts w:ascii="Calibri" w:hAnsi="Calibri" w:eastAsiaTheme="minorEastAsia"/>
                <w:b/>
                <w:sz w:val="18"/>
                <w:szCs w:val="18"/>
              </w:rPr>
            </w:pPr>
            <w:r>
              <w:rPr>
                <w:rFonts w:hint="eastAsia" w:asciiTheme="minorHAnsi" w:hAnsiTheme="minorHAnsi" w:eastAsiaTheme="minorEastAsia"/>
                <w:b/>
                <w:sz w:val="18"/>
                <w:szCs w:val="18"/>
              </w:rPr>
              <w:t>峡谷资源</w:t>
            </w:r>
          </w:p>
        </w:tc>
        <w:tc>
          <w:tcPr>
            <w:tcW w:w="2151" w:type="dxa"/>
            <w:shd w:val="clear" w:color="auto" w:fill="E2E2E2"/>
            <w:vAlign w:val="center"/>
          </w:tcPr>
          <w:p>
            <w:pPr>
              <w:spacing w:before="0" w:beforeLines="-2147483648" w:line="240" w:lineRule="auto"/>
              <w:ind w:firstLine="0" w:firstLineChars="0"/>
              <w:jc w:val="center"/>
              <w:rPr>
                <w:rFonts w:ascii="Calibri" w:hAnsi="Calibri" w:eastAsiaTheme="minorEastAsia"/>
                <w:b/>
                <w:sz w:val="18"/>
                <w:szCs w:val="18"/>
              </w:rPr>
            </w:pPr>
            <w:r>
              <w:rPr>
                <w:rFonts w:hint="eastAsia" w:asciiTheme="minorHAnsi" w:hAnsiTheme="minorHAnsi" w:eastAsiaTheme="minorEastAsia"/>
                <w:b/>
                <w:sz w:val="18"/>
                <w:szCs w:val="18"/>
              </w:rPr>
              <w:t>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98" w:type="dxa"/>
            <w:vAlign w:val="center"/>
          </w:tcPr>
          <w:p>
            <w:pPr>
              <w:spacing w:before="0" w:beforeLines="-2147483648" w:line="240" w:lineRule="auto"/>
              <w:ind w:firstLine="0" w:firstLineChars="0"/>
              <w:jc w:val="center"/>
              <w:rPr>
                <w:rFonts w:ascii="Calibri" w:hAnsi="Calibri" w:eastAsiaTheme="minorEastAsia"/>
                <w:b/>
                <w:sz w:val="18"/>
                <w:szCs w:val="18"/>
              </w:rPr>
            </w:pPr>
            <w:r>
              <w:rPr>
                <w:rFonts w:hint="eastAsia" w:asciiTheme="minorHAnsi" w:hAnsiTheme="minorHAnsi" w:eastAsiaTheme="minorEastAsia"/>
                <w:b/>
                <w:sz w:val="18"/>
                <w:szCs w:val="18"/>
              </w:rPr>
              <w:t>岩门大峡谷</w:t>
            </w:r>
          </w:p>
        </w:tc>
        <w:tc>
          <w:tcPr>
            <w:tcW w:w="4644" w:type="dxa"/>
            <w:vAlign w:val="center"/>
          </w:tcPr>
          <w:p>
            <w:pPr>
              <w:spacing w:before="0" w:beforeLines="-2147483648" w:line="240" w:lineRule="auto"/>
              <w:ind w:firstLine="0" w:firstLineChars="0"/>
              <w:rPr>
                <w:rFonts w:ascii="Calibri" w:hAnsi="Calibri" w:eastAsiaTheme="minorEastAsia"/>
                <w:sz w:val="18"/>
                <w:szCs w:val="18"/>
              </w:rPr>
            </w:pPr>
            <w:r>
              <w:rPr>
                <w:rFonts w:hint="eastAsia" w:asciiTheme="minorHAnsi" w:hAnsiTheme="minorHAnsi" w:eastAsiaTheme="minorEastAsia"/>
                <w:sz w:val="18"/>
                <w:szCs w:val="18"/>
              </w:rPr>
              <w:t>峡谷长而多弯，宽度变化较大，</w:t>
            </w:r>
            <w:r>
              <w:rPr>
                <w:rFonts w:asciiTheme="minorHAnsi" w:hAnsiTheme="minorHAnsi" w:eastAsiaTheme="minorEastAsia"/>
                <w:sz w:val="18"/>
                <w:szCs w:val="18"/>
              </w:rPr>
              <w:t>300-500</w:t>
            </w:r>
            <w:r>
              <w:rPr>
                <w:rFonts w:hint="eastAsia" w:asciiTheme="minorHAnsi" w:hAnsiTheme="minorHAnsi" w:eastAsiaTheme="minorEastAsia"/>
                <w:sz w:val="18"/>
                <w:szCs w:val="18"/>
              </w:rPr>
              <w:t>米，而深度变化也较大，地形极为复杂</w:t>
            </w:r>
          </w:p>
        </w:tc>
        <w:tc>
          <w:tcPr>
            <w:tcW w:w="2151" w:type="dxa"/>
            <w:vAlign w:val="center"/>
          </w:tcPr>
          <w:p>
            <w:pPr>
              <w:spacing w:before="0" w:beforeLines="-2147483648" w:line="240" w:lineRule="auto"/>
              <w:ind w:firstLine="0" w:firstLineChars="0"/>
              <w:rPr>
                <w:rFonts w:ascii="Calibri" w:hAnsi="Calibri" w:eastAsiaTheme="minorEastAsia"/>
                <w:sz w:val="18"/>
                <w:szCs w:val="18"/>
              </w:rPr>
            </w:pPr>
            <w:r>
              <w:rPr>
                <w:rFonts w:hint="eastAsia" w:asciiTheme="minorHAnsi" w:hAnsiTheme="minorHAnsi" w:eastAsiaTheme="minorEastAsia"/>
                <w:sz w:val="18"/>
                <w:szCs w:val="18"/>
              </w:rPr>
              <w:t>多样多样、地形复杂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98" w:type="dxa"/>
            <w:vAlign w:val="center"/>
          </w:tcPr>
          <w:p>
            <w:pPr>
              <w:spacing w:before="0" w:beforeLines="-2147483648" w:line="240" w:lineRule="auto"/>
              <w:ind w:firstLine="0" w:firstLineChars="0"/>
              <w:jc w:val="center"/>
              <w:rPr>
                <w:rFonts w:ascii="Calibri" w:hAnsi="Calibri" w:eastAsiaTheme="minorEastAsia"/>
                <w:b/>
                <w:sz w:val="18"/>
                <w:szCs w:val="18"/>
              </w:rPr>
            </w:pPr>
            <w:r>
              <w:rPr>
                <w:rFonts w:hint="eastAsia" w:asciiTheme="minorHAnsi" w:hAnsiTheme="minorHAnsi" w:eastAsiaTheme="minorEastAsia"/>
                <w:b/>
                <w:sz w:val="18"/>
                <w:szCs w:val="18"/>
              </w:rPr>
              <w:t>峡谷景廊</w:t>
            </w:r>
          </w:p>
        </w:tc>
        <w:tc>
          <w:tcPr>
            <w:tcW w:w="4644" w:type="dxa"/>
            <w:vAlign w:val="center"/>
          </w:tcPr>
          <w:p>
            <w:pPr>
              <w:spacing w:before="0" w:beforeLines="-2147483648" w:line="240" w:lineRule="auto"/>
              <w:ind w:firstLine="0" w:firstLineChars="0"/>
              <w:rPr>
                <w:rFonts w:ascii="Calibri" w:hAnsi="Calibri" w:eastAsiaTheme="minorEastAsia"/>
                <w:sz w:val="18"/>
                <w:szCs w:val="18"/>
              </w:rPr>
            </w:pPr>
            <w:r>
              <w:rPr>
                <w:rFonts w:hint="eastAsia" w:asciiTheme="minorHAnsi" w:hAnsiTheme="minorHAnsi" w:eastAsiaTheme="minorEastAsia"/>
                <w:sz w:val="18"/>
                <w:szCs w:val="18"/>
              </w:rPr>
              <w:t>峡谷少弯，宽度最宽</w:t>
            </w:r>
            <w:r>
              <w:rPr>
                <w:rFonts w:asciiTheme="minorHAnsi" w:hAnsiTheme="minorHAnsi" w:eastAsiaTheme="minorEastAsia"/>
                <w:sz w:val="18"/>
                <w:szCs w:val="18"/>
              </w:rPr>
              <w:t>1000</w:t>
            </w:r>
            <w:r>
              <w:rPr>
                <w:rFonts w:hint="eastAsia" w:asciiTheme="minorHAnsi" w:hAnsiTheme="minorHAnsi" w:eastAsiaTheme="minorEastAsia"/>
                <w:sz w:val="18"/>
                <w:szCs w:val="18"/>
              </w:rPr>
              <w:t>米左右，深度较浅</w:t>
            </w:r>
          </w:p>
        </w:tc>
        <w:tc>
          <w:tcPr>
            <w:tcW w:w="2151" w:type="dxa"/>
            <w:vAlign w:val="center"/>
          </w:tcPr>
          <w:p>
            <w:pPr>
              <w:spacing w:before="0" w:beforeLines="-2147483648" w:line="240" w:lineRule="auto"/>
              <w:ind w:firstLine="0" w:firstLineChars="0"/>
              <w:rPr>
                <w:rFonts w:ascii="Calibri" w:hAnsi="Calibri" w:eastAsiaTheme="minorEastAsia"/>
                <w:sz w:val="18"/>
                <w:szCs w:val="18"/>
              </w:rPr>
            </w:pPr>
            <w:r>
              <w:rPr>
                <w:rFonts w:hint="eastAsia" w:asciiTheme="minorHAnsi" w:hAnsiTheme="minorHAnsi" w:eastAsiaTheme="minorEastAsia"/>
                <w:sz w:val="18"/>
                <w:szCs w:val="18"/>
              </w:rPr>
              <w:t>宽阔、空灵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98" w:type="dxa"/>
            <w:vAlign w:val="center"/>
          </w:tcPr>
          <w:p>
            <w:pPr>
              <w:spacing w:before="0" w:beforeLines="-2147483648" w:line="240" w:lineRule="auto"/>
              <w:ind w:firstLine="0" w:firstLineChars="0"/>
              <w:jc w:val="center"/>
              <w:rPr>
                <w:rFonts w:ascii="Calibri" w:hAnsi="Calibri" w:eastAsiaTheme="minorEastAsia"/>
                <w:b/>
                <w:sz w:val="18"/>
                <w:szCs w:val="18"/>
              </w:rPr>
            </w:pPr>
            <w:r>
              <w:rPr>
                <w:rFonts w:hint="eastAsia" w:asciiTheme="minorHAnsi" w:hAnsiTheme="minorHAnsi" w:eastAsiaTheme="minorEastAsia"/>
                <w:b/>
                <w:sz w:val="18"/>
                <w:szCs w:val="18"/>
              </w:rPr>
              <w:t>朱阳九峰</w:t>
            </w:r>
          </w:p>
        </w:tc>
        <w:tc>
          <w:tcPr>
            <w:tcW w:w="4644" w:type="dxa"/>
            <w:vAlign w:val="center"/>
          </w:tcPr>
          <w:p>
            <w:pPr>
              <w:spacing w:before="0" w:beforeLines="-2147483648" w:line="240" w:lineRule="auto"/>
              <w:ind w:firstLine="0" w:firstLineChars="0"/>
              <w:rPr>
                <w:rFonts w:ascii="Calibri" w:hAnsi="Calibri" w:eastAsiaTheme="minorEastAsia"/>
                <w:sz w:val="18"/>
                <w:szCs w:val="18"/>
              </w:rPr>
            </w:pPr>
            <w:r>
              <w:rPr>
                <w:rFonts w:hint="eastAsia" w:asciiTheme="minorHAnsi" w:hAnsiTheme="minorHAnsi" w:eastAsiaTheme="minorEastAsia"/>
                <w:sz w:val="18"/>
                <w:szCs w:val="18"/>
              </w:rPr>
              <w:t>峡谷短而多弯，宽度宽</w:t>
            </w:r>
            <w:r>
              <w:rPr>
                <w:rFonts w:asciiTheme="minorHAnsi" w:hAnsiTheme="minorHAnsi" w:eastAsiaTheme="minorEastAsia"/>
                <w:sz w:val="18"/>
                <w:szCs w:val="18"/>
              </w:rPr>
              <w:t>800</w:t>
            </w:r>
            <w:r>
              <w:rPr>
                <w:rFonts w:hint="eastAsia" w:asciiTheme="minorHAnsi" w:hAnsiTheme="minorHAnsi" w:eastAsiaTheme="minorEastAsia"/>
                <w:sz w:val="18"/>
                <w:szCs w:val="18"/>
              </w:rPr>
              <w:t>米左右，深度深，</w:t>
            </w:r>
          </w:p>
        </w:tc>
        <w:tc>
          <w:tcPr>
            <w:tcW w:w="2151" w:type="dxa"/>
            <w:vAlign w:val="center"/>
          </w:tcPr>
          <w:p>
            <w:pPr>
              <w:spacing w:before="0" w:beforeLines="-2147483648" w:line="240" w:lineRule="auto"/>
              <w:ind w:firstLine="0" w:firstLineChars="0"/>
              <w:rPr>
                <w:rFonts w:ascii="Calibri" w:hAnsi="Calibri" w:eastAsiaTheme="minorEastAsia"/>
                <w:sz w:val="18"/>
                <w:szCs w:val="18"/>
              </w:rPr>
            </w:pPr>
            <w:r>
              <w:rPr>
                <w:rFonts w:hint="eastAsia" w:asciiTheme="minorHAnsi" w:hAnsiTheme="minorHAnsi" w:eastAsiaTheme="minorEastAsia"/>
                <w:sz w:val="18"/>
                <w:szCs w:val="18"/>
              </w:rPr>
              <w:t>陡峭、险峻</w:t>
            </w:r>
          </w:p>
        </w:tc>
      </w:tr>
    </w:tbl>
    <w:p>
      <w:pPr>
        <w:spacing w:before="97" w:beforeLines="30"/>
        <w:ind w:firstLine="480"/>
        <w:rPr>
          <w:rFonts w:ascii="Calibri" w:hAnsi="Calibri"/>
          <w:szCs w:val="22"/>
        </w:rPr>
      </w:pPr>
      <w:r>
        <w:rPr>
          <w:rFonts w:hint="eastAsia" w:ascii="Calibri" w:hAnsi="Calibri"/>
          <w:szCs w:val="22"/>
        </w:rPr>
        <w:t>建议结合徒步探险线路，观两边琼峦翠谷、绝壁擎天、中成峡谷、水清见底、壶穴珠连、水天辉映之景。</w:t>
      </w:r>
    </w:p>
    <w:p>
      <w:pPr>
        <w:spacing w:before="163" w:beforeLines="50" w:line="520" w:lineRule="exact"/>
        <w:ind w:firstLine="482"/>
        <w:rPr>
          <w:rFonts w:asciiTheme="minorEastAsia" w:hAnsiTheme="minorEastAsia" w:eastAsiaTheme="minorEastAsia"/>
          <w:b/>
          <w:szCs w:val="22"/>
        </w:rPr>
      </w:pPr>
      <w:r>
        <w:rPr>
          <w:rFonts w:asciiTheme="minorEastAsia" w:hAnsiTheme="minorEastAsia" w:eastAsiaTheme="minorEastAsia"/>
          <w:b/>
          <w:szCs w:val="22"/>
        </w:rPr>
        <w:t>4、“奇峰叠翠”景观</w:t>
      </w:r>
    </w:p>
    <w:p>
      <w:pPr>
        <w:spacing w:before="97" w:beforeLines="30"/>
        <w:ind w:firstLine="480"/>
        <w:rPr>
          <w:rFonts w:cs="宋体"/>
        </w:rPr>
      </w:pPr>
      <w:r>
        <w:rPr>
          <w:rFonts w:hint="eastAsia" w:cs="宋体"/>
        </w:rPr>
        <w:t>文成多幽深峡谷，而峡谷之间峰岩异石，造型各异，掩映在山林之间相映成趣，如朱阳九峰景区、龙麒源景区、岩门大峡谷景区，而最为典型的代表当属朱阳九峰。朱阳九峰景区处于华南褶皱系与浙南褶皱带中，经历千百年的地质作用，从而形成山峦起伏、奇峰异石、山林峭壁等自然地貌，由“九峰”——玉笙峰、一剑峰、双屏峰、大象峰、猴头峰、将军峰、白岩峰、骆驼峰、三尖峰等九座巨大石峰构成，以</w:t>
      </w:r>
      <w:r>
        <w:rPr>
          <w:rFonts w:hint="eastAsia" w:ascii="Calibri" w:hAnsi="Calibri"/>
          <w:szCs w:val="22"/>
        </w:rPr>
        <w:t>峰石与山水环境的巧妙结合最为特色</w:t>
      </w:r>
      <w:r>
        <w:rPr>
          <w:rFonts w:hint="eastAsia" w:cs="宋体"/>
        </w:rPr>
        <w:t>。九座奇峰巍峨屹立在十里山腰，山峦嵯峨堆叠，山林葱郁流翠，鬼斧神工造就一组令人震憾的天然雕塑群。</w:t>
      </w:r>
    </w:p>
    <w:p>
      <w:pPr>
        <w:spacing w:before="97" w:beforeLines="30"/>
        <w:ind w:firstLine="480"/>
        <w:rPr>
          <w:rFonts w:ascii="Calibri" w:hAnsi="Calibri"/>
          <w:szCs w:val="22"/>
        </w:rPr>
      </w:pPr>
      <w:r>
        <w:rPr>
          <w:rFonts w:hint="eastAsia" w:ascii="Calibri" w:hAnsi="Calibri"/>
          <w:szCs w:val="22"/>
        </w:rPr>
        <w:t>规划以“九峰”为核心，沿游步道顺山而下，溯溪而上，从不同的视角欣赏的“九峰叠翠”奇观。沿线可结合地质地貌变迁、历史遗迹、动植物等主题设置科普展示牌，并在重要的“九峰”景观视点设置系列观景台与解说点，组成“九峰”为主题的游赏体系。严格控制人工设施的高度和体量，融于自然，保护视廊。</w:t>
      </w:r>
    </w:p>
    <w:p>
      <w:pPr>
        <w:spacing w:before="163" w:beforeLines="50" w:line="520" w:lineRule="exact"/>
        <w:ind w:firstLine="482"/>
        <w:rPr>
          <w:rFonts w:asciiTheme="minorEastAsia" w:hAnsiTheme="minorEastAsia" w:eastAsiaTheme="minorEastAsia"/>
          <w:b/>
          <w:szCs w:val="22"/>
        </w:rPr>
      </w:pPr>
      <w:r>
        <w:rPr>
          <w:rFonts w:asciiTheme="minorEastAsia" w:hAnsiTheme="minorEastAsia" w:eastAsiaTheme="minorEastAsia"/>
          <w:b/>
          <w:szCs w:val="22"/>
        </w:rPr>
        <w:t>5、“伯温故里”景观</w:t>
      </w:r>
    </w:p>
    <w:p>
      <w:pPr>
        <w:spacing w:before="97" w:beforeLines="30"/>
        <w:ind w:firstLine="480"/>
        <w:rPr>
          <w:rFonts w:ascii="Calibri" w:hAnsi="Calibri"/>
          <w:szCs w:val="22"/>
        </w:rPr>
      </w:pPr>
      <w:r>
        <w:rPr>
          <w:rFonts w:hint="eastAsia" w:ascii="宋体" w:hAnsi="宋体" w:cs="宋体"/>
        </w:rPr>
        <w:t>刘基（</w:t>
      </w:r>
      <w:r>
        <w:rPr>
          <w:rFonts w:ascii="宋体" w:hAnsi="宋体" w:cs="宋体"/>
        </w:rPr>
        <w:t>1311年7月1日－1375年5月16日），字伯温，</w:t>
      </w:r>
      <w:r>
        <w:rPr>
          <w:rFonts w:hint="eastAsia" w:ascii="宋体" w:hAnsi="宋体" w:cs="宋体"/>
        </w:rPr>
        <w:t>世称“刘青田”、“刘诚意”、“刘文成”，青田县南田（今属浙江省温州市文成县）人。元末明初政治家、文学家、军事家，明朝开国元勋，“明初诗文三大家”之一，被誉为“学为帝师、才称王佐”的千古人豪。</w:t>
      </w:r>
      <w:r>
        <w:rPr>
          <w:rFonts w:hint="eastAsia" w:ascii="Calibri" w:hAnsi="Calibri"/>
          <w:szCs w:val="22"/>
        </w:rPr>
        <w:t>刘基文化是文成县深厚历史文化的代表，有多处重要遗址遗迹：刘基庙、刘基墓、刘基故居等。其中，刘基故居所在的武阳村传统村落位于风景区内，周边分布有武阳亭、故里亭、云来亭、七星落垟、天葬坟、武阳三漈等景观景物。刘基故居是风景区的史迹保护区和文化景观重要区域，是突出展示风景区“仁者乐山，智者乐水”的典型传统村落风水环境。</w:t>
      </w:r>
    </w:p>
    <w:p>
      <w:pPr>
        <w:spacing w:before="97" w:beforeLines="30"/>
        <w:ind w:firstLine="480"/>
        <w:rPr>
          <w:rFonts w:ascii="Calibri" w:hAnsi="Calibri"/>
          <w:szCs w:val="22"/>
        </w:rPr>
      </w:pPr>
      <w:r>
        <w:rPr>
          <w:rFonts w:hint="eastAsia" w:ascii="Calibri" w:hAnsi="Calibri"/>
          <w:szCs w:val="22"/>
        </w:rPr>
        <w:t>规划首先强调加强刘基故居保护，改造周边及武阳村村落的环境，并建议充分挖掘深层次的文化内涵，依托刘基历史文化的维护和发扬为契机，开辟爱国主义教育基地。结合特色民俗节庆活动，打造成为当地一处文化名片。</w:t>
      </w:r>
    </w:p>
    <w:p>
      <w:pPr>
        <w:numPr>
          <w:ilvl w:val="0"/>
          <w:numId w:val="4"/>
        </w:numPr>
        <w:spacing w:before="97" w:beforeLines="30"/>
        <w:ind w:firstLine="482"/>
        <w:rPr>
          <w:rFonts w:ascii="宋体" w:hAnsi="宋体" w:cs="宋体"/>
          <w:b/>
          <w:bCs/>
        </w:rPr>
      </w:pPr>
      <w:r>
        <w:rPr>
          <w:rFonts w:hint="eastAsia" w:ascii="宋体" w:hAnsi="宋体" w:cs="宋体"/>
          <w:b/>
          <w:bCs/>
        </w:rPr>
        <w:t>“</w:t>
      </w:r>
      <w:r>
        <w:rPr>
          <w:rFonts w:hint="eastAsia" w:cs="宋体"/>
          <w:b/>
          <w:bCs/>
        </w:rPr>
        <w:t>畲寨风情</w:t>
      </w:r>
      <w:r>
        <w:rPr>
          <w:rFonts w:hint="eastAsia" w:ascii="宋体" w:hAnsi="宋体" w:cs="宋体"/>
          <w:b/>
          <w:bCs/>
        </w:rPr>
        <w:t>”景观</w:t>
      </w:r>
    </w:p>
    <w:p>
      <w:pPr>
        <w:numPr>
          <w:ilvl w:val="255"/>
          <w:numId w:val="0"/>
        </w:numPr>
        <w:spacing w:before="97" w:beforeLines="30"/>
        <w:ind w:firstLine="480" w:firstLineChars="200"/>
        <w:rPr>
          <w:rFonts w:ascii="Arial" w:hAnsi="Arial" w:cs="Arial"/>
          <w:color w:val="191919"/>
          <w:shd w:val="clear" w:color="auto" w:fill="FFFFFF"/>
        </w:rPr>
      </w:pPr>
      <w:r>
        <w:rPr>
          <w:rFonts w:hint="eastAsia" w:ascii="Arial" w:hAnsi="Arial" w:cs="Arial"/>
          <w:color w:val="191919"/>
          <w:shd w:val="clear" w:color="auto" w:fill="FFFFFF"/>
        </w:rPr>
        <w:t>在文成境内，龙麒源与畲族人民的发展、生活等息息相关。</w:t>
      </w:r>
      <w:r>
        <w:rPr>
          <w:rFonts w:hint="eastAsia" w:ascii="Arial" w:hAnsi="Arial" w:eastAsia="Arial" w:cs="Arial"/>
          <w:color w:val="191919"/>
          <w:shd w:val="clear" w:color="auto" w:fill="FFFFFF"/>
        </w:rPr>
        <w:t>龙麒源</w:t>
      </w:r>
      <w:r>
        <w:rPr>
          <w:rFonts w:hint="eastAsia" w:ascii="Arial" w:hAnsi="Arial" w:cs="Arial"/>
          <w:color w:val="191919"/>
          <w:shd w:val="clear" w:color="auto" w:fill="FFFFFF"/>
        </w:rPr>
        <w:t>景区</w:t>
      </w:r>
      <w:r>
        <w:rPr>
          <w:rFonts w:hint="eastAsia" w:ascii="Arial" w:hAnsi="Arial" w:eastAsia="Arial" w:cs="Arial"/>
          <w:color w:val="191919"/>
          <w:shd w:val="clear" w:color="auto" w:fill="FFFFFF"/>
        </w:rPr>
        <w:t>位于</w:t>
      </w:r>
      <w:r>
        <w:rPr>
          <w:rFonts w:hint="eastAsia" w:ascii="Arial" w:hAnsi="Arial" w:cs="Arial"/>
          <w:color w:val="191919"/>
          <w:shd w:val="clear" w:color="auto" w:fill="FFFFFF"/>
        </w:rPr>
        <w:t>文成西坑畲族镇</w:t>
      </w:r>
      <w:r>
        <w:rPr>
          <w:rFonts w:hint="eastAsia" w:ascii="Arial" w:hAnsi="Arial" w:eastAsia="Arial" w:cs="Arial"/>
          <w:color w:val="191919"/>
          <w:shd w:val="clear" w:color="auto" w:fill="FFFFFF"/>
        </w:rPr>
        <w:t>梧溪境内的蟹坑地带，</w:t>
      </w:r>
      <w:r>
        <w:rPr>
          <w:rFonts w:hint="eastAsia" w:ascii="Arial" w:hAnsi="Arial" w:cs="Arial"/>
          <w:color w:val="191919"/>
          <w:shd w:val="clear" w:color="auto" w:fill="FFFFFF"/>
        </w:rPr>
        <w:t>两侧峡谷与溪流山水相依，溪流自峡谷流出，蜿蜒曲折，形似飞龙。自古以来，“</w:t>
      </w:r>
      <w:r>
        <w:rPr>
          <w:rFonts w:hint="eastAsia" w:ascii="Arial" w:hAnsi="Arial" w:eastAsia="Arial" w:cs="Arial"/>
          <w:color w:val="191919"/>
          <w:shd w:val="clear" w:color="auto" w:fill="FFFFFF"/>
        </w:rPr>
        <w:t>龙麒</w:t>
      </w:r>
      <w:r>
        <w:rPr>
          <w:rFonts w:hint="eastAsia" w:ascii="Arial" w:hAnsi="Arial" w:cs="Arial"/>
          <w:color w:val="191919"/>
          <w:shd w:val="clear" w:color="auto" w:fill="FFFFFF"/>
        </w:rPr>
        <w:t>”被视为</w:t>
      </w:r>
      <w:r>
        <w:rPr>
          <w:rFonts w:hint="eastAsia" w:ascii="Arial" w:hAnsi="Arial" w:eastAsia="Arial" w:cs="Arial"/>
          <w:color w:val="191919"/>
          <w:shd w:val="clear" w:color="auto" w:fill="FFFFFF"/>
        </w:rPr>
        <w:t>畲族人始祖</w:t>
      </w:r>
      <w:r>
        <w:rPr>
          <w:rFonts w:hint="eastAsia" w:ascii="Arial" w:hAnsi="Arial" w:cs="Arial"/>
          <w:color w:val="191919"/>
          <w:shd w:val="clear" w:color="auto" w:fill="FFFFFF"/>
        </w:rPr>
        <w:t>图腾，</w:t>
      </w:r>
      <w:r>
        <w:rPr>
          <w:rFonts w:hint="eastAsia" w:ascii="Arial" w:hAnsi="Arial" w:eastAsia="Arial" w:cs="Arial"/>
          <w:color w:val="191919"/>
          <w:shd w:val="clear" w:color="auto" w:fill="FFFFFF"/>
        </w:rPr>
        <w:t>畲族人</w:t>
      </w:r>
      <w:r>
        <w:rPr>
          <w:rFonts w:hint="eastAsia" w:ascii="Arial" w:hAnsi="Arial" w:cs="Arial"/>
          <w:color w:val="191919"/>
          <w:shd w:val="clear" w:color="auto" w:fill="FFFFFF"/>
        </w:rPr>
        <w:t>便将</w:t>
      </w:r>
      <w:r>
        <w:rPr>
          <w:rFonts w:hint="eastAsia" w:ascii="Arial" w:hAnsi="Arial" w:eastAsia="Arial" w:cs="Arial"/>
          <w:color w:val="191919"/>
          <w:shd w:val="clear" w:color="auto" w:fill="FFFFFF"/>
        </w:rPr>
        <w:t>这条峡谷称为</w:t>
      </w:r>
      <w:r>
        <w:rPr>
          <w:rFonts w:hint="eastAsia" w:ascii="Arial" w:hAnsi="Arial" w:cs="Arial"/>
          <w:color w:val="191919"/>
          <w:shd w:val="clear" w:color="auto" w:fill="FFFFFF"/>
        </w:rPr>
        <w:t>“</w:t>
      </w:r>
      <w:r>
        <w:rPr>
          <w:rFonts w:hint="eastAsia" w:ascii="Arial" w:hAnsi="Arial" w:eastAsia="Arial" w:cs="Arial"/>
          <w:color w:val="191919"/>
          <w:shd w:val="clear" w:color="auto" w:fill="FFFFFF"/>
        </w:rPr>
        <w:t>龙麒峡</w:t>
      </w:r>
      <w:r>
        <w:rPr>
          <w:rFonts w:hint="eastAsia" w:ascii="Arial" w:hAnsi="Arial" w:cs="Arial"/>
          <w:color w:val="191919"/>
          <w:shd w:val="clear" w:color="auto" w:fill="FFFFFF"/>
        </w:rPr>
        <w:t>”</w:t>
      </w:r>
      <w:r>
        <w:rPr>
          <w:rFonts w:hint="eastAsia" w:ascii="Arial" w:hAnsi="Arial" w:eastAsia="Arial" w:cs="Arial"/>
          <w:color w:val="191919"/>
          <w:shd w:val="clear" w:color="auto" w:fill="FFFFFF"/>
        </w:rPr>
        <w:t>，</w:t>
      </w:r>
      <w:r>
        <w:rPr>
          <w:rFonts w:hint="eastAsia" w:ascii="Arial" w:hAnsi="Arial" w:cs="Arial"/>
          <w:color w:val="191919"/>
          <w:shd w:val="clear" w:color="auto" w:fill="FFFFFF"/>
        </w:rPr>
        <w:t>将</w:t>
      </w:r>
      <w:r>
        <w:rPr>
          <w:rFonts w:hint="eastAsia" w:ascii="Arial" w:hAnsi="Arial" w:eastAsia="Arial" w:cs="Arial"/>
          <w:color w:val="191919"/>
          <w:shd w:val="clear" w:color="auto" w:fill="FFFFFF"/>
        </w:rPr>
        <w:t>这条水系称为</w:t>
      </w:r>
      <w:r>
        <w:rPr>
          <w:rFonts w:hint="eastAsia" w:ascii="Arial" w:hAnsi="Arial" w:cs="Arial"/>
          <w:color w:val="191919"/>
          <w:shd w:val="clear" w:color="auto" w:fill="FFFFFF"/>
        </w:rPr>
        <w:t>“</w:t>
      </w:r>
      <w:r>
        <w:rPr>
          <w:rFonts w:hint="eastAsia" w:ascii="Arial" w:hAnsi="Arial" w:eastAsia="Arial" w:cs="Arial"/>
          <w:color w:val="191919"/>
          <w:shd w:val="clear" w:color="auto" w:fill="FFFFFF"/>
        </w:rPr>
        <w:t>龙麒源</w:t>
      </w:r>
      <w:r>
        <w:rPr>
          <w:rFonts w:hint="eastAsia" w:ascii="Arial" w:hAnsi="Arial" w:cs="Arial"/>
          <w:color w:val="191919"/>
          <w:shd w:val="clear" w:color="auto" w:fill="FFFFFF"/>
        </w:rPr>
        <w:t>”</w:t>
      </w:r>
      <w:r>
        <w:rPr>
          <w:rFonts w:hint="eastAsia" w:ascii="Arial" w:hAnsi="Arial" w:eastAsia="Arial" w:cs="Arial"/>
          <w:color w:val="191919"/>
          <w:shd w:val="clear" w:color="auto" w:fill="FFFFFF"/>
        </w:rPr>
        <w:t>，认为这里是他们的</w:t>
      </w:r>
      <w:r>
        <w:rPr>
          <w:rFonts w:hint="eastAsia" w:ascii="Arial" w:hAnsi="Arial" w:cs="Arial"/>
          <w:color w:val="191919"/>
          <w:shd w:val="clear" w:color="auto" w:fill="FFFFFF"/>
        </w:rPr>
        <w:t>“</w:t>
      </w:r>
      <w:r>
        <w:rPr>
          <w:rFonts w:hint="eastAsia" w:ascii="Arial" w:hAnsi="Arial" w:eastAsia="Arial" w:cs="Arial"/>
          <w:color w:val="191919"/>
          <w:shd w:val="clear" w:color="auto" w:fill="FFFFFF"/>
        </w:rPr>
        <w:t>龙脉</w:t>
      </w:r>
      <w:r>
        <w:rPr>
          <w:rFonts w:hint="eastAsia" w:ascii="Arial" w:hAnsi="Arial" w:cs="Arial"/>
          <w:color w:val="191919"/>
          <w:shd w:val="clear" w:color="auto" w:fill="FFFFFF"/>
        </w:rPr>
        <w:t>”因此，龙麒源被认为是文成当地畲族文化聚落发展的重要沃土，周边畲族聚居，畲族风气浓郁。现今，在龙麒源景区中尚分布有一些畲族民族村寨和庙堂建筑，有当地和民族风格融合的特点，如山哈茶亭、畲族风情苑、畲源世家、畲家宴、缘心阁等景观景物，用于景区内的文化、休闲和服务设施。</w:t>
      </w:r>
    </w:p>
    <w:p>
      <w:pPr>
        <w:numPr>
          <w:ilvl w:val="255"/>
          <w:numId w:val="0"/>
        </w:numPr>
        <w:spacing w:before="97" w:beforeLines="30"/>
        <w:ind w:firstLine="480" w:firstLineChars="200"/>
        <w:rPr>
          <w:rFonts w:ascii="Arial" w:hAnsi="Arial" w:cs="Arial"/>
          <w:color w:val="191919"/>
          <w:shd w:val="clear" w:color="auto" w:fill="FFFFFF"/>
        </w:rPr>
      </w:pPr>
      <w:r>
        <w:rPr>
          <w:rFonts w:hint="eastAsia" w:ascii="Arial" w:hAnsi="Arial" w:cs="Arial"/>
          <w:color w:val="191919"/>
          <w:shd w:val="clear" w:color="auto" w:fill="FFFFFF"/>
        </w:rPr>
        <w:t>规划开展龙麒源内畲族文化历史发展过程的详细研究与考察，挖掘与之相关的景观景物，丰富景区畲族文化风韵，做好主题科普与展示，并结合畲族</w:t>
      </w:r>
      <w:r>
        <w:rPr>
          <w:rFonts w:hint="eastAsia" w:ascii="Arial" w:hAnsi="Arial" w:eastAsia="Arial" w:cs="Arial"/>
          <w:color w:val="191919"/>
          <w:shd w:val="clear" w:color="auto" w:fill="FFFFFF"/>
        </w:rPr>
        <w:t>传统手工艺、民族美食</w:t>
      </w:r>
      <w:r>
        <w:rPr>
          <w:rFonts w:hint="eastAsia" w:ascii="Arial" w:hAnsi="Arial" w:cs="Arial"/>
          <w:color w:val="191919"/>
          <w:shd w:val="clear" w:color="auto" w:fill="FFFFFF"/>
        </w:rPr>
        <w:t>、民族茶艺、</w:t>
      </w:r>
      <w:r>
        <w:rPr>
          <w:rFonts w:hint="eastAsia" w:ascii="Arial" w:hAnsi="Arial" w:eastAsia="Arial" w:cs="Arial"/>
          <w:color w:val="191919"/>
          <w:shd w:val="clear" w:color="auto" w:fill="FFFFFF"/>
        </w:rPr>
        <w:t>以及畲舞山歌等畲族文化</w:t>
      </w:r>
      <w:r>
        <w:rPr>
          <w:rFonts w:hint="eastAsia" w:ascii="Arial" w:hAnsi="Arial" w:cs="Arial"/>
          <w:color w:val="191919"/>
          <w:shd w:val="clear" w:color="auto" w:fill="FFFFFF"/>
        </w:rPr>
        <w:t>遗产</w:t>
      </w:r>
      <w:r>
        <w:rPr>
          <w:rFonts w:hint="eastAsia" w:ascii="Arial" w:hAnsi="Arial" w:eastAsia="Arial" w:cs="Arial"/>
          <w:color w:val="191919"/>
          <w:shd w:val="clear" w:color="auto" w:fill="FFFFFF"/>
        </w:rPr>
        <w:t>，</w:t>
      </w:r>
      <w:r>
        <w:rPr>
          <w:rFonts w:hint="eastAsia" w:ascii="Arial" w:hAnsi="Arial" w:cs="Arial"/>
          <w:color w:val="191919"/>
          <w:shd w:val="clear" w:color="auto" w:fill="FFFFFF"/>
        </w:rPr>
        <w:t>体验</w:t>
      </w:r>
      <w:r>
        <w:rPr>
          <w:rFonts w:hint="eastAsia" w:ascii="Arial" w:hAnsi="Arial" w:eastAsia="Arial" w:cs="Arial"/>
          <w:color w:val="191919"/>
          <w:shd w:val="clear" w:color="auto" w:fill="FFFFFF"/>
        </w:rPr>
        <w:t>畲族人民的热情与才华</w:t>
      </w:r>
      <w:r>
        <w:rPr>
          <w:rFonts w:hint="eastAsia" w:ascii="Arial" w:hAnsi="Arial" w:cs="Arial"/>
          <w:color w:val="191919"/>
          <w:shd w:val="clear" w:color="auto" w:fill="FFFFFF"/>
        </w:rPr>
        <w:t>，增添景区的文化景观氛围。</w:t>
      </w:r>
    </w:p>
    <w:p>
      <w:pPr>
        <w:spacing w:before="97" w:beforeLines="30"/>
        <w:ind w:firstLine="480" w:firstLineChars="0"/>
        <w:rPr>
          <w:rFonts w:cs="宋体"/>
          <w:b/>
          <w:bCs/>
        </w:rPr>
      </w:pPr>
      <w:r>
        <w:rPr>
          <w:rFonts w:cs="宋体"/>
          <w:b/>
          <w:bCs/>
        </w:rPr>
        <w:t>7</w:t>
      </w:r>
      <w:r>
        <w:rPr>
          <w:rFonts w:hint="eastAsia" w:cs="宋体"/>
          <w:b/>
          <w:bCs/>
        </w:rPr>
        <w:t>、“森海秘境”</w:t>
      </w:r>
      <w:r>
        <w:rPr>
          <w:rFonts w:hint="eastAsia" w:ascii="宋体" w:hAnsi="宋体" w:cs="宋体"/>
          <w:b/>
          <w:bCs/>
        </w:rPr>
        <w:t>景观</w:t>
      </w:r>
    </w:p>
    <w:p>
      <w:pPr>
        <w:numPr>
          <w:ilvl w:val="255"/>
          <w:numId w:val="0"/>
        </w:numPr>
        <w:spacing w:before="97" w:beforeLines="30"/>
        <w:ind w:firstLine="480" w:firstLineChars="200"/>
        <w:rPr>
          <w:color w:val="191919"/>
          <w:shd w:val="clear" w:color="auto" w:fill="FFFFFF"/>
        </w:rPr>
      </w:pPr>
      <w:r>
        <w:rPr>
          <w:rFonts w:hint="eastAsia"/>
          <w:color w:val="191919"/>
          <w:shd w:val="clear" w:color="auto" w:fill="FFFFFF"/>
        </w:rPr>
        <w:t>文成县森林覆盖率达</w:t>
      </w:r>
      <w:r>
        <w:rPr>
          <w:color w:val="191919"/>
          <w:shd w:val="clear" w:color="auto" w:fill="FFFFFF"/>
        </w:rPr>
        <w:t>71.7%</w:t>
      </w:r>
      <w:r>
        <w:rPr>
          <w:rFonts w:hint="eastAsia"/>
          <w:color w:val="191919"/>
          <w:shd w:val="clear" w:color="auto" w:fill="FFFFFF"/>
        </w:rPr>
        <w:t>，</w:t>
      </w:r>
      <w:r>
        <w:rPr>
          <w:rFonts w:hint="eastAsia" w:eastAsia="MicrosoftYaHei"/>
          <w:color w:val="333333"/>
          <w:spacing w:val="8"/>
          <w:shd w:val="clear" w:color="auto" w:fill="F8F9F9"/>
        </w:rPr>
        <w:t>建成</w:t>
      </w:r>
      <w:r>
        <w:rPr>
          <w:rFonts w:hint="eastAsia"/>
          <w:color w:val="333333"/>
          <w:spacing w:val="8"/>
          <w:shd w:val="clear" w:color="auto" w:fill="F8F9F9"/>
        </w:rPr>
        <w:t>了</w:t>
      </w:r>
      <w:r>
        <w:rPr>
          <w:rFonts w:hint="eastAsia" w:eastAsia="MicrosoftYaHei"/>
          <w:color w:val="333333"/>
          <w:spacing w:val="8"/>
          <w:shd w:val="clear" w:color="auto" w:fill="F8F9F9"/>
        </w:rPr>
        <w:t>峃口镇、巨屿镇、铜铃山镇三个省级森林城镇</w:t>
      </w:r>
      <w:r>
        <w:rPr>
          <w:rFonts w:hint="eastAsia"/>
          <w:color w:val="333333"/>
          <w:spacing w:val="8"/>
          <w:shd w:val="clear" w:color="auto" w:fill="F8F9F9"/>
        </w:rPr>
        <w:t>，</w:t>
      </w:r>
      <w:r>
        <w:rPr>
          <w:rFonts w:hint="eastAsia"/>
          <w:color w:val="191919"/>
          <w:shd w:val="clear" w:color="auto" w:fill="FFFFFF"/>
        </w:rPr>
        <w:t>拥有国家级森林公园及省市级森林康养基地等，丰富的森林资源与景观构成了风景区内独特的森林氧吧、森海秘境景观，以石垟景区、牛栏湾景区、金朱林场等为代表。</w:t>
      </w:r>
    </w:p>
    <w:p>
      <w:pPr>
        <w:numPr>
          <w:ilvl w:val="255"/>
          <w:numId w:val="0"/>
        </w:numPr>
        <w:spacing w:before="97" w:beforeLines="30"/>
        <w:ind w:firstLine="480" w:firstLineChars="200"/>
        <w:rPr>
          <w:color w:val="191919"/>
          <w:shd w:val="clear" w:color="auto" w:fill="FFFFFF"/>
        </w:rPr>
      </w:pPr>
      <w:r>
        <w:rPr>
          <w:rFonts w:hint="eastAsia"/>
          <w:color w:val="191919"/>
          <w:shd w:val="clear" w:color="auto" w:fill="FFFFFF"/>
        </w:rPr>
        <w:t>石垟景区包括月老山和猴王谷两片，原为石垟林场区域，广布原始次常绿森林，空气清新，是天然的氧吧，以原始自然、花奇草异、木古水奇，藤树相缠，物富景幽、人猴互动为特色，猴、麂、鸟、雀等野生动物出没林间，共同构成了生物多样的森林秘境。规划该区域以森林资源保护、生物栖息地保护为主，加强动植物的科普与展示，严禁违规破坏和大规模开发，修缮现有游步道，完善以户外探险、运动等活动为主的游赏活动，健全安全防护等基础设施。</w:t>
      </w:r>
    </w:p>
    <w:p>
      <w:pPr>
        <w:numPr>
          <w:ilvl w:val="255"/>
          <w:numId w:val="0"/>
        </w:numPr>
        <w:spacing w:before="97" w:beforeLines="30"/>
        <w:ind w:firstLine="480" w:firstLineChars="200"/>
        <w:rPr>
          <w:rFonts w:ascii="Arial" w:hAnsi="Arial" w:cs="Arial"/>
          <w:color w:val="191919"/>
          <w:shd w:val="clear" w:color="auto" w:fill="FFFFFF"/>
        </w:rPr>
      </w:pPr>
      <w:r>
        <w:rPr>
          <w:rFonts w:hint="eastAsia"/>
          <w:color w:val="191919"/>
          <w:shd w:val="clear" w:color="auto" w:fill="FFFFFF"/>
        </w:rPr>
        <w:t>金朱林场原为金珠省级森林公园（</w:t>
      </w:r>
      <w:r>
        <w:rPr>
          <w:color w:val="191919"/>
          <w:shd w:val="clear" w:color="auto" w:fill="FFFFFF"/>
        </w:rPr>
        <w:t>2010</w:t>
      </w:r>
      <w:r>
        <w:rPr>
          <w:rFonts w:hint="eastAsia"/>
          <w:color w:val="191919"/>
          <w:shd w:val="clear" w:color="auto" w:fill="FFFFFF"/>
        </w:rPr>
        <w:t>年设立），总面积超</w:t>
      </w:r>
      <w:r>
        <w:rPr>
          <w:color w:val="191919"/>
          <w:shd w:val="clear" w:color="auto" w:fill="FFFFFF"/>
        </w:rPr>
        <w:t>1600</w:t>
      </w:r>
      <w:r>
        <w:rPr>
          <w:rFonts w:hint="eastAsia"/>
          <w:color w:val="191919"/>
          <w:shd w:val="clear" w:color="auto" w:fill="FFFFFF"/>
        </w:rPr>
        <w:t>公顷，公园平均海拔在</w:t>
      </w:r>
      <w:r>
        <w:rPr>
          <w:color w:val="191919"/>
          <w:shd w:val="clear" w:color="auto" w:fill="FFFFFF"/>
        </w:rPr>
        <w:t>900</w:t>
      </w:r>
      <w:r>
        <w:rPr>
          <w:rFonts w:hint="eastAsia"/>
          <w:color w:val="191919"/>
          <w:shd w:val="clear" w:color="auto" w:fill="FFFFFF"/>
        </w:rPr>
        <w:t>米以上，森林覆盖率</w:t>
      </w:r>
      <w:r>
        <w:rPr>
          <w:color w:val="191919"/>
          <w:shd w:val="clear" w:color="auto" w:fill="FFFFFF"/>
        </w:rPr>
        <w:t>97.5%</w:t>
      </w:r>
      <w:r>
        <w:rPr>
          <w:rFonts w:hint="eastAsia"/>
          <w:color w:val="191919"/>
          <w:shd w:val="clear" w:color="auto" w:fill="FFFFFF"/>
        </w:rPr>
        <w:t>，最高峰高尖顶海拔</w:t>
      </w:r>
      <w:r>
        <w:rPr>
          <w:color w:val="191919"/>
          <w:shd w:val="clear" w:color="auto" w:fill="FFFFFF"/>
        </w:rPr>
        <w:t>1111</w:t>
      </w:r>
      <w:r>
        <w:rPr>
          <w:rFonts w:hint="eastAsia"/>
          <w:color w:val="191919"/>
          <w:shd w:val="clear" w:color="auto" w:fill="FFFFFF"/>
        </w:rPr>
        <w:t>米，森林之中还分布有罕见的</w:t>
      </w:r>
      <w:r>
        <w:rPr>
          <w:color w:val="191919"/>
          <w:shd w:val="clear" w:color="auto" w:fill="FFFFFF"/>
        </w:rPr>
        <w:t>14</w:t>
      </w:r>
      <w:r>
        <w:rPr>
          <w:rFonts w:hint="eastAsia"/>
          <w:color w:val="191919"/>
          <w:shd w:val="clear" w:color="auto" w:fill="FFFFFF"/>
        </w:rPr>
        <w:t>处高山湿地，夏季树木葱郁，秋季云雾缭绕，冬季雾凇成为特色景点。规划将其纳入朱阳九峰景区，作</w:t>
      </w:r>
      <w:r>
        <w:rPr>
          <w:rFonts w:hint="eastAsia" w:ascii="Arial" w:hAnsi="Arial" w:cs="Arial"/>
          <w:color w:val="191919"/>
          <w:shd w:val="clear" w:color="auto" w:fill="FFFFFF"/>
        </w:rPr>
        <w:t>为朱阳九峰游赏的延伸，以保护为前提，特色景观以展示森林季相景观与高山湿地为主。</w:t>
      </w:r>
    </w:p>
    <w:p>
      <w:pPr>
        <w:spacing w:before="97" w:beforeLines="30"/>
        <w:ind w:firstLine="480"/>
        <w:rPr>
          <w:rFonts w:ascii="Calibri" w:hAnsi="宋体"/>
          <w:szCs w:val="22"/>
        </w:rPr>
      </w:pPr>
      <w:r>
        <w:rPr>
          <w:rFonts w:hint="eastAsia" w:ascii="Arial" w:hAnsi="Arial" w:cs="Arial"/>
          <w:color w:val="191919"/>
          <w:shd w:val="clear" w:color="auto" w:fill="FFFFFF"/>
        </w:rPr>
        <w:t>牛栏湾景区</w:t>
      </w:r>
      <w:r>
        <w:rPr>
          <w:rFonts w:hint="eastAsia" w:ascii="Calibri" w:hAnsi="宋体"/>
          <w:szCs w:val="22"/>
        </w:rPr>
        <w:t>包含山华林场的李井林场、秀峰岩林场两个林区，原为省级森林公园，景区内植物种类有</w:t>
      </w:r>
      <w:r>
        <w:rPr>
          <w:rFonts w:ascii="Calibri" w:hAnsi="宋体"/>
          <w:szCs w:val="22"/>
        </w:rPr>
        <w:t>129</w:t>
      </w:r>
      <w:r>
        <w:rPr>
          <w:rFonts w:hint="eastAsia" w:ascii="Calibri" w:hAnsi="宋体"/>
          <w:szCs w:val="22"/>
        </w:rPr>
        <w:t>科</w:t>
      </w:r>
      <w:r>
        <w:rPr>
          <w:rFonts w:ascii="Calibri" w:hAnsi="宋体"/>
          <w:szCs w:val="22"/>
        </w:rPr>
        <w:t>603</w:t>
      </w:r>
      <w:r>
        <w:rPr>
          <w:rFonts w:hint="eastAsia" w:ascii="Calibri" w:hAnsi="宋体"/>
          <w:szCs w:val="22"/>
        </w:rPr>
        <w:t>种，拥有国家重点保护植物</w:t>
      </w:r>
      <w:r>
        <w:rPr>
          <w:rFonts w:ascii="Calibri" w:hAnsi="宋体"/>
          <w:szCs w:val="22"/>
        </w:rPr>
        <w:t>8</w:t>
      </w:r>
      <w:r>
        <w:rPr>
          <w:rFonts w:hint="eastAsia" w:ascii="Calibri" w:hAnsi="宋体"/>
          <w:szCs w:val="22"/>
        </w:rPr>
        <w:t>种，森林景观以“林野、谷深、瀑急、潭碧、湖秀、岩奇”为特色，进行重点游赏引导与展示。规划以保护为主，完善南北片区游赏步道体系，修缮必要的林区道路，用于森林消防与管理。</w:t>
      </w:r>
    </w:p>
    <w:p>
      <w:pPr>
        <w:spacing w:before="163" w:beforeLines="50" w:line="520" w:lineRule="exact"/>
        <w:ind w:firstLine="480"/>
        <w:rPr>
          <w:rFonts w:asciiTheme="minorEastAsia" w:hAnsiTheme="minorEastAsia" w:eastAsiaTheme="minorEastAsia"/>
          <w:b/>
          <w:szCs w:val="22"/>
        </w:rPr>
      </w:pPr>
      <w:r>
        <w:rPr>
          <w:rFonts w:ascii="Calibri" w:hAnsi="Calibri" w:eastAsiaTheme="minorEastAsia"/>
          <w:szCs w:val="22"/>
        </w:rPr>
        <w:t>8</w:t>
      </w:r>
      <w:r>
        <w:rPr>
          <w:rFonts w:hint="eastAsia" w:asciiTheme="minorEastAsia" w:hAnsiTheme="minorEastAsia" w:eastAsiaTheme="minorEastAsia"/>
          <w:b/>
          <w:szCs w:val="22"/>
        </w:rPr>
        <w:t>、“红枫古道”景观</w:t>
      </w:r>
    </w:p>
    <w:p>
      <w:pPr>
        <w:spacing w:before="97" w:beforeLines="30"/>
        <w:ind w:firstLine="480"/>
        <w:rPr>
          <w:rFonts w:ascii="Arial" w:hAnsi="Arial" w:cs="Arial"/>
          <w:color w:val="191919"/>
          <w:shd w:val="clear" w:color="auto" w:fill="FFFFFF"/>
        </w:rPr>
      </w:pPr>
      <w:r>
        <w:rPr>
          <w:rFonts w:hint="eastAsia" w:ascii="Arial" w:hAnsi="Arial" w:cs="Arial"/>
          <w:color w:val="191919"/>
          <w:shd w:val="clear" w:color="auto" w:fill="FFFFFF"/>
        </w:rPr>
        <w:t>古时，文成县境内山路崎岖、古道交错。现今，风景区内古道遗存丰富，以大会岭、道岭古道为突出代表，还包括有岭根古道等。</w:t>
      </w:r>
    </w:p>
    <w:p>
      <w:pPr>
        <w:spacing w:before="97" w:beforeLines="30"/>
        <w:ind w:firstLine="482"/>
        <w:rPr>
          <w:rFonts w:ascii="Calibri" w:hAnsi="Calibri"/>
          <w:b/>
          <w:bCs/>
          <w:szCs w:val="22"/>
        </w:rPr>
      </w:pPr>
      <w:r>
        <w:rPr>
          <w:rFonts w:hint="eastAsia" w:ascii="Calibri" w:hAnsi="Calibri"/>
          <w:b/>
          <w:bCs/>
          <w:szCs w:val="22"/>
        </w:rPr>
        <w:t>（</w:t>
      </w:r>
      <w:r>
        <w:rPr>
          <w:rFonts w:ascii="Calibri" w:hAnsi="Calibri"/>
          <w:b/>
          <w:bCs/>
          <w:szCs w:val="22"/>
        </w:rPr>
        <w:t>1</w:t>
      </w:r>
      <w:r>
        <w:rPr>
          <w:rFonts w:hint="eastAsia" w:ascii="Calibri" w:hAnsi="Calibri"/>
          <w:b/>
          <w:bCs/>
          <w:szCs w:val="22"/>
        </w:rPr>
        <w:t>）大会岭、道岭古道</w:t>
      </w:r>
    </w:p>
    <w:p>
      <w:pPr>
        <w:spacing w:before="97" w:beforeLines="30"/>
        <w:ind w:firstLine="480"/>
        <w:rPr>
          <w:rFonts w:ascii="Calibri" w:hAnsi="Calibri"/>
          <w:szCs w:val="22"/>
        </w:rPr>
      </w:pPr>
      <w:r>
        <w:rPr>
          <w:rFonts w:hint="eastAsia" w:ascii="Calibri" w:hAnsi="Calibri"/>
          <w:szCs w:val="22"/>
        </w:rPr>
        <w:t>风景区范围内涉及重要的红枫古道为“大会岭、道岭古道”，为一级景点，位于大峃镇西，百丈飞瀑景区东南侧，为省级文物保护单位。文成县境内现今保存较为完好的红枫古道尚有七十余条，共计古枫</w:t>
      </w:r>
      <w:r>
        <w:rPr>
          <w:rFonts w:ascii="Calibri" w:hAnsi="Calibri"/>
          <w:szCs w:val="22"/>
        </w:rPr>
        <w:t>3000</w:t>
      </w:r>
      <w:r>
        <w:rPr>
          <w:rFonts w:hint="eastAsia" w:ascii="Calibri" w:hAnsi="Calibri"/>
          <w:szCs w:val="22"/>
        </w:rPr>
        <w:t>多棵，均修建于元、明时期。</w:t>
      </w:r>
      <w:r>
        <w:rPr>
          <w:rFonts w:hint="eastAsia" w:ascii="Arial" w:hAnsi="Arial" w:eastAsia="Arial" w:cs="Arial"/>
          <w:color w:val="191919"/>
          <w:shd w:val="clear" w:color="auto" w:fill="FFFFFF"/>
        </w:rPr>
        <w:t>其中最有名的要数大会岭</w:t>
      </w:r>
      <w:r>
        <w:rPr>
          <w:rFonts w:hint="eastAsia" w:ascii="Arial" w:hAnsi="Arial" w:cs="Arial"/>
          <w:color w:val="191919"/>
          <w:shd w:val="clear" w:color="auto" w:fill="FFFFFF"/>
        </w:rPr>
        <w:t>古道</w:t>
      </w:r>
      <w:r>
        <w:rPr>
          <w:rFonts w:hint="eastAsia" w:ascii="Arial" w:hAnsi="Arial" w:eastAsia="Arial" w:cs="Arial"/>
          <w:color w:val="191919"/>
          <w:shd w:val="clear" w:color="auto" w:fill="FFFFFF"/>
        </w:rPr>
        <w:t>、岩庵岭</w:t>
      </w:r>
      <w:r>
        <w:rPr>
          <w:rFonts w:hint="eastAsia" w:ascii="Arial" w:hAnsi="Arial" w:cs="Arial"/>
          <w:color w:val="191919"/>
          <w:shd w:val="clear" w:color="auto" w:fill="FFFFFF"/>
        </w:rPr>
        <w:t>古道</w:t>
      </w:r>
      <w:r>
        <w:rPr>
          <w:rFonts w:hint="eastAsia" w:ascii="Arial" w:hAnsi="Arial" w:eastAsia="Arial" w:cs="Arial"/>
          <w:color w:val="191919"/>
          <w:shd w:val="clear" w:color="auto" w:fill="FFFFFF"/>
        </w:rPr>
        <w:t>、猫狸擂岭</w:t>
      </w:r>
      <w:r>
        <w:rPr>
          <w:rFonts w:hint="eastAsia" w:ascii="Arial" w:hAnsi="Arial" w:cs="Arial"/>
          <w:color w:val="191919"/>
          <w:shd w:val="clear" w:color="auto" w:fill="FFFFFF"/>
        </w:rPr>
        <w:t>古道</w:t>
      </w:r>
      <w:r>
        <w:rPr>
          <w:rFonts w:hint="eastAsia" w:ascii="Arial" w:hAnsi="Arial" w:eastAsia="Arial" w:cs="Arial"/>
          <w:color w:val="191919"/>
          <w:shd w:val="clear" w:color="auto" w:fill="FFFFFF"/>
        </w:rPr>
        <w:t>、龙川岭</w:t>
      </w:r>
      <w:r>
        <w:rPr>
          <w:rFonts w:hint="eastAsia" w:ascii="Arial" w:hAnsi="Arial" w:cs="Arial"/>
          <w:color w:val="191919"/>
          <w:shd w:val="clear" w:color="auto" w:fill="FFFFFF"/>
        </w:rPr>
        <w:t>古道等，每当</w:t>
      </w:r>
      <w:r>
        <w:rPr>
          <w:rFonts w:hint="eastAsia" w:ascii="Arial" w:hAnsi="Arial" w:eastAsia="Arial" w:cs="Arial"/>
          <w:color w:val="191919"/>
          <w:shd w:val="clear" w:color="auto" w:fill="FFFFFF"/>
        </w:rPr>
        <w:t>冬日暖阳，丹枫似火，与古道一同盘绕山间，堪称绝美</w:t>
      </w:r>
      <w:r>
        <w:rPr>
          <w:rFonts w:hint="eastAsia" w:ascii="Arial" w:hAnsi="Arial" w:cs="Arial"/>
          <w:color w:val="191919"/>
          <w:shd w:val="clear" w:color="auto" w:fill="FFFFFF"/>
        </w:rPr>
        <w:t>。文成民间常有</w:t>
      </w:r>
      <w:r>
        <w:rPr>
          <w:rFonts w:hint="eastAsia" w:ascii="Calibri" w:hAnsi="Calibri"/>
          <w:szCs w:val="22"/>
        </w:rPr>
        <w:t>民谣曰：“南田九条岭，条条透天顶”，九条岭旁遍植红枫，秋风霜降，枫叶泛红，逶迤而上山顶，若红龙腾空，煞是壮观。</w:t>
      </w:r>
    </w:p>
    <w:p>
      <w:pPr>
        <w:spacing w:before="97" w:beforeLines="30"/>
        <w:ind w:firstLine="482"/>
        <w:rPr>
          <w:rFonts w:ascii="Calibri" w:hAnsi="Calibri"/>
          <w:b/>
          <w:bCs/>
          <w:szCs w:val="22"/>
        </w:rPr>
      </w:pPr>
      <w:r>
        <w:rPr>
          <w:rFonts w:hint="eastAsia" w:ascii="Calibri" w:hAnsi="Calibri"/>
          <w:b/>
          <w:bCs/>
          <w:szCs w:val="22"/>
        </w:rPr>
        <w:t>（</w:t>
      </w:r>
      <w:r>
        <w:rPr>
          <w:rFonts w:ascii="Calibri" w:hAnsi="Calibri"/>
          <w:b/>
          <w:bCs/>
          <w:szCs w:val="22"/>
        </w:rPr>
        <w:t>2</w:t>
      </w:r>
      <w:r>
        <w:rPr>
          <w:rFonts w:hint="eastAsia" w:ascii="Calibri" w:hAnsi="Calibri"/>
          <w:b/>
          <w:bCs/>
          <w:szCs w:val="22"/>
        </w:rPr>
        <w:t>）岭根古道</w:t>
      </w:r>
    </w:p>
    <w:p>
      <w:pPr>
        <w:spacing w:before="97" w:beforeLines="30"/>
        <w:ind w:firstLine="480"/>
        <w:rPr>
          <w:rFonts w:ascii="Calibri" w:hAnsi="Calibri"/>
          <w:szCs w:val="22"/>
        </w:rPr>
      </w:pPr>
      <w:r>
        <w:rPr>
          <w:rFonts w:hint="eastAsia" w:ascii="Calibri" w:hAnsi="Calibri"/>
          <w:szCs w:val="22"/>
        </w:rPr>
        <w:t>岭根古道是位于南田镇武阳村至青田县岭根乡岭根村间的道路，也被称为岭根岭古道，全程</w:t>
      </w:r>
      <w:r>
        <w:rPr>
          <w:rFonts w:ascii="Calibri" w:hAnsi="Calibri"/>
          <w:szCs w:val="22"/>
        </w:rPr>
        <w:t>10</w:t>
      </w:r>
      <w:r>
        <w:rPr>
          <w:rFonts w:hint="eastAsia" w:ascii="Calibri" w:hAnsi="Calibri"/>
          <w:szCs w:val="22"/>
        </w:rPr>
        <w:t>多公里，南北走向，南通往南田镇、文成县城、瑞安市，北下达青田县、丽水市，分布有茶亭、茶屋、一勺堂、云来门、两通亭等景观景物。岭根古道在伯温故里景区内分布约</w:t>
      </w:r>
      <w:r>
        <w:rPr>
          <w:rFonts w:ascii="Calibri" w:hAnsi="Calibri"/>
          <w:szCs w:val="22"/>
        </w:rPr>
        <w:t>600m</w:t>
      </w:r>
      <w:r>
        <w:rPr>
          <w:rFonts w:hint="eastAsia" w:ascii="Calibri" w:hAnsi="Calibri"/>
          <w:szCs w:val="22"/>
        </w:rPr>
        <w:t>，位于武阳村新亭西侧山林中。</w:t>
      </w:r>
    </w:p>
    <w:p>
      <w:pPr>
        <w:spacing w:before="97" w:beforeLines="30"/>
        <w:ind w:firstLine="480"/>
        <w:rPr>
          <w:rFonts w:ascii="Calibri" w:hAnsi="Calibri"/>
          <w:szCs w:val="22"/>
        </w:rPr>
      </w:pPr>
      <w:r>
        <w:rPr>
          <w:rFonts w:hint="eastAsia" w:ascii="Calibri" w:hAnsi="Calibri"/>
          <w:szCs w:val="22"/>
        </w:rPr>
        <w:t>规划建议以古道的本体和环境风貌保护为前提，加强古道修缮与养护，加强对周围山体环境与景观植被的保护。游赏上，结合百丈飞瀑景区与东北侧紧邻的大峃吴垟岭古道，重点贯通游步道体系，建立联系大峃镇与百丈飞瀑景区的游赏体系，并设置沿线观景点和标识导览系统，完善配套休憩设施，形成串联一体、互补互衬的徒步游赏线路。此外，结合伯温故里景区武阳村游步道与五角仙山等景点，串联游赏体系，完善步道建设与标识引导，系统保护和修缮岭根古道。</w:t>
      </w:r>
    </w:p>
    <w:p>
      <w:pPr>
        <w:spacing w:before="97" w:beforeLines="30"/>
        <w:ind w:firstLine="480" w:firstLineChars="0"/>
        <w:rPr>
          <w:rFonts w:ascii="宋体" w:hAnsi="宋体" w:cs="宋体"/>
          <w:b/>
          <w:bCs/>
          <w:u w:val="single"/>
        </w:rPr>
      </w:pPr>
      <w:r>
        <w:rPr>
          <w:rFonts w:ascii="宋体" w:hAnsi="宋体" w:cs="宋体"/>
          <w:b/>
          <w:bCs/>
        </w:rPr>
        <w:t>9、</w:t>
      </w:r>
      <w:r>
        <w:rPr>
          <w:rFonts w:hint="eastAsia" w:cs="宋体"/>
          <w:b/>
          <w:bCs/>
        </w:rPr>
        <w:t>“红色遗迹”</w:t>
      </w:r>
      <w:r>
        <w:rPr>
          <w:rFonts w:hint="eastAsia" w:ascii="宋体" w:hAnsi="宋体" w:cs="宋体"/>
          <w:b/>
          <w:bCs/>
        </w:rPr>
        <w:t>景观</w:t>
      </w:r>
    </w:p>
    <w:p>
      <w:pPr>
        <w:widowControl/>
        <w:ind w:firstLine="480"/>
        <w:jc w:val="left"/>
        <w:rPr>
          <w:rFonts w:ascii="Calibri" w:hAnsi="Calibri"/>
          <w:szCs w:val="22"/>
        </w:rPr>
      </w:pPr>
      <w:r>
        <w:rPr>
          <w:rFonts w:hint="eastAsia" w:ascii="宋体" w:hAnsi="宋体" w:cs="宋体"/>
          <w:color w:val="000000"/>
          <w:kern w:val="0"/>
          <w:lang w:bidi="ar"/>
        </w:rPr>
        <w:t>文成县的革命历史与全国、浙南地区的革命历史紧密相连，是浙南革命根据地的核心战场之一。</w:t>
      </w:r>
      <w:r>
        <w:rPr>
          <w:rFonts w:ascii="宋体" w:hAnsi="宋体" w:cs="宋体"/>
          <w:color w:val="000000"/>
          <w:kern w:val="0"/>
          <w:lang w:bidi="ar"/>
        </w:rPr>
        <w:t>1988年5月，文成县被浙江省人民政府命名为“革命老根据地县”。</w:t>
      </w:r>
      <w:r>
        <w:rPr>
          <w:rFonts w:hint="eastAsia" w:ascii="Calibri" w:hAnsi="Calibri"/>
          <w:szCs w:val="22"/>
        </w:rPr>
        <w:t>文成县革命斗争时间长、范围广，拥有众多具有重要影响的革命遗址，如革命烈士事迹发生地、烈士墓等。风景区内现分布有：①父子四英烈老宅遗址、②杜山突围站遗址、③中共闽浙边临时省委和红军挺进师驻地遗址、④中共浙南特委扩大会议旧址、⑤中共浙南特委活动地旧址、⑥宝华寺地下交通站遗址、⑦一门六英烈纪念广场、⑧胡从点六兄弟烈士墓、⑨深坑岭头截击战遗址，共九处红色遗址遗迹。</w:t>
      </w:r>
    </w:p>
    <w:p>
      <w:pPr>
        <w:spacing w:before="97" w:beforeLines="30"/>
        <w:ind w:firstLine="480"/>
        <w:rPr>
          <w:rFonts w:ascii="Calibri" w:hAnsi="Calibri"/>
          <w:szCs w:val="22"/>
        </w:rPr>
      </w:pPr>
      <w:r>
        <w:rPr>
          <w:rFonts w:hint="eastAsia" w:ascii="Calibri" w:hAnsi="Calibri"/>
          <w:szCs w:val="22"/>
        </w:rPr>
        <w:t>规划以系统的历史研究为基础，保护好红色文脉，丰富红色文化相关的历史人物、历史故事、历史事件以及遗址遗迹，依托文成红色旅游电子地图，完善红色文化遗址遗迹的图片、文字、语音等多个栏目的展示，介绍全县</w:t>
      </w:r>
      <w:r>
        <w:rPr>
          <w:rFonts w:ascii="Calibri" w:hAnsi="Calibri"/>
          <w:szCs w:val="22"/>
        </w:rPr>
        <w:t>20</w:t>
      </w:r>
      <w:r>
        <w:rPr>
          <w:rFonts w:hint="eastAsia" w:ascii="Calibri" w:hAnsi="Calibri"/>
          <w:szCs w:val="22"/>
        </w:rPr>
        <w:t>处重要革命红色资源点的建筑情况、历史背景、重要革命人物事迹，并链接周边景区，讲好文成故事，延续红色记忆。</w:t>
      </w:r>
    </w:p>
    <w:p>
      <w:pPr>
        <w:pStyle w:val="4"/>
        <w:spacing w:before="163"/>
        <w:ind w:firstLine="360"/>
      </w:pPr>
      <w:r>
        <w:rPr>
          <w:rFonts w:hint="eastAsia"/>
        </w:rPr>
        <w:t>（三）解说展示场所</w:t>
      </w:r>
    </w:p>
    <w:p>
      <w:pPr>
        <w:widowControl/>
        <w:ind w:firstLine="480"/>
        <w:jc w:val="left"/>
      </w:pPr>
      <w:r>
        <w:rPr>
          <w:rFonts w:hint="eastAsia"/>
        </w:rPr>
        <w:t>规划8处一级解说中心，若干处二级解说点和三级解说点。</w:t>
      </w:r>
    </w:p>
    <w:p>
      <w:pPr>
        <w:widowControl/>
        <w:numPr>
          <w:ilvl w:val="0"/>
          <w:numId w:val="5"/>
        </w:numPr>
        <w:ind w:firstLine="480"/>
        <w:jc w:val="left"/>
      </w:pPr>
      <w:r>
        <w:rPr>
          <w:rFonts w:hint="eastAsia"/>
        </w:rPr>
        <w:t>依托旅游城和旅游镇所在地的车站、码头、集散广场等重要交通枢纽、人员集散场地、旅游服务基地进行设置一级解说中心。</w:t>
      </w:r>
    </w:p>
    <w:p>
      <w:pPr>
        <w:widowControl/>
        <w:numPr>
          <w:ilvl w:val="0"/>
          <w:numId w:val="5"/>
        </w:numPr>
        <w:ind w:firstLine="480"/>
        <w:jc w:val="left"/>
      </w:pPr>
      <w:r>
        <w:rPr>
          <w:rFonts w:hint="eastAsia"/>
        </w:rPr>
        <w:t>依托旅游村和旅游所在的游步道沿线、交通节点、重要景点和服务设施周边、人员密集场所（酒店、民宿、商业街等）作为二级解说场所。</w:t>
      </w:r>
    </w:p>
    <w:p>
      <w:pPr>
        <w:widowControl/>
        <w:numPr>
          <w:ilvl w:val="0"/>
          <w:numId w:val="5"/>
        </w:numPr>
        <w:ind w:firstLine="480"/>
        <w:jc w:val="left"/>
      </w:pPr>
      <w:r>
        <w:rPr>
          <w:rFonts w:hint="eastAsia"/>
        </w:rPr>
        <w:t>围绕服务部，设置三级配套解说场所，介绍</w:t>
      </w:r>
      <w:r>
        <w:rPr>
          <w:rFonts w:hint="eastAsia"/>
          <w:lang w:bidi="ar"/>
        </w:rPr>
        <w:t>包括区位、其他景点和景物的概况、价值、景观特色等内容。</w:t>
      </w:r>
    </w:p>
    <w:p>
      <w:pPr>
        <w:widowControl/>
        <w:numPr>
          <w:ilvl w:val="0"/>
          <w:numId w:val="5"/>
        </w:numPr>
        <w:ind w:firstLine="480"/>
        <w:jc w:val="left"/>
      </w:pPr>
      <w:r>
        <w:rPr>
          <w:rFonts w:hint="eastAsia"/>
          <w:lang w:bidi="ar"/>
        </w:rPr>
        <w:t>应</w:t>
      </w:r>
      <w:r>
        <w:rPr>
          <w:rFonts w:hint="eastAsia"/>
        </w:rPr>
        <w:t>积极开展科学考察研究、青少年教育、讲座与展览、志愿者体验活动等科普教育活动，并加强“智慧文成”展示，建设景城之间智慧、便利的公共旅游服务体系，打造智慧旅游服务平台，提高智慧景区治理能力，实现实时、精细、动态管理。</w:t>
      </w:r>
    </w:p>
    <w:p>
      <w:pPr>
        <w:pStyle w:val="4"/>
        <w:spacing w:before="163"/>
        <w:ind w:firstLine="360"/>
      </w:pPr>
      <w:r>
        <w:rPr>
          <w:rFonts w:hint="eastAsia"/>
        </w:rPr>
        <w:t>（四）解说展示方式</w:t>
      </w:r>
    </w:p>
    <w:p>
      <w:pPr>
        <w:spacing w:before="97" w:beforeLines="30"/>
        <w:ind w:firstLine="482"/>
        <w:rPr>
          <w:b/>
          <w:bCs/>
        </w:rPr>
      </w:pPr>
      <w:r>
        <w:rPr>
          <w:rFonts w:hint="eastAsia"/>
          <w:b/>
          <w:bCs/>
        </w:rPr>
        <w:t>1、解说导览</w:t>
      </w:r>
    </w:p>
    <w:p>
      <w:pPr>
        <w:spacing w:before="97" w:beforeLines="30"/>
        <w:ind w:firstLine="480"/>
      </w:pPr>
      <w:r>
        <w:rPr>
          <w:rFonts w:hint="eastAsia"/>
        </w:rPr>
        <w:t>导游解说。以专业导游向游客进行主动的、动态的信息传导，包括信息咨询、导游活动、向团队演讲、现场解说等。</w:t>
      </w:r>
    </w:p>
    <w:p>
      <w:pPr>
        <w:spacing w:before="97" w:beforeLines="30"/>
        <w:ind w:firstLine="480"/>
      </w:pPr>
      <w:r>
        <w:rPr>
          <w:rFonts w:hint="eastAsia"/>
        </w:rPr>
        <w:t>语音导览。提供个性化的语音导览服务，可在服务部设置语音导览机租借设施，或开发导览小程序，使游客可以通过在线获得语音导览服务。</w:t>
      </w:r>
    </w:p>
    <w:p>
      <w:pPr>
        <w:spacing w:before="97" w:beforeLines="30"/>
        <w:ind w:firstLine="482"/>
        <w:rPr>
          <w:b/>
          <w:bCs/>
        </w:rPr>
      </w:pPr>
      <w:r>
        <w:rPr>
          <w:rFonts w:hint="eastAsia"/>
          <w:b/>
          <w:bCs/>
        </w:rPr>
        <w:t>2、设施展示</w:t>
      </w:r>
    </w:p>
    <w:p>
      <w:pPr>
        <w:spacing w:before="97" w:beforeLines="30"/>
        <w:ind w:firstLine="480"/>
      </w:pPr>
      <w:r>
        <w:rPr>
          <w:rFonts w:hint="eastAsia"/>
        </w:rPr>
        <w:t>视听媒体。应在各游客中心和服务部建立多媒体展示和计算机导览系统，提供游览信息查询服务。</w:t>
      </w:r>
    </w:p>
    <w:p>
      <w:pPr>
        <w:spacing w:before="97" w:beforeLines="30"/>
        <w:ind w:firstLine="480"/>
      </w:pPr>
      <w:r>
        <w:rPr>
          <w:rFonts w:hint="eastAsia"/>
        </w:rPr>
        <w:t>标识标牌。风景区应在游步道沿线和景源周边设置完善标识标牌体系。标识标牌尽可能采用生态化耐用材质；至少包括中、英文双语；资源介绍和科普解释类的标牌内容应清晰明确、图文并貌。</w:t>
      </w:r>
    </w:p>
    <w:p>
      <w:pPr>
        <w:spacing w:before="97" w:beforeLines="30"/>
        <w:ind w:firstLine="482"/>
        <w:rPr>
          <w:b/>
          <w:bCs/>
        </w:rPr>
      </w:pPr>
      <w:r>
        <w:rPr>
          <w:rFonts w:hint="eastAsia"/>
          <w:b/>
          <w:bCs/>
        </w:rPr>
        <w:t>3、出版、印刷品与电子阅读产品</w:t>
      </w:r>
    </w:p>
    <w:p>
      <w:pPr>
        <w:spacing w:before="97" w:beforeLines="30"/>
        <w:ind w:firstLine="480"/>
      </w:pPr>
      <w:r>
        <w:rPr>
          <w:rFonts w:hint="eastAsia"/>
        </w:rPr>
        <w:t>风景区应组织编撰各类出版物、印刷品与电子阅读产品，面向社会和游客介绍风景资源、文化资源和生态资源。</w:t>
      </w:r>
    </w:p>
    <w:p>
      <w:pPr>
        <w:spacing w:before="97" w:beforeLines="30"/>
        <w:ind w:firstLine="482"/>
        <w:rPr>
          <w:b/>
          <w:bCs/>
        </w:rPr>
      </w:pPr>
      <w:r>
        <w:rPr>
          <w:rFonts w:hint="eastAsia"/>
          <w:b/>
          <w:bCs/>
        </w:rPr>
        <w:t>4、智慧景区导览</w:t>
      </w:r>
    </w:p>
    <w:p>
      <w:pPr>
        <w:spacing w:before="97" w:beforeLines="30"/>
        <w:ind w:firstLine="480"/>
      </w:pPr>
      <w:r>
        <w:rPr>
          <w:rFonts w:hint="eastAsia"/>
        </w:rPr>
        <w:t>手机终端。为游客提供手机自助导游软件（移动APP应用或小程序）下载，软件应具备风景区地图查询搜索、定位导航、游览线路规划和线路选择、景点自助讲解等功能。此外，可在重要景点设置二维码，游客通过扫描二维码获得景点的解说内容。相关功能可结合景区票务管理等平台实现。</w:t>
      </w:r>
    </w:p>
    <w:p>
      <w:pPr>
        <w:spacing w:before="97" w:beforeLines="30"/>
        <w:ind w:firstLine="480"/>
      </w:pPr>
      <w:r>
        <w:rPr>
          <w:rFonts w:hint="eastAsia"/>
        </w:rPr>
        <w:t>VR景区智慧导航导视服务。第一，开发景区定位导航，GPS定位导航系统在线或离线提供景区全貌手绘地图，并支持GPS定位导航，可点击目的地名称或搜索名称导航，为户外活动提供导览服务保障。第二，开发室内VR体验项目，可显示游客位置，并提供3D地图定位导航、AR实景导航、VR720°全景导航，以及支持位置共享等身临其境的导览、个性化线路与沉浸体验式的云游景区服务。</w:t>
      </w:r>
    </w:p>
    <w:bookmarkEnd w:id="38"/>
    <w:p>
      <w:pPr>
        <w:pStyle w:val="3"/>
        <w:spacing w:before="326"/>
      </w:pPr>
      <w:bookmarkStart w:id="39" w:name="_Toc176456008"/>
      <w:bookmarkStart w:id="40" w:name="_Toc426579255"/>
      <w:r>
        <w:rPr>
          <w:rFonts w:hint="eastAsia"/>
        </w:rPr>
        <w:t>三、景区规划</w:t>
      </w:r>
      <w:bookmarkEnd w:id="39"/>
      <w:bookmarkEnd w:id="40"/>
    </w:p>
    <w:p>
      <w:pPr>
        <w:pStyle w:val="4"/>
        <w:spacing w:before="163"/>
        <w:ind w:firstLine="360"/>
      </w:pPr>
      <w:r>
        <w:rPr>
          <w:rFonts w:hint="eastAsia"/>
        </w:rPr>
        <w:t>（一）风景游赏总体思路</w:t>
      </w:r>
    </w:p>
    <w:p>
      <w:pPr>
        <w:spacing w:before="97" w:beforeLines="30"/>
        <w:ind w:firstLine="482"/>
        <w:rPr>
          <w:rFonts w:cs="宋体"/>
          <w:b/>
        </w:rPr>
      </w:pPr>
      <w:r>
        <w:rPr>
          <w:rFonts w:cs="宋体"/>
          <w:b/>
        </w:rPr>
        <w:t>1</w:t>
      </w:r>
      <w:r>
        <w:rPr>
          <w:rFonts w:hint="eastAsia" w:cs="宋体"/>
          <w:b/>
        </w:rPr>
        <w:t>、传统观光旅游向休闲度假型旅游转变</w:t>
      </w:r>
    </w:p>
    <w:p>
      <w:pPr>
        <w:spacing w:before="97" w:beforeLines="30"/>
        <w:ind w:firstLine="480"/>
        <w:rPr>
          <w:rFonts w:cs="宋体"/>
        </w:rPr>
      </w:pPr>
      <w:r>
        <w:rPr>
          <w:rFonts w:hint="eastAsia" w:cs="宋体"/>
        </w:rPr>
        <w:t>随着经济水平的提高，人们已经不满足传统的自然资源观光旅游，对参与性、体验性、特色休闲和度假的旅游需求将成为游客的主要需求。风景区应充分依靠其优质的自然资源和人文资源，大力发展休闲度假、文化体验、康体养生、户外运动、科普探险等项目，以满足新时代游客需求。</w:t>
      </w:r>
    </w:p>
    <w:p>
      <w:pPr>
        <w:spacing w:before="97" w:beforeLines="30"/>
        <w:ind w:firstLine="482"/>
        <w:rPr>
          <w:rFonts w:cs="宋体"/>
          <w:b/>
        </w:rPr>
      </w:pPr>
      <w:r>
        <w:rPr>
          <w:rFonts w:cs="宋体"/>
          <w:b/>
        </w:rPr>
        <w:t>2</w:t>
      </w:r>
      <w:r>
        <w:rPr>
          <w:rFonts w:hint="eastAsia" w:cs="宋体"/>
          <w:b/>
        </w:rPr>
        <w:t>、因地制宜打造独特的生态旅游产品</w:t>
      </w:r>
    </w:p>
    <w:p>
      <w:pPr>
        <w:spacing w:before="97" w:beforeLines="30"/>
        <w:ind w:firstLine="480"/>
        <w:rPr>
          <w:rFonts w:cs="宋体"/>
        </w:rPr>
      </w:pPr>
      <w:r>
        <w:rPr>
          <w:rFonts w:hint="eastAsia" w:cs="宋体"/>
        </w:rPr>
        <w:t>文成多山地，因此交通不方便，使得这里一直保持了得天独厚的原生态环境。文成县文旅产业的发展应充分利用这片大自然赋予的先天禀赋，开发原生态、与生态环境相和谐的休闲度假类的旅游产品，实现可持续的发展。</w:t>
      </w:r>
    </w:p>
    <w:p>
      <w:pPr>
        <w:numPr>
          <w:ilvl w:val="0"/>
          <w:numId w:val="6"/>
        </w:numPr>
        <w:spacing w:before="97" w:beforeLines="30"/>
        <w:ind w:firstLine="480" w:firstLineChars="0"/>
        <w:rPr>
          <w:rFonts w:cs="宋体"/>
          <w:b/>
          <w:bCs/>
        </w:rPr>
      </w:pPr>
      <w:r>
        <w:rPr>
          <w:rFonts w:hint="eastAsia" w:cs="宋体"/>
          <w:b/>
          <w:bCs/>
        </w:rPr>
        <w:t>由点带面盘活全域旅游资源</w:t>
      </w:r>
    </w:p>
    <w:p>
      <w:pPr>
        <w:spacing w:before="97" w:beforeLines="30"/>
        <w:ind w:firstLine="480" w:firstLineChars="0"/>
        <w:rPr>
          <w:rFonts w:cs="宋体"/>
        </w:rPr>
      </w:pPr>
      <w:r>
        <w:rPr>
          <w:rFonts w:hint="eastAsia" w:cs="宋体"/>
        </w:rPr>
        <w:t>在充分保护自然生态环境的的前提下，依托风景区在文成县域内分布范围广的特性，以风景区为主，完善旅游和游步道体系建设，串联旅游资源条件优越的区域（如铜铃山森林公园、刘基庙等），由点带面，构建全域游赏体系。</w:t>
      </w:r>
    </w:p>
    <w:p>
      <w:pPr>
        <w:pStyle w:val="4"/>
        <w:spacing w:before="163"/>
        <w:ind w:firstLine="360"/>
      </w:pPr>
      <w:r>
        <w:rPr>
          <w:rFonts w:hint="eastAsia"/>
        </w:rPr>
        <w:t>（二）景区划分及建设要求</w:t>
      </w:r>
    </w:p>
    <w:p>
      <w:pPr>
        <w:spacing w:before="97" w:beforeLines="30"/>
        <w:ind w:firstLine="480"/>
        <w:rPr>
          <w:rFonts w:cs="宋体"/>
        </w:rPr>
      </w:pPr>
      <w:r>
        <w:rPr>
          <w:rFonts w:hint="eastAsia" w:cs="宋体"/>
        </w:rPr>
        <w:t>根据风景区的景源组合和地域分布特征，划分百丈漈、飞云湖、铜铃山三大片区，百丈漈片区包括：百丈飞瀑、朱阳九峰、伯温故里三大景区；铜铃山片区包括石垟、龙麒源两大景区，以及外围的铜铃山森林公园，可构成区域整体；飞云湖片区包括岩门大峡谷、飞云湖、牛栏湾三大景区。</w:t>
      </w:r>
    </w:p>
    <w:p>
      <w:pPr>
        <w:spacing w:before="97" w:beforeLines="30"/>
        <w:ind w:firstLine="482"/>
        <w:rPr>
          <w:rFonts w:cs="宋体"/>
          <w:b/>
        </w:rPr>
      </w:pPr>
      <w:r>
        <w:rPr>
          <w:rFonts w:hint="eastAsia" w:cs="宋体"/>
          <w:b/>
        </w:rPr>
        <w:t>1、百丈飞瀑景区</w:t>
      </w:r>
    </w:p>
    <w:p>
      <w:pPr>
        <w:spacing w:before="97" w:beforeLines="30"/>
        <w:ind w:firstLine="482"/>
        <w:rPr>
          <w:rFonts w:cs="宋体"/>
        </w:rPr>
      </w:pPr>
      <w:r>
        <w:rPr>
          <w:rFonts w:hint="eastAsia" w:cs="宋体"/>
          <w:b/>
        </w:rPr>
        <w:t>（1）景区概况</w:t>
      </w:r>
      <w:r>
        <w:rPr>
          <w:rFonts w:hint="eastAsia" w:cs="宋体"/>
        </w:rPr>
        <w:t>：规划将原天顶湖景区、百丈飞瀑景区和峡谷景廊景区合并为百丈飞瀑景区。以天顶湖、百丈一漈、二漈、三漈及两侧峡谷峭壁悬崖为主体空间，包含周围山体空间，景区面积</w:t>
      </w:r>
      <w:r>
        <w:rPr>
          <w:rFonts w:cs="宋体"/>
        </w:rPr>
        <w:t>11.6</w:t>
      </w:r>
      <w:r>
        <w:rPr>
          <w:rFonts w:hint="eastAsia" w:cs="宋体"/>
        </w:rPr>
        <w:t>平方公里。</w:t>
      </w:r>
    </w:p>
    <w:p>
      <w:pPr>
        <w:spacing w:before="97" w:beforeLines="30"/>
        <w:ind w:firstLine="482"/>
        <w:rPr>
          <w:rFonts w:cs="宋体"/>
        </w:rPr>
      </w:pPr>
      <w:r>
        <w:rPr>
          <w:rFonts w:hint="eastAsia" w:cs="宋体"/>
          <w:b/>
        </w:rPr>
        <w:t>（2）景区特色</w:t>
      </w:r>
      <w:r>
        <w:rPr>
          <w:rFonts w:hint="eastAsia" w:cs="宋体"/>
        </w:rPr>
        <w:t>：一是瀑布景观，尤以百丈一漈、百丈二漈、百丈三漈为著称，人云：“一漈百丈高、二漈百丈深、三漈百丈宽”；二是“文成县枫林古道第一岭”大会岭古道，被誉为“浙江最美的十大古道之一”。</w:t>
      </w:r>
    </w:p>
    <w:p>
      <w:pPr>
        <w:spacing w:before="97" w:beforeLines="30"/>
        <w:ind w:firstLine="482"/>
        <w:rPr>
          <w:rFonts w:cs="宋体"/>
        </w:rPr>
      </w:pPr>
      <w:r>
        <w:rPr>
          <w:rFonts w:hint="eastAsia" w:cs="宋体"/>
          <w:b/>
        </w:rPr>
        <w:t>（3）包含景点</w:t>
      </w:r>
      <w:r>
        <w:rPr>
          <w:rFonts w:hint="eastAsia" w:cs="宋体"/>
        </w:rPr>
        <w:t>：</w:t>
      </w:r>
    </w:p>
    <w:tbl>
      <w:tblPr>
        <w:tblStyle w:val="224"/>
        <w:tblW w:w="82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961"/>
        <w:gridCol w:w="1519"/>
        <w:gridCol w:w="1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Merge w:val="restart"/>
            <w:shd w:val="clear" w:color="auto" w:fill="E2E2E2"/>
            <w:vAlign w:val="center"/>
          </w:tcPr>
          <w:p>
            <w:pPr>
              <w:spacing w:line="240" w:lineRule="auto"/>
              <w:ind w:firstLine="0" w:firstLineChars="0"/>
              <w:jc w:val="center"/>
              <w:rPr>
                <w:rFonts w:ascii="Calibri" w:hAnsi="Calibri"/>
                <w:b/>
                <w:sz w:val="18"/>
                <w:szCs w:val="22"/>
              </w:rPr>
            </w:pPr>
            <w:r>
              <w:rPr>
                <w:rFonts w:hint="eastAsia" w:ascii="Calibri" w:hAnsi="宋体"/>
                <w:b/>
                <w:sz w:val="18"/>
                <w:szCs w:val="22"/>
              </w:rPr>
              <w:t>级别</w:t>
            </w:r>
          </w:p>
        </w:tc>
        <w:tc>
          <w:tcPr>
            <w:tcW w:w="6480" w:type="dxa"/>
            <w:gridSpan w:val="2"/>
            <w:shd w:val="clear" w:color="auto" w:fill="E2E2E2"/>
            <w:vAlign w:val="center"/>
          </w:tcPr>
          <w:p>
            <w:pPr>
              <w:spacing w:line="240" w:lineRule="auto"/>
              <w:ind w:firstLine="0" w:firstLineChars="0"/>
              <w:jc w:val="center"/>
              <w:rPr>
                <w:rFonts w:ascii="Calibri" w:hAnsi="Calibri"/>
                <w:b/>
                <w:sz w:val="18"/>
                <w:szCs w:val="22"/>
              </w:rPr>
            </w:pPr>
            <w:r>
              <w:rPr>
                <w:rFonts w:hint="eastAsia" w:ascii="Calibri" w:hAnsi="宋体"/>
                <w:b/>
                <w:sz w:val="18"/>
                <w:szCs w:val="22"/>
              </w:rPr>
              <w:t>名称</w:t>
            </w:r>
          </w:p>
        </w:tc>
        <w:tc>
          <w:tcPr>
            <w:tcW w:w="1028" w:type="dxa"/>
            <w:vMerge w:val="restart"/>
            <w:shd w:val="clear" w:color="auto" w:fill="E2E2E2"/>
            <w:vAlign w:val="center"/>
          </w:tcPr>
          <w:p>
            <w:pPr>
              <w:spacing w:line="240" w:lineRule="auto"/>
              <w:ind w:firstLine="0" w:firstLineChars="0"/>
              <w:jc w:val="center"/>
              <w:rPr>
                <w:rFonts w:ascii="Calibri" w:hAnsi="Calibri"/>
                <w:b/>
                <w:sz w:val="18"/>
                <w:szCs w:val="22"/>
              </w:rPr>
            </w:pPr>
            <w:r>
              <w:rPr>
                <w:rFonts w:hint="eastAsia" w:ascii="Calibri" w:hAnsi="宋体"/>
                <w:b/>
                <w:sz w:val="18"/>
                <w:szCs w:val="22"/>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Merge w:val="continue"/>
            <w:shd w:val="clear" w:color="auto" w:fill="E2E2E2"/>
            <w:vAlign w:val="center"/>
          </w:tcPr>
          <w:p>
            <w:pPr>
              <w:spacing w:line="240" w:lineRule="auto"/>
              <w:ind w:firstLine="0" w:firstLineChars="0"/>
              <w:jc w:val="center"/>
              <w:rPr>
                <w:rFonts w:ascii="Calibri" w:hAnsi="Calibri"/>
                <w:b/>
                <w:sz w:val="18"/>
                <w:szCs w:val="22"/>
              </w:rPr>
            </w:pPr>
          </w:p>
        </w:tc>
        <w:tc>
          <w:tcPr>
            <w:tcW w:w="4961" w:type="dxa"/>
            <w:shd w:val="clear" w:color="auto" w:fill="E2E2E2"/>
            <w:vAlign w:val="center"/>
          </w:tcPr>
          <w:p>
            <w:pPr>
              <w:spacing w:line="240" w:lineRule="auto"/>
              <w:ind w:firstLine="0" w:firstLineChars="0"/>
              <w:jc w:val="center"/>
              <w:rPr>
                <w:rFonts w:ascii="Calibri" w:hAnsi="Calibri"/>
                <w:b/>
                <w:sz w:val="18"/>
                <w:szCs w:val="22"/>
              </w:rPr>
            </w:pPr>
            <w:r>
              <w:rPr>
                <w:rFonts w:hint="eastAsia" w:ascii="Calibri" w:hAnsi="宋体"/>
                <w:b/>
                <w:sz w:val="18"/>
                <w:szCs w:val="22"/>
              </w:rPr>
              <w:t>自然</w:t>
            </w:r>
          </w:p>
        </w:tc>
        <w:tc>
          <w:tcPr>
            <w:tcW w:w="1519" w:type="dxa"/>
            <w:shd w:val="clear" w:color="auto" w:fill="E2E2E2"/>
            <w:vAlign w:val="center"/>
          </w:tcPr>
          <w:p>
            <w:pPr>
              <w:spacing w:line="240" w:lineRule="auto"/>
              <w:ind w:firstLine="0" w:firstLineChars="0"/>
              <w:jc w:val="center"/>
              <w:rPr>
                <w:rFonts w:ascii="Calibri" w:hAnsi="Calibri"/>
                <w:b/>
                <w:sz w:val="18"/>
                <w:szCs w:val="22"/>
              </w:rPr>
            </w:pPr>
            <w:r>
              <w:rPr>
                <w:rFonts w:hint="eastAsia" w:ascii="Calibri" w:hAnsi="宋体"/>
                <w:b/>
                <w:sz w:val="18"/>
                <w:szCs w:val="22"/>
              </w:rPr>
              <w:t>人文</w:t>
            </w:r>
          </w:p>
        </w:tc>
        <w:tc>
          <w:tcPr>
            <w:tcW w:w="1028" w:type="dxa"/>
            <w:vMerge w:val="continue"/>
            <w:shd w:val="clear" w:color="auto" w:fill="E2E2E2"/>
            <w:vAlign w:val="center"/>
          </w:tcPr>
          <w:p>
            <w:pPr>
              <w:spacing w:line="240" w:lineRule="auto"/>
              <w:ind w:firstLine="0" w:firstLineChars="0"/>
              <w:jc w:val="center"/>
              <w:rPr>
                <w:rFonts w:ascii="Calibri" w:hAnsi="Calibri"/>
                <w:b/>
                <w:sz w:val="18"/>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Align w:val="center"/>
          </w:tcPr>
          <w:p>
            <w:pPr>
              <w:spacing w:line="240" w:lineRule="auto"/>
              <w:ind w:firstLine="0" w:firstLineChars="0"/>
              <w:jc w:val="center"/>
              <w:rPr>
                <w:rFonts w:ascii="Calibri" w:hAnsi="Calibri"/>
                <w:sz w:val="18"/>
                <w:szCs w:val="22"/>
              </w:rPr>
            </w:pPr>
            <w:r>
              <w:rPr>
                <w:rFonts w:hint="eastAsia" w:ascii="Calibri" w:hAnsi="宋体"/>
                <w:sz w:val="18"/>
                <w:szCs w:val="22"/>
              </w:rPr>
              <w:t>一级</w:t>
            </w:r>
          </w:p>
        </w:tc>
        <w:tc>
          <w:tcPr>
            <w:tcW w:w="4961" w:type="dxa"/>
            <w:vAlign w:val="center"/>
          </w:tcPr>
          <w:p>
            <w:pPr>
              <w:spacing w:line="240" w:lineRule="auto"/>
              <w:ind w:firstLine="0" w:firstLineChars="0"/>
              <w:jc w:val="center"/>
              <w:rPr>
                <w:rFonts w:ascii="Calibri" w:hAnsi="Calibri"/>
                <w:sz w:val="18"/>
                <w:szCs w:val="22"/>
              </w:rPr>
            </w:pPr>
            <w:r>
              <w:rPr>
                <w:rFonts w:hint="eastAsia" w:ascii="Calibri" w:hAnsi="宋体"/>
                <w:sz w:val="18"/>
                <w:szCs w:val="22"/>
              </w:rPr>
              <w:t>一漈、二漈、西天屏、红枫古道</w:t>
            </w:r>
          </w:p>
        </w:tc>
        <w:tc>
          <w:tcPr>
            <w:tcW w:w="1519" w:type="dxa"/>
            <w:vAlign w:val="center"/>
          </w:tcPr>
          <w:p>
            <w:pPr>
              <w:spacing w:line="240" w:lineRule="auto"/>
              <w:ind w:firstLine="0" w:firstLineChars="0"/>
              <w:jc w:val="center"/>
              <w:rPr>
                <w:rFonts w:ascii="Calibri" w:hAnsi="Calibri"/>
                <w:sz w:val="18"/>
                <w:szCs w:val="22"/>
              </w:rPr>
            </w:pPr>
            <w:r>
              <w:rPr>
                <w:rFonts w:ascii="Calibri" w:hAnsi="宋体"/>
                <w:sz w:val="18"/>
                <w:szCs w:val="22"/>
              </w:rPr>
              <w:t>/</w:t>
            </w:r>
          </w:p>
        </w:tc>
        <w:tc>
          <w:tcPr>
            <w:tcW w:w="1028" w:type="dxa"/>
            <w:vAlign w:val="center"/>
          </w:tcPr>
          <w:p>
            <w:pPr>
              <w:spacing w:line="240" w:lineRule="auto"/>
              <w:ind w:firstLine="0" w:firstLineChars="0"/>
              <w:jc w:val="center"/>
              <w:rPr>
                <w:rFonts w:ascii="Calibri" w:hAnsi="Calibri"/>
                <w:sz w:val="18"/>
                <w:szCs w:val="22"/>
              </w:rPr>
            </w:pPr>
            <w:r>
              <w:rPr>
                <w:rFonts w:ascii="Calibri" w:hAnsi="宋体"/>
                <w:sz w:val="18"/>
                <w:szCs w:val="2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Align w:val="center"/>
          </w:tcPr>
          <w:p>
            <w:pPr>
              <w:spacing w:line="240" w:lineRule="auto"/>
              <w:ind w:firstLine="0" w:firstLineChars="0"/>
              <w:jc w:val="center"/>
              <w:rPr>
                <w:rFonts w:ascii="Calibri" w:hAnsi="Calibri"/>
                <w:sz w:val="18"/>
                <w:szCs w:val="22"/>
              </w:rPr>
            </w:pPr>
            <w:r>
              <w:rPr>
                <w:rFonts w:hint="eastAsia" w:ascii="Calibri" w:hAnsi="宋体"/>
                <w:sz w:val="18"/>
                <w:szCs w:val="22"/>
              </w:rPr>
              <w:t>二级</w:t>
            </w:r>
          </w:p>
        </w:tc>
        <w:tc>
          <w:tcPr>
            <w:tcW w:w="4961" w:type="dxa"/>
            <w:vAlign w:val="center"/>
          </w:tcPr>
          <w:p>
            <w:pPr>
              <w:spacing w:line="240" w:lineRule="auto"/>
              <w:ind w:firstLine="0" w:firstLineChars="0"/>
              <w:jc w:val="center"/>
              <w:rPr>
                <w:rFonts w:ascii="Calibri" w:hAnsi="Calibri"/>
                <w:sz w:val="18"/>
                <w:szCs w:val="22"/>
              </w:rPr>
            </w:pPr>
            <w:r>
              <w:rPr>
                <w:rFonts w:hint="eastAsia" w:ascii="Calibri" w:hAnsi="宋体"/>
                <w:sz w:val="18"/>
                <w:szCs w:val="22"/>
              </w:rPr>
              <w:t>龟山、三漈、蝙蝠山、观音岩、金龟潭、金牛滩、三叠瀑、阴阳瀑</w:t>
            </w:r>
          </w:p>
        </w:tc>
        <w:tc>
          <w:tcPr>
            <w:tcW w:w="1519" w:type="dxa"/>
            <w:vAlign w:val="center"/>
          </w:tcPr>
          <w:p>
            <w:pPr>
              <w:spacing w:line="240" w:lineRule="auto"/>
              <w:ind w:firstLine="0" w:firstLineChars="0"/>
              <w:jc w:val="center"/>
              <w:rPr>
                <w:rFonts w:ascii="Calibri" w:hAnsi="Calibri"/>
                <w:sz w:val="18"/>
                <w:szCs w:val="22"/>
              </w:rPr>
            </w:pPr>
            <w:r>
              <w:rPr>
                <w:rFonts w:ascii="Calibri" w:hAnsi="宋体"/>
                <w:sz w:val="18"/>
                <w:szCs w:val="22"/>
              </w:rPr>
              <w:t>/</w:t>
            </w:r>
          </w:p>
        </w:tc>
        <w:tc>
          <w:tcPr>
            <w:tcW w:w="1028" w:type="dxa"/>
            <w:vAlign w:val="center"/>
          </w:tcPr>
          <w:p>
            <w:pPr>
              <w:spacing w:line="240" w:lineRule="auto"/>
              <w:ind w:firstLine="0" w:firstLineChars="0"/>
              <w:jc w:val="center"/>
              <w:rPr>
                <w:rFonts w:ascii="Calibri" w:hAnsi="Calibri"/>
                <w:sz w:val="18"/>
                <w:szCs w:val="22"/>
              </w:rPr>
            </w:pPr>
            <w:r>
              <w:rPr>
                <w:rFonts w:ascii="Calibri" w:hAnsi="宋体"/>
                <w:sz w:val="18"/>
                <w:szCs w:val="22"/>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Align w:val="center"/>
          </w:tcPr>
          <w:p>
            <w:pPr>
              <w:spacing w:line="240" w:lineRule="auto"/>
              <w:ind w:firstLine="0" w:firstLineChars="0"/>
              <w:jc w:val="center"/>
              <w:rPr>
                <w:rFonts w:ascii="Calibri" w:hAnsi="Calibri"/>
                <w:sz w:val="18"/>
                <w:szCs w:val="22"/>
              </w:rPr>
            </w:pPr>
            <w:r>
              <w:rPr>
                <w:rFonts w:hint="eastAsia" w:ascii="Calibri" w:hAnsi="宋体"/>
                <w:sz w:val="18"/>
                <w:szCs w:val="22"/>
              </w:rPr>
              <w:t>三级</w:t>
            </w:r>
          </w:p>
        </w:tc>
        <w:tc>
          <w:tcPr>
            <w:tcW w:w="4961" w:type="dxa"/>
            <w:vAlign w:val="center"/>
          </w:tcPr>
          <w:p>
            <w:pPr>
              <w:spacing w:line="240" w:lineRule="auto"/>
              <w:ind w:firstLine="0" w:firstLineChars="0"/>
              <w:jc w:val="center"/>
              <w:rPr>
                <w:rFonts w:ascii="Calibri" w:hAnsi="Calibri"/>
                <w:sz w:val="18"/>
                <w:szCs w:val="22"/>
              </w:rPr>
            </w:pPr>
            <w:r>
              <w:rPr>
                <w:rFonts w:hint="eastAsia" w:ascii="Calibri" w:hAnsi="宋体"/>
                <w:sz w:val="18"/>
                <w:szCs w:val="22"/>
              </w:rPr>
              <w:t>金石滩、青龙潭、天际潭、天顶湖</w:t>
            </w:r>
          </w:p>
        </w:tc>
        <w:tc>
          <w:tcPr>
            <w:tcW w:w="1519" w:type="dxa"/>
            <w:vAlign w:val="center"/>
          </w:tcPr>
          <w:p>
            <w:pPr>
              <w:spacing w:line="240" w:lineRule="auto"/>
              <w:ind w:firstLine="0" w:firstLineChars="0"/>
              <w:jc w:val="center"/>
              <w:rPr>
                <w:rFonts w:ascii="Calibri" w:hAnsi="Calibri"/>
                <w:sz w:val="18"/>
                <w:szCs w:val="22"/>
              </w:rPr>
            </w:pPr>
            <w:r>
              <w:rPr>
                <w:rFonts w:hint="eastAsia" w:ascii="Calibri" w:hAnsi="宋体"/>
                <w:sz w:val="18"/>
                <w:szCs w:val="22"/>
              </w:rPr>
              <w:t>陶真寨</w:t>
            </w:r>
          </w:p>
        </w:tc>
        <w:tc>
          <w:tcPr>
            <w:tcW w:w="1028" w:type="dxa"/>
            <w:vAlign w:val="center"/>
          </w:tcPr>
          <w:p>
            <w:pPr>
              <w:spacing w:line="240" w:lineRule="auto"/>
              <w:ind w:firstLine="0" w:firstLineChars="0"/>
              <w:jc w:val="center"/>
              <w:rPr>
                <w:rFonts w:ascii="Calibri" w:hAnsi="Calibri"/>
                <w:sz w:val="18"/>
                <w:szCs w:val="22"/>
              </w:rPr>
            </w:pPr>
            <w:r>
              <w:rPr>
                <w:rFonts w:ascii="Calibri" w:hAnsi="宋体"/>
                <w:sz w:val="18"/>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Align w:val="center"/>
          </w:tcPr>
          <w:p>
            <w:pPr>
              <w:spacing w:line="240" w:lineRule="auto"/>
              <w:ind w:firstLine="0" w:firstLineChars="0"/>
              <w:jc w:val="center"/>
              <w:rPr>
                <w:rFonts w:ascii="Calibri" w:hAnsi="Calibri"/>
                <w:b/>
                <w:sz w:val="18"/>
                <w:szCs w:val="22"/>
              </w:rPr>
            </w:pPr>
            <w:r>
              <w:rPr>
                <w:rFonts w:hint="eastAsia" w:ascii="Calibri" w:hAnsi="宋体"/>
                <w:b/>
                <w:sz w:val="18"/>
                <w:szCs w:val="22"/>
              </w:rPr>
              <w:t>小计</w:t>
            </w:r>
          </w:p>
        </w:tc>
        <w:tc>
          <w:tcPr>
            <w:tcW w:w="4961" w:type="dxa"/>
            <w:vAlign w:val="center"/>
          </w:tcPr>
          <w:p>
            <w:pPr>
              <w:spacing w:line="240" w:lineRule="auto"/>
              <w:ind w:firstLine="0" w:firstLineChars="0"/>
              <w:jc w:val="center"/>
              <w:rPr>
                <w:rFonts w:ascii="Calibri" w:hAnsi="Calibri"/>
                <w:b/>
                <w:sz w:val="18"/>
                <w:szCs w:val="22"/>
              </w:rPr>
            </w:pPr>
            <w:r>
              <w:rPr>
                <w:rFonts w:hint="eastAsia" w:ascii="Calibri" w:hAnsi="Calibri"/>
                <w:b/>
                <w:sz w:val="18"/>
                <w:szCs w:val="22"/>
              </w:rPr>
              <w:t>1</w:t>
            </w:r>
            <w:r>
              <w:rPr>
                <w:rFonts w:ascii="Calibri" w:hAnsi="Calibri"/>
                <w:b/>
                <w:sz w:val="18"/>
                <w:szCs w:val="22"/>
              </w:rPr>
              <w:t>6</w:t>
            </w:r>
          </w:p>
        </w:tc>
        <w:tc>
          <w:tcPr>
            <w:tcW w:w="1519" w:type="dxa"/>
            <w:vAlign w:val="center"/>
          </w:tcPr>
          <w:p>
            <w:pPr>
              <w:spacing w:line="240" w:lineRule="auto"/>
              <w:ind w:firstLine="0" w:firstLineChars="0"/>
              <w:jc w:val="center"/>
              <w:rPr>
                <w:rFonts w:ascii="Calibri" w:hAnsi="Calibri"/>
                <w:b/>
                <w:sz w:val="18"/>
                <w:szCs w:val="22"/>
              </w:rPr>
            </w:pPr>
            <w:r>
              <w:rPr>
                <w:rFonts w:hint="eastAsia" w:ascii="Calibri" w:hAnsi="Calibri"/>
                <w:b/>
                <w:sz w:val="18"/>
                <w:szCs w:val="22"/>
              </w:rPr>
              <w:t>1</w:t>
            </w:r>
          </w:p>
        </w:tc>
        <w:tc>
          <w:tcPr>
            <w:tcW w:w="1028" w:type="dxa"/>
            <w:vAlign w:val="center"/>
          </w:tcPr>
          <w:p>
            <w:pPr>
              <w:spacing w:line="240" w:lineRule="auto"/>
              <w:ind w:firstLine="0" w:firstLineChars="0"/>
              <w:jc w:val="center"/>
              <w:rPr>
                <w:rFonts w:ascii="Calibri" w:hAnsi="Calibri"/>
                <w:b/>
                <w:sz w:val="18"/>
                <w:szCs w:val="22"/>
              </w:rPr>
            </w:pPr>
            <w:r>
              <w:rPr>
                <w:rFonts w:ascii="Calibri" w:hAnsi="宋体"/>
                <w:b/>
                <w:sz w:val="18"/>
                <w:szCs w:val="22"/>
              </w:rPr>
              <w:t>17</w:t>
            </w:r>
          </w:p>
        </w:tc>
      </w:tr>
    </w:tbl>
    <w:p>
      <w:pPr>
        <w:spacing w:before="97" w:beforeLines="30"/>
        <w:ind w:firstLine="482"/>
        <w:rPr>
          <w:rFonts w:cs="宋体"/>
        </w:rPr>
      </w:pPr>
      <w:r>
        <w:rPr>
          <w:rFonts w:hint="eastAsia" w:cs="宋体"/>
          <w:b/>
        </w:rPr>
        <w:t>（4）游览组织</w:t>
      </w:r>
      <w:r>
        <w:rPr>
          <w:rFonts w:hint="eastAsia" w:cs="宋体"/>
        </w:rPr>
        <w:t>（东至西）：红枫古道－峡谷景门－吴垟水库－金石滩－阴阳瀑－三叠瀑―金牛滩―天际瀑—三漈景门－观音岩－蝙蝠山－三漈－二漈－一漈－“第一瀑”观景台－陶真寨－垂直电梯—天顶湖。</w:t>
      </w:r>
    </w:p>
    <w:p>
      <w:pPr>
        <w:spacing w:before="97" w:beforeLines="30"/>
        <w:ind w:firstLine="482"/>
        <w:rPr>
          <w:rFonts w:cs="宋体"/>
        </w:rPr>
      </w:pPr>
      <w:r>
        <w:rPr>
          <w:rFonts w:hint="eastAsia" w:cs="宋体"/>
          <w:b/>
        </w:rPr>
        <w:t>（5）建设要求</w:t>
      </w:r>
      <w:r>
        <w:rPr>
          <w:rFonts w:hint="eastAsia" w:cs="宋体"/>
        </w:rPr>
        <w:t>：</w:t>
      </w:r>
    </w:p>
    <w:p>
      <w:pPr>
        <w:spacing w:before="97" w:beforeLines="30"/>
        <w:ind w:firstLine="480"/>
        <w:rPr>
          <w:rFonts w:cs="宋体"/>
        </w:rPr>
      </w:pPr>
      <w:r>
        <w:rPr>
          <w:rFonts w:hint="eastAsia" w:cs="宋体"/>
        </w:rPr>
        <w:t>①严格保护瀑布、溪谷、枫林、古道等资源。②形成以南、北两端入口为旅游服务支撑，中部为游赏空间，两侧山林围合的空间结构。③完善景区内部游览线路和旅游大巴换乘体系。④结合天顶湖旅游度假区建设，建设环天顶湖绿道，在保护的基础上可适度组织水上演绎活动，丰富多样场景体验。⑤结合文成县城防洪需要，在峡谷景廊入口区建设吴垟水库，其淹没区形成大百丈飞瀑景区南入口形象，并增加水上航线，丰富游客体验；未来百丈飞瀑景区的南入口设在吴垟水库大坝（现峡谷景廊入口区域）。⑥挖掘枫林古道的内涵，进一步丰富植被季相景观，打造多层次的植物景观特色，串联红枫古道，完善红枫古道—峡谷景廊—百丈漈的游步道体系。⑦完善外围通景公路建设，由大峃镇连通至天顶湖，构建串景连城的绿道体系，可建设特色游览交通。</w:t>
      </w:r>
    </w:p>
    <w:p>
      <w:pPr>
        <w:spacing w:before="97" w:beforeLines="30"/>
        <w:ind w:firstLine="482"/>
        <w:rPr>
          <w:rFonts w:cs="宋体"/>
        </w:rPr>
      </w:pPr>
      <w:r>
        <w:rPr>
          <w:rFonts w:hint="eastAsia" w:cs="宋体"/>
          <w:b/>
        </w:rPr>
        <w:t>（6）游赏项目</w:t>
      </w:r>
      <w:r>
        <w:rPr>
          <w:rFonts w:hint="eastAsia" w:cs="宋体"/>
        </w:rPr>
        <w:t>：郊野观光、登山健身、摄影采风、滨湖度假、场景体验、水上演绎等。</w:t>
      </w:r>
    </w:p>
    <w:p>
      <w:pPr>
        <w:spacing w:before="97" w:beforeLines="30"/>
        <w:ind w:firstLine="439" w:firstLineChars="182"/>
        <w:rPr>
          <w:rFonts w:cs="宋体"/>
          <w:b/>
        </w:rPr>
      </w:pPr>
      <w:r>
        <w:rPr>
          <w:rFonts w:hint="eastAsia" w:cs="宋体"/>
          <w:b/>
        </w:rPr>
        <w:t>2、朱阳九峰景区</w:t>
      </w:r>
    </w:p>
    <w:p>
      <w:pPr>
        <w:spacing w:before="97" w:beforeLines="30"/>
        <w:ind w:firstLine="482"/>
        <w:rPr>
          <w:rFonts w:cs="宋体"/>
        </w:rPr>
      </w:pPr>
      <w:r>
        <w:rPr>
          <w:rFonts w:hint="eastAsia" w:cs="宋体"/>
          <w:b/>
        </w:rPr>
        <w:t>（1）景区概况</w:t>
      </w:r>
      <w:r>
        <w:rPr>
          <w:rFonts w:hint="eastAsia" w:cs="宋体"/>
        </w:rPr>
        <w:t>：景区内的自然地貌以山峦起伏、奇峰异石、悬崖峭壁、幽谷飞瀑等为典型特征。主要由玉笙峰、一剑峰、双屏峰、大象峰、猴头峰、将军峰、白岩峰、骆驼峰、三尖峰等九座巨大石峰构成，还有龙瀑、百折瀑、三潭三瀑等瀑布、碧潭为衬托。景区</w:t>
      </w:r>
      <w:r>
        <w:rPr>
          <w:rFonts w:cs="宋体"/>
        </w:rPr>
        <w:t>2001</w:t>
      </w:r>
      <w:r>
        <w:rPr>
          <w:rFonts w:hint="eastAsia" w:cs="宋体"/>
        </w:rPr>
        <w:t>年进行开发，现由于经营不善处于关闭状态。本次规划考虑到发挥森林康养资源优势，完善游赏组织，拓展游赏空间，将金朱林场区域纳入景区，总面积</w:t>
      </w:r>
      <w:r>
        <w:rPr>
          <w:rFonts w:cs="宋体"/>
        </w:rPr>
        <w:t>13.6</w:t>
      </w:r>
      <w:r>
        <w:rPr>
          <w:rFonts w:hint="eastAsia" w:cs="宋体"/>
        </w:rPr>
        <w:t>平方公里。</w:t>
      </w:r>
    </w:p>
    <w:p>
      <w:pPr>
        <w:spacing w:before="97" w:beforeLines="30"/>
        <w:ind w:firstLine="482"/>
        <w:rPr>
          <w:rFonts w:cs="宋体"/>
        </w:rPr>
      </w:pPr>
      <w:r>
        <w:rPr>
          <w:rFonts w:hint="eastAsia" w:cs="宋体"/>
          <w:b/>
        </w:rPr>
        <w:t>（2）景区特色</w:t>
      </w:r>
      <w:r>
        <w:rPr>
          <w:rFonts w:hint="eastAsia" w:cs="宋体"/>
        </w:rPr>
        <w:t>：具有“奇峰叠翠”和“百瀑雄奇”两大胜景，整体上，景区特色为：“飞瀑天然生”</w:t>
      </w:r>
      <w:r>
        <w:rPr>
          <w:rFonts w:hint="eastAsia" w:ascii="仿宋" w:hAnsi="仿宋" w:eastAsia="仿宋" w:cs="宋体"/>
        </w:rPr>
        <w:t>——</w:t>
      </w:r>
      <w:r>
        <w:rPr>
          <w:rFonts w:hint="eastAsia" w:cs="宋体"/>
        </w:rPr>
        <w:t>三潭三瀑、“奇峰地上起”</w:t>
      </w:r>
      <w:r>
        <w:rPr>
          <w:rFonts w:hint="eastAsia" w:ascii="仿宋" w:hAnsi="仿宋" w:eastAsia="仿宋" w:cs="宋体"/>
        </w:rPr>
        <w:t>——</w:t>
      </w:r>
      <w:r>
        <w:rPr>
          <w:rFonts w:hint="eastAsia" w:cs="宋体"/>
        </w:rPr>
        <w:t>朱阳九峰、“香火绵延续”</w:t>
      </w:r>
      <w:r>
        <w:rPr>
          <w:rFonts w:hint="eastAsia" w:ascii="仿宋" w:hAnsi="仿宋" w:eastAsia="仿宋" w:cs="宋体"/>
        </w:rPr>
        <w:t>——</w:t>
      </w:r>
      <w:r>
        <w:rPr>
          <w:rFonts w:hint="eastAsia" w:cs="宋体"/>
        </w:rPr>
        <w:t>谈阳明星寺。</w:t>
      </w:r>
    </w:p>
    <w:p>
      <w:pPr>
        <w:spacing w:before="97" w:beforeLines="30"/>
        <w:ind w:firstLine="482"/>
        <w:rPr>
          <w:rFonts w:cs="宋体"/>
        </w:rPr>
      </w:pPr>
      <w:r>
        <w:rPr>
          <w:rFonts w:hint="eastAsia" w:cs="宋体"/>
          <w:b/>
          <w:bCs/>
        </w:rPr>
        <w:t>飞瀑天然生</w:t>
      </w:r>
      <w:r>
        <w:rPr>
          <w:rFonts w:hint="eastAsia" w:cs="宋体"/>
        </w:rPr>
        <w:t>：景区内瀑布天然、神奇、秀美。景区内所有水系都是自然流水形成，没有任何拦截和造景，与风景名胜区内其他景区内的人工瀑布形成明显差异。龙瀑、三潭三瀑、百折瀑是景区灵魂，尤以三潭三瀑景致最为壮观。</w:t>
      </w:r>
    </w:p>
    <w:p>
      <w:pPr>
        <w:spacing w:before="97" w:beforeLines="30"/>
        <w:ind w:firstLine="482"/>
        <w:rPr>
          <w:rFonts w:cs="宋体"/>
        </w:rPr>
      </w:pPr>
      <w:r>
        <w:rPr>
          <w:rFonts w:hint="eastAsia" w:cs="宋体"/>
          <w:b/>
          <w:bCs/>
        </w:rPr>
        <w:t>奇峰地上起</w:t>
      </w:r>
      <w:r>
        <w:rPr>
          <w:rFonts w:hint="eastAsia" w:cs="宋体"/>
        </w:rPr>
        <w:t>：九座奇峰巍峨屹立在十里山腰，鬼斧神工造就了一组令人震憾的天然雕塑群。景区内山峦嵯峨堆叠，形象巧变，成为其凸显于风景名胜区内其他景区的最大特色。</w:t>
      </w:r>
    </w:p>
    <w:p>
      <w:pPr>
        <w:spacing w:before="97" w:beforeLines="30"/>
        <w:ind w:firstLine="482"/>
        <w:rPr>
          <w:rFonts w:cs="宋体"/>
        </w:rPr>
      </w:pPr>
      <w:r>
        <w:rPr>
          <w:rFonts w:hint="eastAsia" w:cs="宋体"/>
          <w:b/>
          <w:bCs/>
        </w:rPr>
        <w:t>香火绵延续</w:t>
      </w:r>
      <w:r>
        <w:rPr>
          <w:rFonts w:hint="eastAsia" w:cs="宋体"/>
        </w:rPr>
        <w:t>：建于清代年间的白衣丞相庙（明星寺）名闻遐迩，景区地处侨乡玉壶西侧，许多海外侨胞回到故乡便到明星寺一拜、祈求平安，使得明星寺成为海外华侨的朝拜胜地。</w:t>
      </w:r>
    </w:p>
    <w:p>
      <w:pPr>
        <w:spacing w:before="97" w:beforeLines="30"/>
        <w:ind w:firstLine="482"/>
        <w:rPr>
          <w:rFonts w:cs="宋体"/>
          <w:b/>
        </w:rPr>
      </w:pPr>
      <w:r>
        <w:rPr>
          <w:rFonts w:hint="eastAsia" w:cs="宋体"/>
          <w:b/>
        </w:rPr>
        <w:t>（3）包含景点</w:t>
      </w:r>
    </w:p>
    <w:tbl>
      <w:tblPr>
        <w:tblStyle w:val="221"/>
        <w:tblW w:w="80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3979"/>
        <w:gridCol w:w="2021"/>
        <w:gridCol w:w="1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868" w:type="dxa"/>
            <w:vMerge w:val="restart"/>
            <w:shd w:val="clear" w:color="auto" w:fill="E2E2E2"/>
            <w:vAlign w:val="center"/>
          </w:tcPr>
          <w:p>
            <w:pPr>
              <w:adjustRightInd w:val="0"/>
              <w:snapToGrid w:val="0"/>
              <w:spacing w:line="288" w:lineRule="auto"/>
              <w:ind w:firstLine="0" w:firstLineChars="0"/>
              <w:jc w:val="center"/>
              <w:rPr>
                <w:rFonts w:ascii="Calibri" w:hAnsi="Calibri"/>
                <w:b/>
                <w:sz w:val="18"/>
                <w:szCs w:val="22"/>
              </w:rPr>
            </w:pPr>
            <w:r>
              <w:rPr>
                <w:rFonts w:hint="eastAsia" w:ascii="Calibri" w:hAnsi="宋体"/>
                <w:b/>
                <w:sz w:val="18"/>
                <w:szCs w:val="22"/>
              </w:rPr>
              <w:t>级别</w:t>
            </w:r>
          </w:p>
        </w:tc>
        <w:tc>
          <w:tcPr>
            <w:tcW w:w="6000" w:type="dxa"/>
            <w:gridSpan w:val="2"/>
            <w:shd w:val="clear" w:color="auto" w:fill="E2E2E2"/>
            <w:vAlign w:val="center"/>
          </w:tcPr>
          <w:p>
            <w:pPr>
              <w:adjustRightInd w:val="0"/>
              <w:snapToGrid w:val="0"/>
              <w:spacing w:line="288" w:lineRule="auto"/>
              <w:ind w:firstLine="0" w:firstLineChars="0"/>
              <w:jc w:val="center"/>
              <w:rPr>
                <w:rFonts w:ascii="Calibri" w:hAnsi="Calibri"/>
                <w:b/>
                <w:sz w:val="18"/>
                <w:szCs w:val="22"/>
              </w:rPr>
            </w:pPr>
            <w:r>
              <w:rPr>
                <w:rFonts w:hint="eastAsia" w:ascii="Calibri" w:hAnsi="宋体"/>
                <w:b/>
                <w:sz w:val="18"/>
                <w:szCs w:val="22"/>
              </w:rPr>
              <w:t>名称</w:t>
            </w:r>
          </w:p>
        </w:tc>
        <w:tc>
          <w:tcPr>
            <w:tcW w:w="1207" w:type="dxa"/>
            <w:vMerge w:val="restart"/>
            <w:shd w:val="clear" w:color="auto" w:fill="E2E2E2"/>
            <w:vAlign w:val="center"/>
          </w:tcPr>
          <w:p>
            <w:pPr>
              <w:adjustRightInd w:val="0"/>
              <w:snapToGrid w:val="0"/>
              <w:spacing w:line="288" w:lineRule="auto"/>
              <w:ind w:firstLine="0" w:firstLineChars="0"/>
              <w:jc w:val="center"/>
              <w:rPr>
                <w:rFonts w:ascii="Calibri" w:hAnsi="Calibri"/>
                <w:b/>
                <w:sz w:val="18"/>
                <w:szCs w:val="22"/>
              </w:rPr>
            </w:pPr>
            <w:r>
              <w:rPr>
                <w:rFonts w:hint="eastAsia" w:ascii="Calibri" w:hAnsi="宋体"/>
                <w:b/>
                <w:sz w:val="18"/>
                <w:szCs w:val="22"/>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 w:hRule="atLeast"/>
          <w:jc w:val="center"/>
        </w:trPr>
        <w:tc>
          <w:tcPr>
            <w:tcW w:w="868" w:type="dxa"/>
            <w:vMerge w:val="continue"/>
            <w:shd w:val="clear" w:color="auto" w:fill="E2E2E2"/>
            <w:vAlign w:val="center"/>
          </w:tcPr>
          <w:p>
            <w:pPr>
              <w:adjustRightInd w:val="0"/>
              <w:snapToGrid w:val="0"/>
              <w:spacing w:line="288" w:lineRule="auto"/>
              <w:ind w:firstLine="0" w:firstLineChars="0"/>
              <w:jc w:val="center"/>
              <w:rPr>
                <w:rFonts w:ascii="Calibri" w:hAnsi="Calibri"/>
                <w:sz w:val="18"/>
                <w:szCs w:val="22"/>
              </w:rPr>
            </w:pPr>
          </w:p>
        </w:tc>
        <w:tc>
          <w:tcPr>
            <w:tcW w:w="3979" w:type="dxa"/>
            <w:shd w:val="clear" w:color="auto" w:fill="E2E2E2"/>
            <w:vAlign w:val="center"/>
          </w:tcPr>
          <w:p>
            <w:pPr>
              <w:adjustRightInd w:val="0"/>
              <w:snapToGrid w:val="0"/>
              <w:spacing w:line="288" w:lineRule="auto"/>
              <w:ind w:firstLine="0" w:firstLineChars="0"/>
              <w:jc w:val="center"/>
              <w:rPr>
                <w:rFonts w:ascii="Calibri" w:hAnsi="Calibri"/>
                <w:b/>
                <w:sz w:val="18"/>
                <w:szCs w:val="22"/>
              </w:rPr>
            </w:pPr>
            <w:r>
              <w:rPr>
                <w:rFonts w:hint="eastAsia" w:ascii="Calibri" w:hAnsi="宋体"/>
                <w:b/>
                <w:sz w:val="18"/>
                <w:szCs w:val="22"/>
              </w:rPr>
              <w:t>自然</w:t>
            </w:r>
          </w:p>
        </w:tc>
        <w:tc>
          <w:tcPr>
            <w:tcW w:w="2021" w:type="dxa"/>
            <w:shd w:val="clear" w:color="auto" w:fill="E2E2E2"/>
            <w:vAlign w:val="center"/>
          </w:tcPr>
          <w:p>
            <w:pPr>
              <w:adjustRightInd w:val="0"/>
              <w:snapToGrid w:val="0"/>
              <w:spacing w:line="288" w:lineRule="auto"/>
              <w:ind w:firstLine="0" w:firstLineChars="0"/>
              <w:jc w:val="center"/>
              <w:rPr>
                <w:rFonts w:ascii="Calibri" w:hAnsi="Calibri"/>
                <w:b/>
                <w:sz w:val="18"/>
                <w:szCs w:val="22"/>
              </w:rPr>
            </w:pPr>
            <w:r>
              <w:rPr>
                <w:rFonts w:hint="eastAsia" w:ascii="Calibri" w:hAnsi="宋体"/>
                <w:b/>
                <w:sz w:val="18"/>
                <w:szCs w:val="22"/>
              </w:rPr>
              <w:t>人文</w:t>
            </w:r>
          </w:p>
        </w:tc>
        <w:tc>
          <w:tcPr>
            <w:tcW w:w="1207" w:type="dxa"/>
            <w:vMerge w:val="continue"/>
            <w:shd w:val="clear" w:color="auto" w:fill="E2E2E2"/>
            <w:vAlign w:val="center"/>
          </w:tcPr>
          <w:p>
            <w:pPr>
              <w:adjustRightInd w:val="0"/>
              <w:snapToGrid w:val="0"/>
              <w:spacing w:line="288" w:lineRule="auto"/>
              <w:ind w:firstLine="0" w:firstLineChars="0"/>
              <w:jc w:val="center"/>
              <w:rPr>
                <w:rFonts w:ascii="Calibri" w:hAnsi="Calibri"/>
                <w:b/>
                <w:sz w:val="18"/>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868" w:type="dxa"/>
            <w:vAlign w:val="center"/>
          </w:tcPr>
          <w:p>
            <w:pPr>
              <w:adjustRightInd w:val="0"/>
              <w:snapToGrid w:val="0"/>
              <w:spacing w:line="288" w:lineRule="auto"/>
              <w:ind w:firstLine="0" w:firstLineChars="0"/>
              <w:jc w:val="center"/>
              <w:rPr>
                <w:rFonts w:ascii="Calibri" w:hAnsi="Calibri"/>
                <w:sz w:val="18"/>
                <w:szCs w:val="22"/>
              </w:rPr>
            </w:pPr>
            <w:r>
              <w:rPr>
                <w:rFonts w:hint="eastAsia" w:ascii="Calibri" w:hAnsi="宋体"/>
                <w:sz w:val="18"/>
                <w:szCs w:val="22"/>
              </w:rPr>
              <w:t>一级</w:t>
            </w:r>
          </w:p>
        </w:tc>
        <w:tc>
          <w:tcPr>
            <w:tcW w:w="3979" w:type="dxa"/>
            <w:vAlign w:val="center"/>
          </w:tcPr>
          <w:p>
            <w:pPr>
              <w:adjustRightInd w:val="0"/>
              <w:snapToGrid w:val="0"/>
              <w:spacing w:line="288" w:lineRule="auto"/>
              <w:ind w:firstLine="0" w:firstLineChars="0"/>
              <w:jc w:val="center"/>
              <w:rPr>
                <w:rFonts w:ascii="Calibri" w:hAnsi="Calibri"/>
                <w:sz w:val="18"/>
                <w:szCs w:val="22"/>
              </w:rPr>
            </w:pPr>
            <w:r>
              <w:rPr>
                <w:rFonts w:hint="eastAsia" w:ascii="Calibri" w:hAnsi="宋体"/>
                <w:sz w:val="18"/>
                <w:szCs w:val="22"/>
              </w:rPr>
              <w:t>百折瀑、一剑峰、玉笙峰、三潭瀑</w:t>
            </w:r>
          </w:p>
        </w:tc>
        <w:tc>
          <w:tcPr>
            <w:tcW w:w="2021" w:type="dxa"/>
            <w:vAlign w:val="center"/>
          </w:tcPr>
          <w:p>
            <w:pPr>
              <w:adjustRightInd w:val="0"/>
              <w:snapToGrid w:val="0"/>
              <w:spacing w:line="288" w:lineRule="auto"/>
              <w:ind w:firstLine="0" w:firstLineChars="0"/>
              <w:jc w:val="center"/>
              <w:rPr>
                <w:rFonts w:ascii="Calibri" w:hAnsi="Calibri"/>
                <w:sz w:val="18"/>
                <w:szCs w:val="22"/>
              </w:rPr>
            </w:pPr>
            <w:r>
              <w:rPr>
                <w:rFonts w:ascii="Calibri" w:hAnsi="宋体"/>
                <w:sz w:val="18"/>
                <w:szCs w:val="22"/>
              </w:rPr>
              <w:t>/</w:t>
            </w:r>
          </w:p>
        </w:tc>
        <w:tc>
          <w:tcPr>
            <w:tcW w:w="1207" w:type="dxa"/>
            <w:vAlign w:val="center"/>
          </w:tcPr>
          <w:p>
            <w:pPr>
              <w:adjustRightInd w:val="0"/>
              <w:snapToGrid w:val="0"/>
              <w:spacing w:line="288" w:lineRule="auto"/>
              <w:ind w:firstLine="0" w:firstLineChars="0"/>
              <w:jc w:val="center"/>
              <w:rPr>
                <w:rFonts w:ascii="Calibri" w:hAnsi="Calibri"/>
                <w:sz w:val="18"/>
                <w:szCs w:val="22"/>
              </w:rPr>
            </w:pPr>
            <w:r>
              <w:rPr>
                <w:rFonts w:ascii="Calibri" w:hAnsi="宋体"/>
                <w:sz w:val="18"/>
                <w:szCs w:val="2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jc w:val="center"/>
        </w:trPr>
        <w:tc>
          <w:tcPr>
            <w:tcW w:w="868" w:type="dxa"/>
            <w:vAlign w:val="center"/>
          </w:tcPr>
          <w:p>
            <w:pPr>
              <w:adjustRightInd w:val="0"/>
              <w:snapToGrid w:val="0"/>
              <w:spacing w:line="288" w:lineRule="auto"/>
              <w:ind w:firstLine="0" w:firstLineChars="0"/>
              <w:jc w:val="center"/>
              <w:rPr>
                <w:rFonts w:ascii="Calibri" w:hAnsi="Calibri"/>
                <w:sz w:val="18"/>
                <w:szCs w:val="22"/>
              </w:rPr>
            </w:pPr>
            <w:r>
              <w:rPr>
                <w:rFonts w:hint="eastAsia" w:ascii="Calibri" w:hAnsi="宋体"/>
                <w:sz w:val="18"/>
                <w:szCs w:val="22"/>
              </w:rPr>
              <w:t>二级</w:t>
            </w:r>
          </w:p>
        </w:tc>
        <w:tc>
          <w:tcPr>
            <w:tcW w:w="3979" w:type="dxa"/>
            <w:vAlign w:val="center"/>
          </w:tcPr>
          <w:p>
            <w:pPr>
              <w:adjustRightInd w:val="0"/>
              <w:snapToGrid w:val="0"/>
              <w:spacing w:line="288" w:lineRule="auto"/>
              <w:ind w:firstLine="0" w:firstLineChars="0"/>
              <w:jc w:val="center"/>
              <w:rPr>
                <w:rFonts w:ascii="Calibri" w:hAnsi="Calibri"/>
                <w:sz w:val="18"/>
                <w:szCs w:val="22"/>
              </w:rPr>
            </w:pPr>
            <w:r>
              <w:rPr>
                <w:rFonts w:hint="eastAsia" w:ascii="Calibri" w:hAnsi="宋体"/>
                <w:sz w:val="18"/>
                <w:szCs w:val="22"/>
              </w:rPr>
              <w:t>岐指峰、龙瀑、双屏峰、将军峰、猴头峰、大象峰、三尖峰、骆驼峰</w:t>
            </w:r>
          </w:p>
        </w:tc>
        <w:tc>
          <w:tcPr>
            <w:tcW w:w="2021" w:type="dxa"/>
            <w:vAlign w:val="center"/>
          </w:tcPr>
          <w:p>
            <w:pPr>
              <w:adjustRightInd w:val="0"/>
              <w:snapToGrid w:val="0"/>
              <w:spacing w:line="288" w:lineRule="auto"/>
              <w:ind w:firstLine="0" w:firstLineChars="0"/>
              <w:jc w:val="center"/>
              <w:rPr>
                <w:rFonts w:ascii="Calibri" w:hAnsi="Calibri"/>
                <w:sz w:val="18"/>
                <w:szCs w:val="22"/>
              </w:rPr>
            </w:pPr>
            <w:r>
              <w:rPr>
                <w:rFonts w:ascii="Calibri" w:hAnsi="宋体"/>
                <w:sz w:val="18"/>
                <w:szCs w:val="22"/>
              </w:rPr>
              <w:t>/</w:t>
            </w:r>
          </w:p>
        </w:tc>
        <w:tc>
          <w:tcPr>
            <w:tcW w:w="1207" w:type="dxa"/>
            <w:vAlign w:val="center"/>
          </w:tcPr>
          <w:p>
            <w:pPr>
              <w:adjustRightInd w:val="0"/>
              <w:snapToGrid w:val="0"/>
              <w:spacing w:line="288" w:lineRule="auto"/>
              <w:ind w:firstLine="0" w:firstLineChars="0"/>
              <w:jc w:val="center"/>
              <w:rPr>
                <w:rFonts w:ascii="Calibri" w:hAnsi="Calibri"/>
                <w:sz w:val="18"/>
                <w:szCs w:val="22"/>
              </w:rPr>
            </w:pPr>
            <w:r>
              <w:rPr>
                <w:rFonts w:ascii="Calibri" w:hAnsi="宋体"/>
                <w:sz w:val="18"/>
                <w:szCs w:val="22"/>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868" w:type="dxa"/>
            <w:vAlign w:val="center"/>
          </w:tcPr>
          <w:p>
            <w:pPr>
              <w:adjustRightInd w:val="0"/>
              <w:snapToGrid w:val="0"/>
              <w:spacing w:line="288" w:lineRule="auto"/>
              <w:ind w:firstLine="0" w:firstLineChars="0"/>
              <w:jc w:val="center"/>
              <w:rPr>
                <w:rFonts w:ascii="Calibri" w:hAnsi="Calibri"/>
                <w:sz w:val="18"/>
                <w:szCs w:val="22"/>
              </w:rPr>
            </w:pPr>
            <w:r>
              <w:rPr>
                <w:rFonts w:hint="eastAsia" w:ascii="Calibri" w:hAnsi="宋体"/>
                <w:sz w:val="18"/>
                <w:szCs w:val="22"/>
              </w:rPr>
              <w:t>三级</w:t>
            </w:r>
          </w:p>
        </w:tc>
        <w:tc>
          <w:tcPr>
            <w:tcW w:w="3979" w:type="dxa"/>
            <w:vAlign w:val="center"/>
          </w:tcPr>
          <w:p>
            <w:pPr>
              <w:adjustRightInd w:val="0"/>
              <w:snapToGrid w:val="0"/>
              <w:spacing w:line="288" w:lineRule="auto"/>
              <w:ind w:firstLine="0" w:firstLineChars="0"/>
              <w:jc w:val="center"/>
              <w:rPr>
                <w:rFonts w:ascii="Calibri" w:hAnsi="Calibri"/>
                <w:sz w:val="18"/>
                <w:szCs w:val="22"/>
              </w:rPr>
            </w:pPr>
            <w:r>
              <w:rPr>
                <w:rFonts w:hint="eastAsia" w:ascii="Calibri" w:hAnsi="宋体"/>
                <w:sz w:val="18"/>
                <w:szCs w:val="22"/>
              </w:rPr>
              <w:t>道士峰</w:t>
            </w:r>
          </w:p>
        </w:tc>
        <w:tc>
          <w:tcPr>
            <w:tcW w:w="2021" w:type="dxa"/>
            <w:vAlign w:val="center"/>
          </w:tcPr>
          <w:p>
            <w:pPr>
              <w:adjustRightInd w:val="0"/>
              <w:snapToGrid w:val="0"/>
              <w:spacing w:line="288" w:lineRule="auto"/>
              <w:ind w:firstLine="0" w:firstLineChars="0"/>
              <w:jc w:val="center"/>
              <w:rPr>
                <w:rFonts w:ascii="Calibri" w:hAnsi="Calibri"/>
                <w:sz w:val="18"/>
                <w:szCs w:val="22"/>
              </w:rPr>
            </w:pPr>
            <w:r>
              <w:rPr>
                <w:rFonts w:hint="eastAsia" w:ascii="Calibri" w:hAnsi="宋体"/>
                <w:sz w:val="18"/>
                <w:szCs w:val="22"/>
              </w:rPr>
              <w:t>明星寺</w:t>
            </w:r>
          </w:p>
        </w:tc>
        <w:tc>
          <w:tcPr>
            <w:tcW w:w="1207" w:type="dxa"/>
            <w:vAlign w:val="center"/>
          </w:tcPr>
          <w:p>
            <w:pPr>
              <w:adjustRightInd w:val="0"/>
              <w:snapToGrid w:val="0"/>
              <w:spacing w:line="288" w:lineRule="auto"/>
              <w:ind w:firstLine="0" w:firstLineChars="0"/>
              <w:jc w:val="center"/>
              <w:rPr>
                <w:rFonts w:ascii="Calibri" w:hAnsi="Calibri"/>
                <w:sz w:val="18"/>
                <w:szCs w:val="22"/>
              </w:rPr>
            </w:pPr>
            <w:r>
              <w:rPr>
                <w:rFonts w:ascii="Calibri" w:hAnsi="宋体"/>
                <w:sz w:val="18"/>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868" w:type="dxa"/>
            <w:vAlign w:val="center"/>
          </w:tcPr>
          <w:p>
            <w:pPr>
              <w:adjustRightInd w:val="0"/>
              <w:snapToGrid w:val="0"/>
              <w:spacing w:line="288" w:lineRule="auto"/>
              <w:ind w:firstLine="0" w:firstLineChars="0"/>
              <w:jc w:val="center"/>
              <w:rPr>
                <w:rFonts w:ascii="Calibri" w:hAnsi="Calibri"/>
                <w:b/>
                <w:sz w:val="18"/>
                <w:szCs w:val="22"/>
              </w:rPr>
            </w:pPr>
            <w:r>
              <w:rPr>
                <w:rFonts w:hint="eastAsia" w:ascii="Calibri" w:hAnsi="宋体"/>
                <w:b/>
                <w:sz w:val="18"/>
                <w:szCs w:val="22"/>
              </w:rPr>
              <w:t>小计</w:t>
            </w:r>
          </w:p>
        </w:tc>
        <w:tc>
          <w:tcPr>
            <w:tcW w:w="3979" w:type="dxa"/>
            <w:vAlign w:val="center"/>
          </w:tcPr>
          <w:p>
            <w:pPr>
              <w:adjustRightInd w:val="0"/>
              <w:snapToGrid w:val="0"/>
              <w:spacing w:line="288" w:lineRule="auto"/>
              <w:ind w:firstLine="0" w:firstLineChars="0"/>
              <w:jc w:val="center"/>
              <w:rPr>
                <w:rFonts w:ascii="Calibri" w:hAnsi="Calibri"/>
                <w:b/>
                <w:sz w:val="18"/>
                <w:szCs w:val="22"/>
              </w:rPr>
            </w:pPr>
            <w:r>
              <w:rPr>
                <w:rFonts w:hint="eastAsia" w:ascii="Calibri" w:hAnsi="Calibri"/>
                <w:b/>
                <w:sz w:val="18"/>
                <w:szCs w:val="22"/>
              </w:rPr>
              <w:t>1</w:t>
            </w:r>
            <w:r>
              <w:rPr>
                <w:rFonts w:ascii="Calibri" w:hAnsi="Calibri"/>
                <w:b/>
                <w:sz w:val="18"/>
                <w:szCs w:val="22"/>
              </w:rPr>
              <w:t>3</w:t>
            </w:r>
          </w:p>
        </w:tc>
        <w:tc>
          <w:tcPr>
            <w:tcW w:w="2021" w:type="dxa"/>
            <w:vAlign w:val="center"/>
          </w:tcPr>
          <w:p>
            <w:pPr>
              <w:adjustRightInd w:val="0"/>
              <w:snapToGrid w:val="0"/>
              <w:spacing w:line="288" w:lineRule="auto"/>
              <w:ind w:firstLine="0" w:firstLineChars="0"/>
              <w:jc w:val="center"/>
              <w:rPr>
                <w:rFonts w:ascii="Calibri" w:hAnsi="Calibri"/>
                <w:b/>
                <w:sz w:val="18"/>
                <w:szCs w:val="22"/>
              </w:rPr>
            </w:pPr>
            <w:r>
              <w:rPr>
                <w:rFonts w:hint="eastAsia" w:ascii="Calibri" w:hAnsi="Calibri"/>
                <w:b/>
                <w:sz w:val="18"/>
                <w:szCs w:val="22"/>
              </w:rPr>
              <w:t>1</w:t>
            </w:r>
          </w:p>
        </w:tc>
        <w:tc>
          <w:tcPr>
            <w:tcW w:w="1207" w:type="dxa"/>
            <w:vAlign w:val="center"/>
          </w:tcPr>
          <w:p>
            <w:pPr>
              <w:adjustRightInd w:val="0"/>
              <w:snapToGrid w:val="0"/>
              <w:spacing w:line="288" w:lineRule="auto"/>
              <w:ind w:firstLine="0" w:firstLineChars="0"/>
              <w:jc w:val="center"/>
              <w:rPr>
                <w:rFonts w:ascii="Calibri" w:hAnsi="Calibri"/>
                <w:b/>
                <w:sz w:val="18"/>
                <w:szCs w:val="22"/>
              </w:rPr>
            </w:pPr>
            <w:r>
              <w:rPr>
                <w:rFonts w:ascii="Calibri" w:hAnsi="宋体"/>
                <w:b/>
                <w:sz w:val="18"/>
                <w:szCs w:val="22"/>
              </w:rPr>
              <w:t>14</w:t>
            </w:r>
          </w:p>
        </w:tc>
      </w:tr>
    </w:tbl>
    <w:p>
      <w:pPr>
        <w:spacing w:before="97" w:beforeLines="30"/>
        <w:ind w:firstLine="482"/>
        <w:rPr>
          <w:rFonts w:ascii="Calibri" w:hAnsi="宋体"/>
          <w:szCs w:val="22"/>
        </w:rPr>
      </w:pPr>
      <w:r>
        <w:rPr>
          <w:rFonts w:hint="eastAsia" w:ascii="Calibri" w:hAnsi="宋体"/>
          <w:b/>
          <w:szCs w:val="22"/>
        </w:rPr>
        <w:t>（4）</w:t>
      </w:r>
      <w:r>
        <w:rPr>
          <w:rFonts w:ascii="Calibri" w:hAnsi="宋体"/>
          <w:b/>
          <w:szCs w:val="22"/>
        </w:rPr>
        <w:t>游赏组织：</w:t>
      </w:r>
      <w:r>
        <w:rPr>
          <w:rFonts w:hint="eastAsia" w:ascii="Calibri" w:hAnsi="宋体"/>
          <w:szCs w:val="22"/>
        </w:rPr>
        <w:t>朱阳景门－明星寺－百折瀑－龙瀑－双屏峰－一剑锋－玉笙峰－碧坑景门－三潭三瀑－歧指峰－骆驼峰－三尖峰－大象峰－猴头峰－将军峰－金朱林场。</w:t>
      </w:r>
    </w:p>
    <w:p>
      <w:pPr>
        <w:spacing w:before="97" w:beforeLines="30"/>
        <w:ind w:firstLine="482"/>
        <w:rPr>
          <w:rFonts w:ascii="Calibri" w:hAnsi="宋体"/>
          <w:b/>
          <w:szCs w:val="22"/>
        </w:rPr>
      </w:pPr>
      <w:r>
        <w:rPr>
          <w:rFonts w:hint="eastAsia" w:ascii="Calibri" w:hAnsi="宋体"/>
          <w:b/>
          <w:szCs w:val="22"/>
        </w:rPr>
        <w:t>（5）</w:t>
      </w:r>
      <w:r>
        <w:rPr>
          <w:rFonts w:ascii="Calibri" w:hAnsi="宋体"/>
          <w:b/>
          <w:szCs w:val="22"/>
        </w:rPr>
        <w:t>建设要求：</w:t>
      </w:r>
      <w:r>
        <w:rPr>
          <w:rFonts w:hint="eastAsia" w:cs="宋体"/>
        </w:rPr>
        <w:t>①规划二源镇谈阳村、玉壶镇碧溪村为景区主入口，配套完善游客中心、问询接待、餐饮住宿、交通换乘、停车等旅游服务功能。②提升景区内部游步道，规划建设好汉山庄至龙瀑和炮楼至三潭三瀑2条索道（或其他垂直交通），形成游览环线，扩大游览群体。③加强景区景点设计，延伸游步道至金朱林场，沿途设置必要的观景构筑物和休息平台，增加解说系统和标识标牌，重点展示九峰景色，开展徒步、健身等森林康养项目。</w:t>
      </w:r>
    </w:p>
    <w:p>
      <w:pPr>
        <w:numPr>
          <w:ilvl w:val="255"/>
          <w:numId w:val="0"/>
        </w:numPr>
        <w:spacing w:before="72"/>
        <w:ind w:left="480"/>
        <w:rPr>
          <w:rFonts w:ascii="Calibri" w:hAnsi="宋体"/>
          <w:szCs w:val="22"/>
        </w:rPr>
      </w:pPr>
      <w:r>
        <w:rPr>
          <w:rFonts w:hint="eastAsia" w:ascii="Calibri" w:hAnsi="宋体"/>
          <w:b/>
          <w:szCs w:val="22"/>
        </w:rPr>
        <w:t>（6）游赏项目</w:t>
      </w:r>
      <w:r>
        <w:rPr>
          <w:rFonts w:hint="eastAsia" w:ascii="Calibri" w:hAnsi="宋体"/>
          <w:szCs w:val="22"/>
        </w:rPr>
        <w:t>：山水观光、徒步探险、生态野营、避暑度假等。</w:t>
      </w:r>
    </w:p>
    <w:p>
      <w:pPr>
        <w:spacing w:before="97" w:beforeLines="30"/>
        <w:ind w:firstLine="482"/>
        <w:rPr>
          <w:rFonts w:cs="宋体"/>
          <w:b/>
        </w:rPr>
      </w:pPr>
      <w:r>
        <w:rPr>
          <w:rFonts w:cs="宋体"/>
          <w:b/>
        </w:rPr>
        <w:t>3</w:t>
      </w:r>
      <w:r>
        <w:rPr>
          <w:rFonts w:hint="eastAsia" w:cs="宋体"/>
          <w:b/>
        </w:rPr>
        <w:t>、伯温故里景区</w:t>
      </w:r>
    </w:p>
    <w:p>
      <w:pPr>
        <w:spacing w:before="97" w:beforeLines="30"/>
        <w:ind w:firstLine="482"/>
        <w:rPr>
          <w:rFonts w:ascii="Calibri" w:hAnsi="宋体"/>
          <w:szCs w:val="22"/>
        </w:rPr>
      </w:pPr>
      <w:r>
        <w:rPr>
          <w:rFonts w:hint="eastAsia" w:ascii="Calibri" w:hAnsi="宋体"/>
          <w:b/>
          <w:szCs w:val="22"/>
        </w:rPr>
        <w:t>（1）景区概况：</w:t>
      </w:r>
      <w:r>
        <w:rPr>
          <w:rFonts w:hint="eastAsia" w:ascii="Calibri" w:hAnsi="宋体"/>
          <w:szCs w:val="22"/>
        </w:rPr>
        <w:t>以位于“天下第六福地”的文成县南田镇武阳村为核心，由武阳村及其依托的山水田园空间组成。规划面积</w:t>
      </w:r>
      <w:r>
        <w:rPr>
          <w:rFonts w:ascii="Calibri" w:hAnsi="宋体"/>
          <w:szCs w:val="22"/>
        </w:rPr>
        <w:t>3.5</w:t>
      </w:r>
      <w:r>
        <w:rPr>
          <w:rFonts w:hint="eastAsia" w:ascii="Calibri" w:hAnsi="宋体"/>
          <w:szCs w:val="22"/>
        </w:rPr>
        <w:t>平方公里。</w:t>
      </w:r>
    </w:p>
    <w:p>
      <w:pPr>
        <w:spacing w:before="97" w:beforeLines="30"/>
        <w:ind w:firstLine="482"/>
        <w:rPr>
          <w:rFonts w:ascii="Calibri" w:hAnsi="宋体"/>
          <w:szCs w:val="22"/>
        </w:rPr>
      </w:pPr>
      <w:r>
        <w:rPr>
          <w:rFonts w:hint="eastAsia" w:ascii="Calibri" w:hAnsi="宋体"/>
          <w:b/>
          <w:szCs w:val="22"/>
        </w:rPr>
        <w:t>（2）景区特色：</w:t>
      </w:r>
      <w:r>
        <w:rPr>
          <w:rFonts w:hint="eastAsia" w:ascii="Calibri" w:hAnsi="宋体"/>
          <w:szCs w:val="22"/>
        </w:rPr>
        <w:t>盆地传统风水古村落，九大胜景之一的“伯温故里”景象</w:t>
      </w:r>
    </w:p>
    <w:p>
      <w:pPr>
        <w:spacing w:before="97" w:beforeLines="30"/>
        <w:ind w:firstLine="482"/>
        <w:rPr>
          <w:rFonts w:ascii="Calibri" w:hAnsi="宋体"/>
          <w:b/>
          <w:szCs w:val="22"/>
        </w:rPr>
      </w:pPr>
      <w:r>
        <w:rPr>
          <w:rFonts w:hint="eastAsia" w:ascii="Calibri" w:hAnsi="宋体"/>
          <w:b/>
          <w:szCs w:val="22"/>
        </w:rPr>
        <w:t>（3）包含景点：</w:t>
      </w:r>
    </w:p>
    <w:tbl>
      <w:tblPr>
        <w:tblStyle w:val="221"/>
        <w:tblW w:w="78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4"/>
        <w:gridCol w:w="2654"/>
        <w:gridCol w:w="2199"/>
        <w:gridCol w:w="1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1864" w:type="dxa"/>
            <w:vMerge w:val="restart"/>
            <w:shd w:val="clear" w:color="auto" w:fill="E2E2E2"/>
            <w:vAlign w:val="center"/>
          </w:tcPr>
          <w:p>
            <w:pPr>
              <w:snapToGrid w:val="0"/>
              <w:spacing w:line="240" w:lineRule="auto"/>
              <w:ind w:firstLine="0" w:firstLineChars="0"/>
              <w:jc w:val="center"/>
              <w:rPr>
                <w:rFonts w:ascii="Calibri" w:hAnsi="宋体"/>
                <w:b/>
                <w:sz w:val="18"/>
                <w:szCs w:val="22"/>
              </w:rPr>
            </w:pPr>
            <w:r>
              <w:rPr>
                <w:rFonts w:hint="eastAsia" w:ascii="Calibri" w:hAnsi="宋体"/>
                <w:b/>
                <w:sz w:val="18"/>
                <w:szCs w:val="22"/>
              </w:rPr>
              <w:t>级别</w:t>
            </w:r>
          </w:p>
        </w:tc>
        <w:tc>
          <w:tcPr>
            <w:tcW w:w="4853" w:type="dxa"/>
            <w:gridSpan w:val="2"/>
            <w:shd w:val="clear" w:color="auto" w:fill="E2E2E2"/>
            <w:vAlign w:val="center"/>
          </w:tcPr>
          <w:p>
            <w:pPr>
              <w:snapToGrid w:val="0"/>
              <w:spacing w:line="240" w:lineRule="auto"/>
              <w:ind w:firstLine="0" w:firstLineChars="0"/>
              <w:jc w:val="center"/>
              <w:rPr>
                <w:rFonts w:ascii="Calibri" w:hAnsi="宋体"/>
                <w:b/>
                <w:sz w:val="18"/>
                <w:szCs w:val="22"/>
              </w:rPr>
            </w:pPr>
            <w:r>
              <w:rPr>
                <w:rFonts w:hint="eastAsia" w:ascii="Calibri" w:hAnsi="宋体"/>
                <w:b/>
                <w:sz w:val="18"/>
                <w:szCs w:val="22"/>
              </w:rPr>
              <w:t>名称</w:t>
            </w:r>
          </w:p>
        </w:tc>
        <w:tc>
          <w:tcPr>
            <w:tcW w:w="1130" w:type="dxa"/>
            <w:vMerge w:val="restart"/>
            <w:shd w:val="clear" w:color="auto" w:fill="E2E2E2"/>
            <w:vAlign w:val="center"/>
          </w:tcPr>
          <w:p>
            <w:pPr>
              <w:snapToGrid w:val="0"/>
              <w:spacing w:line="240" w:lineRule="auto"/>
              <w:ind w:firstLine="0" w:firstLineChars="0"/>
              <w:jc w:val="center"/>
              <w:rPr>
                <w:rFonts w:ascii="Calibri" w:hAnsi="宋体"/>
                <w:b/>
                <w:sz w:val="18"/>
                <w:szCs w:val="22"/>
              </w:rPr>
            </w:pPr>
            <w:r>
              <w:rPr>
                <w:rFonts w:hint="eastAsia" w:ascii="Calibri" w:hAnsi="宋体"/>
                <w:b/>
                <w:sz w:val="18"/>
                <w:szCs w:val="22"/>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1864" w:type="dxa"/>
            <w:vMerge w:val="continue"/>
            <w:vAlign w:val="center"/>
          </w:tcPr>
          <w:p>
            <w:pPr>
              <w:snapToGrid w:val="0"/>
              <w:spacing w:line="240" w:lineRule="auto"/>
              <w:ind w:firstLine="0" w:firstLineChars="0"/>
              <w:jc w:val="center"/>
              <w:rPr>
                <w:rFonts w:ascii="Calibri" w:hAnsi="宋体"/>
                <w:sz w:val="18"/>
                <w:szCs w:val="22"/>
              </w:rPr>
            </w:pPr>
          </w:p>
        </w:tc>
        <w:tc>
          <w:tcPr>
            <w:tcW w:w="2654" w:type="dxa"/>
            <w:shd w:val="clear" w:color="auto" w:fill="E2E2E2"/>
            <w:vAlign w:val="center"/>
          </w:tcPr>
          <w:p>
            <w:pPr>
              <w:snapToGrid w:val="0"/>
              <w:spacing w:line="240" w:lineRule="auto"/>
              <w:ind w:firstLine="0" w:firstLineChars="0"/>
              <w:jc w:val="center"/>
              <w:rPr>
                <w:rFonts w:ascii="Calibri" w:hAnsi="宋体"/>
                <w:b/>
                <w:sz w:val="18"/>
                <w:szCs w:val="22"/>
              </w:rPr>
            </w:pPr>
            <w:r>
              <w:rPr>
                <w:rFonts w:hint="eastAsia" w:ascii="Calibri" w:hAnsi="宋体"/>
                <w:b/>
                <w:sz w:val="18"/>
                <w:szCs w:val="22"/>
              </w:rPr>
              <w:t>自然</w:t>
            </w:r>
          </w:p>
        </w:tc>
        <w:tc>
          <w:tcPr>
            <w:tcW w:w="2199" w:type="dxa"/>
            <w:shd w:val="clear" w:color="auto" w:fill="E2E2E2"/>
            <w:vAlign w:val="center"/>
          </w:tcPr>
          <w:p>
            <w:pPr>
              <w:snapToGrid w:val="0"/>
              <w:spacing w:line="240" w:lineRule="auto"/>
              <w:ind w:firstLine="0" w:firstLineChars="0"/>
              <w:jc w:val="center"/>
              <w:rPr>
                <w:rFonts w:ascii="Calibri" w:hAnsi="宋体"/>
                <w:b/>
                <w:sz w:val="18"/>
                <w:szCs w:val="22"/>
              </w:rPr>
            </w:pPr>
            <w:r>
              <w:rPr>
                <w:rFonts w:hint="eastAsia" w:ascii="Calibri" w:hAnsi="宋体"/>
                <w:b/>
                <w:sz w:val="18"/>
                <w:szCs w:val="22"/>
              </w:rPr>
              <w:t>人文</w:t>
            </w:r>
          </w:p>
        </w:tc>
        <w:tc>
          <w:tcPr>
            <w:tcW w:w="1130" w:type="dxa"/>
            <w:vMerge w:val="continue"/>
            <w:shd w:val="clear" w:color="auto" w:fill="E2E2E2"/>
            <w:vAlign w:val="center"/>
          </w:tcPr>
          <w:p>
            <w:pPr>
              <w:snapToGrid w:val="0"/>
              <w:spacing w:line="240" w:lineRule="auto"/>
              <w:ind w:firstLine="0" w:firstLineChars="0"/>
              <w:jc w:val="center"/>
              <w:rPr>
                <w:rFonts w:ascii="Calibri" w:hAnsi="宋体"/>
                <w:b/>
                <w:sz w:val="18"/>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1864" w:type="dxa"/>
            <w:vAlign w:val="center"/>
          </w:tcPr>
          <w:p>
            <w:pPr>
              <w:snapToGrid w:val="0"/>
              <w:spacing w:line="240" w:lineRule="auto"/>
              <w:ind w:firstLine="0" w:firstLineChars="0"/>
              <w:jc w:val="center"/>
              <w:rPr>
                <w:rFonts w:ascii="Calibri" w:hAnsi="宋体"/>
                <w:sz w:val="18"/>
                <w:szCs w:val="22"/>
              </w:rPr>
            </w:pPr>
            <w:r>
              <w:rPr>
                <w:rFonts w:hint="eastAsia" w:ascii="Calibri" w:hAnsi="宋体"/>
                <w:sz w:val="18"/>
                <w:szCs w:val="22"/>
              </w:rPr>
              <w:t>一级</w:t>
            </w:r>
          </w:p>
        </w:tc>
        <w:tc>
          <w:tcPr>
            <w:tcW w:w="2654" w:type="dxa"/>
            <w:vAlign w:val="center"/>
          </w:tcPr>
          <w:p>
            <w:pPr>
              <w:snapToGrid w:val="0"/>
              <w:spacing w:line="240" w:lineRule="auto"/>
              <w:ind w:firstLine="0" w:firstLineChars="0"/>
              <w:jc w:val="center"/>
              <w:rPr>
                <w:rFonts w:ascii="Calibri" w:hAnsi="宋体"/>
                <w:sz w:val="18"/>
                <w:szCs w:val="22"/>
              </w:rPr>
            </w:pPr>
            <w:r>
              <w:rPr>
                <w:rFonts w:hint="eastAsia" w:ascii="Calibri" w:hAnsi="宋体"/>
                <w:sz w:val="18"/>
                <w:szCs w:val="22"/>
              </w:rPr>
              <w:t>/</w:t>
            </w:r>
          </w:p>
        </w:tc>
        <w:tc>
          <w:tcPr>
            <w:tcW w:w="2199" w:type="dxa"/>
            <w:vAlign w:val="center"/>
          </w:tcPr>
          <w:p>
            <w:pPr>
              <w:snapToGrid w:val="0"/>
              <w:spacing w:line="240" w:lineRule="auto"/>
              <w:ind w:firstLine="0" w:firstLineChars="0"/>
              <w:jc w:val="center"/>
              <w:rPr>
                <w:rFonts w:ascii="Calibri" w:hAnsi="宋体"/>
                <w:sz w:val="18"/>
                <w:szCs w:val="22"/>
              </w:rPr>
            </w:pPr>
            <w:r>
              <w:rPr>
                <w:rFonts w:hint="eastAsia" w:ascii="Calibri" w:hAnsi="宋体"/>
                <w:sz w:val="18"/>
                <w:szCs w:val="22"/>
              </w:rPr>
              <w:t>刘基故里</w:t>
            </w:r>
          </w:p>
        </w:tc>
        <w:tc>
          <w:tcPr>
            <w:tcW w:w="1130" w:type="dxa"/>
            <w:vAlign w:val="center"/>
          </w:tcPr>
          <w:p>
            <w:pPr>
              <w:snapToGrid w:val="0"/>
              <w:spacing w:line="240" w:lineRule="auto"/>
              <w:ind w:firstLine="0" w:firstLineChars="0"/>
              <w:jc w:val="center"/>
              <w:rPr>
                <w:rFonts w:ascii="Calibri" w:hAnsi="宋体"/>
                <w:sz w:val="18"/>
                <w:szCs w:val="22"/>
              </w:rPr>
            </w:pPr>
            <w:r>
              <w:rPr>
                <w:rFonts w:hint="eastAsia" w:ascii="Calibri" w:hAnsi="宋体"/>
                <w:sz w:val="18"/>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1864" w:type="dxa"/>
            <w:vAlign w:val="center"/>
          </w:tcPr>
          <w:p>
            <w:pPr>
              <w:snapToGrid w:val="0"/>
              <w:spacing w:line="240" w:lineRule="auto"/>
              <w:ind w:firstLine="0" w:firstLineChars="0"/>
              <w:jc w:val="center"/>
              <w:rPr>
                <w:rFonts w:ascii="Calibri" w:hAnsi="宋体"/>
                <w:sz w:val="18"/>
                <w:szCs w:val="22"/>
              </w:rPr>
            </w:pPr>
            <w:r>
              <w:rPr>
                <w:rFonts w:hint="eastAsia" w:ascii="Calibri" w:hAnsi="宋体"/>
                <w:sz w:val="18"/>
                <w:szCs w:val="22"/>
              </w:rPr>
              <w:t>二级</w:t>
            </w:r>
          </w:p>
        </w:tc>
        <w:tc>
          <w:tcPr>
            <w:tcW w:w="2654" w:type="dxa"/>
            <w:vAlign w:val="center"/>
          </w:tcPr>
          <w:p>
            <w:pPr>
              <w:snapToGrid w:val="0"/>
              <w:spacing w:line="240" w:lineRule="auto"/>
              <w:ind w:firstLine="0" w:firstLineChars="0"/>
              <w:jc w:val="center"/>
              <w:rPr>
                <w:rFonts w:ascii="Calibri" w:hAnsi="宋体"/>
                <w:sz w:val="18"/>
                <w:szCs w:val="22"/>
              </w:rPr>
            </w:pPr>
            <w:r>
              <w:rPr>
                <w:rFonts w:hint="eastAsia" w:ascii="Calibri" w:hAnsi="宋体"/>
                <w:sz w:val="18"/>
                <w:szCs w:val="22"/>
              </w:rPr>
              <w:t>/</w:t>
            </w:r>
          </w:p>
        </w:tc>
        <w:tc>
          <w:tcPr>
            <w:tcW w:w="2199" w:type="dxa"/>
            <w:vAlign w:val="center"/>
          </w:tcPr>
          <w:p>
            <w:pPr>
              <w:snapToGrid w:val="0"/>
              <w:spacing w:line="240" w:lineRule="auto"/>
              <w:ind w:firstLine="0" w:firstLineChars="0"/>
              <w:jc w:val="center"/>
              <w:rPr>
                <w:rFonts w:ascii="Calibri" w:hAnsi="宋体"/>
                <w:sz w:val="18"/>
                <w:szCs w:val="22"/>
              </w:rPr>
            </w:pPr>
            <w:r>
              <w:rPr>
                <w:rFonts w:hint="eastAsia" w:ascii="Calibri" w:hAnsi="宋体"/>
                <w:sz w:val="18"/>
                <w:szCs w:val="22"/>
              </w:rPr>
              <w:t>武阳村、岭根古道</w:t>
            </w:r>
          </w:p>
        </w:tc>
        <w:tc>
          <w:tcPr>
            <w:tcW w:w="1130" w:type="dxa"/>
            <w:vAlign w:val="center"/>
          </w:tcPr>
          <w:p>
            <w:pPr>
              <w:snapToGrid w:val="0"/>
              <w:spacing w:line="240" w:lineRule="auto"/>
              <w:ind w:firstLine="0" w:firstLineChars="0"/>
              <w:jc w:val="center"/>
              <w:rPr>
                <w:rFonts w:ascii="Calibri" w:hAnsi="宋体"/>
                <w:sz w:val="18"/>
                <w:szCs w:val="22"/>
              </w:rPr>
            </w:pPr>
            <w:r>
              <w:rPr>
                <w:rFonts w:ascii="Calibri" w:hAnsi="宋体"/>
                <w:sz w:val="18"/>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864" w:type="dxa"/>
            <w:vAlign w:val="center"/>
          </w:tcPr>
          <w:p>
            <w:pPr>
              <w:snapToGrid w:val="0"/>
              <w:spacing w:line="240" w:lineRule="auto"/>
              <w:ind w:firstLine="0" w:firstLineChars="0"/>
              <w:jc w:val="center"/>
              <w:rPr>
                <w:rFonts w:ascii="Calibri" w:hAnsi="宋体"/>
                <w:sz w:val="18"/>
                <w:szCs w:val="22"/>
              </w:rPr>
            </w:pPr>
            <w:r>
              <w:rPr>
                <w:rFonts w:hint="eastAsia" w:ascii="Calibri" w:hAnsi="宋体"/>
                <w:sz w:val="18"/>
                <w:szCs w:val="22"/>
              </w:rPr>
              <w:t>三级</w:t>
            </w:r>
          </w:p>
        </w:tc>
        <w:tc>
          <w:tcPr>
            <w:tcW w:w="2654" w:type="dxa"/>
            <w:vAlign w:val="center"/>
          </w:tcPr>
          <w:p>
            <w:pPr>
              <w:snapToGrid w:val="0"/>
              <w:spacing w:line="240" w:lineRule="auto"/>
              <w:ind w:firstLine="0" w:firstLineChars="0"/>
              <w:jc w:val="center"/>
              <w:rPr>
                <w:rFonts w:ascii="Calibri" w:hAnsi="宋体"/>
                <w:sz w:val="18"/>
                <w:szCs w:val="22"/>
              </w:rPr>
            </w:pPr>
            <w:r>
              <w:rPr>
                <w:rFonts w:hint="eastAsia" w:ascii="Calibri" w:hAnsi="宋体"/>
                <w:sz w:val="18"/>
                <w:szCs w:val="22"/>
              </w:rPr>
              <w:t>寿桃山</w:t>
            </w:r>
          </w:p>
        </w:tc>
        <w:tc>
          <w:tcPr>
            <w:tcW w:w="2199" w:type="dxa"/>
            <w:vAlign w:val="center"/>
          </w:tcPr>
          <w:p>
            <w:pPr>
              <w:snapToGrid w:val="0"/>
              <w:spacing w:line="240" w:lineRule="auto"/>
              <w:ind w:firstLine="0" w:firstLineChars="0"/>
              <w:jc w:val="center"/>
              <w:rPr>
                <w:rFonts w:ascii="Calibri" w:hAnsi="宋体"/>
                <w:sz w:val="18"/>
                <w:szCs w:val="22"/>
              </w:rPr>
            </w:pPr>
            <w:r>
              <w:rPr>
                <w:rFonts w:hint="eastAsia" w:ascii="Calibri" w:hAnsi="宋体"/>
                <w:sz w:val="18"/>
                <w:szCs w:val="22"/>
              </w:rPr>
              <w:t>/</w:t>
            </w:r>
          </w:p>
        </w:tc>
        <w:tc>
          <w:tcPr>
            <w:tcW w:w="1130" w:type="dxa"/>
            <w:vAlign w:val="center"/>
          </w:tcPr>
          <w:p>
            <w:pPr>
              <w:snapToGrid w:val="0"/>
              <w:spacing w:line="240" w:lineRule="auto"/>
              <w:ind w:firstLine="0" w:firstLineChars="0"/>
              <w:jc w:val="center"/>
              <w:rPr>
                <w:rFonts w:ascii="Calibri" w:hAnsi="宋体"/>
                <w:sz w:val="18"/>
                <w:szCs w:val="22"/>
              </w:rPr>
            </w:pPr>
            <w:r>
              <w:rPr>
                <w:rFonts w:hint="eastAsia" w:ascii="Calibri" w:hAnsi="宋体"/>
                <w:sz w:val="18"/>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1864" w:type="dxa"/>
            <w:vAlign w:val="center"/>
          </w:tcPr>
          <w:p>
            <w:pPr>
              <w:snapToGrid w:val="0"/>
              <w:spacing w:line="240" w:lineRule="auto"/>
              <w:ind w:firstLine="0" w:firstLineChars="0"/>
              <w:jc w:val="center"/>
              <w:rPr>
                <w:rFonts w:ascii="Calibri" w:hAnsi="宋体"/>
                <w:sz w:val="18"/>
                <w:szCs w:val="22"/>
              </w:rPr>
            </w:pPr>
            <w:r>
              <w:rPr>
                <w:rFonts w:hint="eastAsia" w:ascii="Calibri" w:hAnsi="宋体"/>
                <w:sz w:val="18"/>
                <w:szCs w:val="22"/>
              </w:rPr>
              <w:t>小计</w:t>
            </w:r>
          </w:p>
        </w:tc>
        <w:tc>
          <w:tcPr>
            <w:tcW w:w="2654" w:type="dxa"/>
            <w:vAlign w:val="center"/>
          </w:tcPr>
          <w:p>
            <w:pPr>
              <w:snapToGrid w:val="0"/>
              <w:spacing w:line="240" w:lineRule="auto"/>
              <w:ind w:firstLine="0" w:firstLineChars="0"/>
              <w:jc w:val="center"/>
              <w:rPr>
                <w:rFonts w:ascii="Calibri" w:hAnsi="宋体"/>
                <w:sz w:val="18"/>
                <w:szCs w:val="22"/>
              </w:rPr>
            </w:pPr>
            <w:r>
              <w:rPr>
                <w:rFonts w:hint="eastAsia" w:ascii="Calibri" w:hAnsi="宋体"/>
                <w:sz w:val="18"/>
                <w:szCs w:val="22"/>
              </w:rPr>
              <w:t>1</w:t>
            </w:r>
          </w:p>
        </w:tc>
        <w:tc>
          <w:tcPr>
            <w:tcW w:w="2199" w:type="dxa"/>
            <w:vAlign w:val="center"/>
          </w:tcPr>
          <w:p>
            <w:pPr>
              <w:snapToGrid w:val="0"/>
              <w:spacing w:line="240" w:lineRule="auto"/>
              <w:ind w:firstLine="0" w:firstLineChars="0"/>
              <w:jc w:val="center"/>
              <w:rPr>
                <w:rFonts w:ascii="Calibri" w:hAnsi="宋体"/>
                <w:sz w:val="18"/>
                <w:szCs w:val="22"/>
              </w:rPr>
            </w:pPr>
            <w:r>
              <w:rPr>
                <w:rFonts w:hint="eastAsia" w:ascii="Calibri" w:hAnsi="宋体"/>
                <w:sz w:val="18"/>
                <w:szCs w:val="22"/>
              </w:rPr>
              <w:t>3</w:t>
            </w:r>
          </w:p>
        </w:tc>
        <w:tc>
          <w:tcPr>
            <w:tcW w:w="1130" w:type="dxa"/>
            <w:vAlign w:val="center"/>
          </w:tcPr>
          <w:p>
            <w:pPr>
              <w:snapToGrid w:val="0"/>
              <w:spacing w:line="240" w:lineRule="auto"/>
              <w:ind w:firstLine="0" w:firstLineChars="0"/>
              <w:jc w:val="center"/>
              <w:rPr>
                <w:rFonts w:ascii="Calibri" w:hAnsi="宋体"/>
                <w:sz w:val="18"/>
                <w:szCs w:val="22"/>
              </w:rPr>
            </w:pPr>
            <w:r>
              <w:rPr>
                <w:rFonts w:ascii="Calibri" w:hAnsi="宋体"/>
                <w:sz w:val="18"/>
                <w:szCs w:val="22"/>
              </w:rPr>
              <w:t>4</w:t>
            </w:r>
          </w:p>
        </w:tc>
      </w:tr>
    </w:tbl>
    <w:p>
      <w:pPr>
        <w:spacing w:before="97" w:beforeLines="30"/>
        <w:ind w:firstLine="482"/>
        <w:rPr>
          <w:rFonts w:ascii="Calibri" w:hAnsi="宋体"/>
          <w:szCs w:val="22"/>
        </w:rPr>
      </w:pPr>
      <w:r>
        <w:rPr>
          <w:rFonts w:hint="eastAsia" w:ascii="Calibri" w:hAnsi="宋体"/>
          <w:b/>
          <w:szCs w:val="22"/>
        </w:rPr>
        <w:t>（4）游览</w:t>
      </w:r>
      <w:r>
        <w:rPr>
          <w:rFonts w:hint="eastAsia" w:ascii="Calibri" w:hAnsi="Calibri"/>
          <w:b/>
          <w:szCs w:val="22"/>
        </w:rPr>
        <w:t>组织：</w:t>
      </w:r>
      <w:r>
        <w:rPr>
          <w:rFonts w:hint="eastAsia" w:ascii="Calibri" w:hAnsi="宋体"/>
          <w:szCs w:val="22"/>
        </w:rPr>
        <w:t>武阳村内部环形游览线路，可结合骑行绿道。</w:t>
      </w:r>
    </w:p>
    <w:p>
      <w:pPr>
        <w:spacing w:before="97" w:beforeLines="30"/>
        <w:ind w:firstLine="482"/>
        <w:rPr>
          <w:rFonts w:ascii="Calibri" w:hAnsi="宋体"/>
          <w:b/>
          <w:szCs w:val="22"/>
        </w:rPr>
      </w:pPr>
      <w:r>
        <w:rPr>
          <w:rFonts w:hint="eastAsia" w:ascii="Calibri" w:hAnsi="宋体"/>
          <w:b/>
          <w:szCs w:val="22"/>
        </w:rPr>
        <w:t>（5）建设要求：</w:t>
      </w:r>
    </w:p>
    <w:p>
      <w:pPr>
        <w:spacing w:before="97" w:beforeLines="30"/>
        <w:ind w:firstLine="480"/>
        <w:rPr>
          <w:rFonts w:ascii="Calibri" w:hAnsi="宋体"/>
          <w:szCs w:val="22"/>
        </w:rPr>
      </w:pPr>
      <w:r>
        <w:rPr>
          <w:rFonts w:hint="eastAsia" w:ascii="宋体" w:hAnsi="宋体" w:cs="宋体"/>
          <w:szCs w:val="22"/>
        </w:rPr>
        <w:t>①</w:t>
      </w:r>
      <w:r>
        <w:rPr>
          <w:rFonts w:hint="eastAsia" w:ascii="Calibri" w:hAnsi="宋体"/>
          <w:szCs w:val="22"/>
        </w:rPr>
        <w:t>加强武阳书院、武阳岭古道、天葬坟、七星落垟等人文景源的改造提升和游线组织，重点整治村入口形象，完善村内旅游服务配套设施，开展刘伯温故里景区综合改造提升工程；</w:t>
      </w:r>
      <w:r>
        <w:rPr>
          <w:rFonts w:hint="eastAsia" w:ascii="宋体" w:hAnsi="宋体" w:cs="宋体"/>
          <w:szCs w:val="22"/>
        </w:rPr>
        <w:t>②</w:t>
      </w:r>
      <w:r>
        <w:rPr>
          <w:rFonts w:hint="eastAsia" w:ascii="Calibri" w:hAnsi="宋体"/>
          <w:szCs w:val="22"/>
        </w:rPr>
        <w:t>做好与外部交通的衔接和换乘，挖掘利用周边如</w:t>
      </w:r>
      <w:r>
        <w:rPr>
          <w:rFonts w:hint="eastAsia" w:ascii="宋体" w:hAnsi="宋体" w:cs="宋体"/>
          <w:szCs w:val="22"/>
        </w:rPr>
        <w:t>五角仙山、千峡湖等优质资源，开展五角仙山云上休闲康养度假项目；③</w:t>
      </w:r>
      <w:r>
        <w:rPr>
          <w:rFonts w:hint="eastAsia" w:ascii="Calibri" w:hAnsi="宋体"/>
          <w:szCs w:val="22"/>
        </w:rPr>
        <w:t>结合刘基文化的挖掘利用，完善村内的节庆活动和主题民俗体验；</w:t>
      </w:r>
      <w:r>
        <w:rPr>
          <w:rFonts w:hint="eastAsia" w:ascii="宋体" w:hAnsi="宋体" w:cs="宋体"/>
          <w:szCs w:val="22"/>
        </w:rPr>
        <w:t>④进一步做大做强村内民宿产业，</w:t>
      </w:r>
      <w:r>
        <w:rPr>
          <w:rFonts w:hint="eastAsia" w:ascii="Calibri" w:hAnsi="宋体"/>
          <w:szCs w:val="22"/>
        </w:rPr>
        <w:t>完善相关旅游配套设施。</w:t>
      </w:r>
    </w:p>
    <w:p>
      <w:pPr>
        <w:spacing w:before="72"/>
        <w:ind w:left="480" w:firstLine="0" w:firstLineChars="0"/>
        <w:rPr>
          <w:rFonts w:ascii="Calibri" w:hAnsi="宋体"/>
          <w:szCs w:val="22"/>
        </w:rPr>
      </w:pPr>
      <w:r>
        <w:rPr>
          <w:rFonts w:hint="eastAsia" w:ascii="Calibri" w:hAnsi="宋体"/>
          <w:b/>
          <w:szCs w:val="22"/>
        </w:rPr>
        <w:t>（6）游赏项目：</w:t>
      </w:r>
      <w:r>
        <w:rPr>
          <w:rFonts w:hint="eastAsia" w:ascii="Calibri" w:hAnsi="宋体"/>
          <w:szCs w:val="22"/>
        </w:rPr>
        <w:t>瞻仰刘基文化、爱国教育、农耕文化体验、休闲养生等。</w:t>
      </w:r>
    </w:p>
    <w:p>
      <w:pPr>
        <w:spacing w:before="97" w:beforeLines="30"/>
        <w:ind w:firstLine="482"/>
        <w:rPr>
          <w:rFonts w:cs="宋体"/>
          <w:b/>
        </w:rPr>
      </w:pPr>
      <w:r>
        <w:rPr>
          <w:rFonts w:hint="eastAsia" w:cs="宋体"/>
          <w:b/>
        </w:rPr>
        <w:t>4、龙麒源景区</w:t>
      </w:r>
    </w:p>
    <w:p>
      <w:pPr>
        <w:spacing w:before="97" w:beforeLines="30"/>
        <w:ind w:firstLine="482"/>
        <w:rPr>
          <w:rFonts w:ascii="Calibri" w:hAnsi="宋体"/>
          <w:szCs w:val="22"/>
        </w:rPr>
      </w:pPr>
      <w:r>
        <w:rPr>
          <w:rFonts w:hint="eastAsia" w:ascii="Calibri" w:hAnsi="宋体"/>
          <w:b/>
          <w:szCs w:val="22"/>
        </w:rPr>
        <w:t>（1）景区概况：</w:t>
      </w:r>
      <w:r>
        <w:rPr>
          <w:rFonts w:hint="eastAsia" w:ascii="Calibri" w:hAnsi="宋体"/>
          <w:szCs w:val="22"/>
        </w:rPr>
        <w:t>以金</w:t>
      </w:r>
      <w:bookmarkStart w:id="41" w:name="_Hlk177675036"/>
      <w:r>
        <w:rPr>
          <w:rFonts w:hint="eastAsia" w:ascii="Calibri" w:hAnsi="宋体"/>
          <w:szCs w:val="22"/>
        </w:rPr>
        <w:t>壁</w:t>
      </w:r>
      <w:bookmarkEnd w:id="41"/>
      <w:r>
        <w:rPr>
          <w:rFonts w:hint="eastAsia" w:ascii="Calibri" w:hAnsi="宋体"/>
          <w:szCs w:val="22"/>
        </w:rPr>
        <w:t>滩、</w:t>
      </w:r>
      <w:r>
        <w:rPr>
          <w:rFonts w:hint="eastAsia" w:ascii="Calibri" w:hAnsi="Calibri"/>
          <w:szCs w:val="22"/>
        </w:rPr>
        <w:t>龙麒峡</w:t>
      </w:r>
      <w:r>
        <w:rPr>
          <w:rFonts w:hint="eastAsia" w:ascii="Calibri" w:hAnsi="宋体"/>
          <w:szCs w:val="22"/>
        </w:rPr>
        <w:t>为中心，畲族人民把龙麒作为图腾，景区内山势嵯峨，如龙似麒麟，金壁滩长500余米，宽50多米，岩壁溪床，气势恢弘、金壁辉煌，是一处天人合一的人间仙境。该景区是文成县“马蹄”型旅游圈的中心位置，有着得天独厚的地理优势。规划面积为</w:t>
      </w:r>
      <w:r>
        <w:rPr>
          <w:rFonts w:ascii="Calibri" w:hAnsi="宋体"/>
          <w:szCs w:val="22"/>
        </w:rPr>
        <w:t>8.5</w:t>
      </w:r>
      <w:r>
        <w:rPr>
          <w:rFonts w:hint="eastAsia" w:ascii="Calibri" w:hAnsi="宋体"/>
          <w:szCs w:val="22"/>
        </w:rPr>
        <w:t>平方公里。</w:t>
      </w:r>
    </w:p>
    <w:p>
      <w:pPr>
        <w:spacing w:before="97" w:beforeLines="30"/>
        <w:ind w:firstLine="482"/>
        <w:rPr>
          <w:rFonts w:ascii="Calibri" w:hAnsi="宋体"/>
          <w:szCs w:val="22"/>
        </w:rPr>
      </w:pPr>
      <w:r>
        <w:rPr>
          <w:rFonts w:hint="eastAsia" w:ascii="Calibri" w:hAnsi="宋体"/>
          <w:b/>
          <w:szCs w:val="22"/>
        </w:rPr>
        <w:t>（2）景区特色：</w:t>
      </w:r>
      <w:r>
        <w:rPr>
          <w:rFonts w:hint="eastAsia" w:ascii="Calibri" w:hAnsi="宋体"/>
          <w:szCs w:val="22"/>
        </w:rPr>
        <w:t>滩谷流金、畲乡风韵，尤以金壁滩为甚。</w:t>
      </w:r>
    </w:p>
    <w:p>
      <w:pPr>
        <w:spacing w:before="97" w:beforeLines="30"/>
        <w:ind w:firstLine="482"/>
        <w:rPr>
          <w:rFonts w:ascii="Calibri" w:hAnsi="宋体"/>
          <w:b/>
          <w:szCs w:val="22"/>
        </w:rPr>
      </w:pPr>
      <w:r>
        <w:rPr>
          <w:rFonts w:hint="eastAsia" w:ascii="Calibri" w:hAnsi="宋体"/>
          <w:b/>
          <w:szCs w:val="22"/>
        </w:rPr>
        <w:t>（3）包含景点：</w:t>
      </w:r>
    </w:p>
    <w:tbl>
      <w:tblPr>
        <w:tblStyle w:val="221"/>
        <w:tblW w:w="80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7"/>
        <w:gridCol w:w="2644"/>
        <w:gridCol w:w="2228"/>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857" w:type="dxa"/>
            <w:vMerge w:val="restart"/>
            <w:shd w:val="clear" w:color="auto" w:fill="E2E2E2"/>
            <w:vAlign w:val="center"/>
          </w:tcPr>
          <w:p>
            <w:pPr>
              <w:spacing w:line="240" w:lineRule="auto"/>
              <w:ind w:firstLine="0" w:firstLineChars="0"/>
              <w:jc w:val="center"/>
              <w:rPr>
                <w:rFonts w:ascii="Calibri" w:hAnsi="宋体"/>
                <w:b/>
                <w:sz w:val="18"/>
                <w:szCs w:val="22"/>
              </w:rPr>
            </w:pPr>
            <w:r>
              <w:rPr>
                <w:rFonts w:hint="eastAsia" w:ascii="Calibri" w:hAnsi="宋体"/>
                <w:b/>
                <w:sz w:val="18"/>
                <w:szCs w:val="22"/>
              </w:rPr>
              <w:t>级别</w:t>
            </w:r>
          </w:p>
        </w:tc>
        <w:tc>
          <w:tcPr>
            <w:tcW w:w="4872" w:type="dxa"/>
            <w:gridSpan w:val="2"/>
            <w:shd w:val="clear" w:color="auto" w:fill="E2E2E2"/>
            <w:vAlign w:val="center"/>
          </w:tcPr>
          <w:p>
            <w:pPr>
              <w:spacing w:line="240" w:lineRule="auto"/>
              <w:ind w:firstLine="0" w:firstLineChars="0"/>
              <w:jc w:val="center"/>
              <w:rPr>
                <w:rFonts w:ascii="Calibri" w:hAnsi="宋体"/>
                <w:b/>
                <w:sz w:val="18"/>
                <w:szCs w:val="22"/>
              </w:rPr>
            </w:pPr>
            <w:r>
              <w:rPr>
                <w:rFonts w:hint="eastAsia" w:ascii="Calibri" w:hAnsi="宋体"/>
                <w:b/>
                <w:sz w:val="18"/>
                <w:szCs w:val="22"/>
              </w:rPr>
              <w:t>名称</w:t>
            </w:r>
          </w:p>
        </w:tc>
        <w:tc>
          <w:tcPr>
            <w:tcW w:w="1346" w:type="dxa"/>
            <w:vMerge w:val="restart"/>
            <w:shd w:val="clear" w:color="auto" w:fill="E2E2E2"/>
            <w:vAlign w:val="center"/>
          </w:tcPr>
          <w:p>
            <w:pPr>
              <w:spacing w:line="240" w:lineRule="auto"/>
              <w:ind w:firstLine="0" w:firstLineChars="0"/>
              <w:jc w:val="center"/>
              <w:rPr>
                <w:rFonts w:ascii="Calibri" w:hAnsi="宋体"/>
                <w:b/>
                <w:sz w:val="18"/>
                <w:szCs w:val="22"/>
              </w:rPr>
            </w:pPr>
            <w:r>
              <w:rPr>
                <w:rFonts w:hint="eastAsia" w:ascii="Calibri" w:hAnsi="宋体"/>
                <w:b/>
                <w:sz w:val="18"/>
                <w:szCs w:val="22"/>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 w:hRule="atLeast"/>
          <w:jc w:val="center"/>
        </w:trPr>
        <w:tc>
          <w:tcPr>
            <w:tcW w:w="1857" w:type="dxa"/>
            <w:vMerge w:val="continue"/>
            <w:vAlign w:val="center"/>
          </w:tcPr>
          <w:p>
            <w:pPr>
              <w:spacing w:line="240" w:lineRule="auto"/>
              <w:ind w:firstLine="0" w:firstLineChars="0"/>
              <w:jc w:val="center"/>
              <w:rPr>
                <w:rFonts w:ascii="Calibri" w:hAnsi="宋体"/>
                <w:sz w:val="18"/>
                <w:szCs w:val="22"/>
              </w:rPr>
            </w:pPr>
          </w:p>
        </w:tc>
        <w:tc>
          <w:tcPr>
            <w:tcW w:w="2644" w:type="dxa"/>
            <w:shd w:val="clear" w:color="auto" w:fill="E2E2E2"/>
            <w:vAlign w:val="center"/>
          </w:tcPr>
          <w:p>
            <w:pPr>
              <w:spacing w:line="240" w:lineRule="auto"/>
              <w:ind w:firstLine="0" w:firstLineChars="0"/>
              <w:jc w:val="center"/>
              <w:rPr>
                <w:rFonts w:ascii="Calibri" w:hAnsi="宋体"/>
                <w:b/>
                <w:sz w:val="18"/>
                <w:szCs w:val="22"/>
              </w:rPr>
            </w:pPr>
            <w:r>
              <w:rPr>
                <w:rFonts w:hint="eastAsia" w:ascii="Calibri" w:hAnsi="宋体"/>
                <w:b/>
                <w:sz w:val="18"/>
                <w:szCs w:val="22"/>
              </w:rPr>
              <w:t>自然</w:t>
            </w:r>
          </w:p>
        </w:tc>
        <w:tc>
          <w:tcPr>
            <w:tcW w:w="2228" w:type="dxa"/>
            <w:shd w:val="clear" w:color="auto" w:fill="E2E2E2"/>
            <w:vAlign w:val="center"/>
          </w:tcPr>
          <w:p>
            <w:pPr>
              <w:spacing w:line="240" w:lineRule="auto"/>
              <w:ind w:firstLine="0" w:firstLineChars="0"/>
              <w:jc w:val="center"/>
              <w:rPr>
                <w:rFonts w:ascii="Calibri" w:hAnsi="宋体"/>
                <w:b/>
                <w:sz w:val="18"/>
                <w:szCs w:val="22"/>
              </w:rPr>
            </w:pPr>
            <w:r>
              <w:rPr>
                <w:rFonts w:hint="eastAsia" w:ascii="Calibri" w:hAnsi="宋体"/>
                <w:b/>
                <w:sz w:val="18"/>
                <w:szCs w:val="22"/>
              </w:rPr>
              <w:t>人文</w:t>
            </w:r>
          </w:p>
        </w:tc>
        <w:tc>
          <w:tcPr>
            <w:tcW w:w="1346" w:type="dxa"/>
            <w:vMerge w:val="continue"/>
            <w:vAlign w:val="center"/>
          </w:tcPr>
          <w:p>
            <w:pPr>
              <w:spacing w:line="240" w:lineRule="auto"/>
              <w:ind w:firstLine="0" w:firstLineChars="0"/>
              <w:jc w:val="center"/>
              <w:rPr>
                <w:rFonts w:ascii="Calibri" w:hAnsi="宋体"/>
                <w:b/>
                <w:sz w:val="18"/>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1857" w:type="dxa"/>
            <w:vAlign w:val="center"/>
          </w:tcPr>
          <w:p>
            <w:pPr>
              <w:spacing w:line="240" w:lineRule="auto"/>
              <w:ind w:firstLine="0" w:firstLineChars="0"/>
              <w:jc w:val="center"/>
              <w:rPr>
                <w:rFonts w:ascii="Calibri" w:hAnsi="宋体"/>
                <w:sz w:val="18"/>
                <w:szCs w:val="22"/>
              </w:rPr>
            </w:pPr>
            <w:r>
              <w:rPr>
                <w:rFonts w:hint="eastAsia" w:ascii="Calibri" w:hAnsi="宋体"/>
                <w:sz w:val="18"/>
                <w:szCs w:val="22"/>
              </w:rPr>
              <w:t>二级</w:t>
            </w:r>
          </w:p>
        </w:tc>
        <w:tc>
          <w:tcPr>
            <w:tcW w:w="2644" w:type="dxa"/>
            <w:vAlign w:val="center"/>
          </w:tcPr>
          <w:p>
            <w:pPr>
              <w:spacing w:line="240" w:lineRule="auto"/>
              <w:ind w:firstLine="0" w:firstLineChars="0"/>
              <w:jc w:val="center"/>
              <w:rPr>
                <w:rFonts w:ascii="Calibri" w:hAnsi="宋体"/>
                <w:sz w:val="18"/>
                <w:szCs w:val="22"/>
              </w:rPr>
            </w:pPr>
            <w:r>
              <w:rPr>
                <w:rFonts w:hint="eastAsia" w:ascii="Calibri" w:hAnsi="宋体"/>
                <w:sz w:val="18"/>
                <w:szCs w:val="22"/>
              </w:rPr>
              <w:t>金壁滩、龙麒源</w:t>
            </w:r>
          </w:p>
        </w:tc>
        <w:tc>
          <w:tcPr>
            <w:tcW w:w="2228" w:type="dxa"/>
            <w:vAlign w:val="center"/>
          </w:tcPr>
          <w:p>
            <w:pPr>
              <w:spacing w:line="240" w:lineRule="auto"/>
              <w:ind w:firstLine="0" w:firstLineChars="0"/>
              <w:jc w:val="center"/>
              <w:rPr>
                <w:rFonts w:ascii="Calibri" w:hAnsi="宋体"/>
                <w:sz w:val="18"/>
                <w:szCs w:val="22"/>
              </w:rPr>
            </w:pPr>
            <w:r>
              <w:rPr>
                <w:rFonts w:hint="eastAsia" w:ascii="Calibri" w:hAnsi="宋体"/>
                <w:sz w:val="18"/>
                <w:szCs w:val="22"/>
              </w:rPr>
              <w:t>/</w:t>
            </w:r>
          </w:p>
        </w:tc>
        <w:tc>
          <w:tcPr>
            <w:tcW w:w="1346" w:type="dxa"/>
            <w:vAlign w:val="center"/>
          </w:tcPr>
          <w:p>
            <w:pPr>
              <w:spacing w:line="240" w:lineRule="auto"/>
              <w:ind w:firstLine="0" w:firstLineChars="0"/>
              <w:jc w:val="center"/>
              <w:rPr>
                <w:rFonts w:ascii="Calibri" w:hAnsi="宋体"/>
                <w:sz w:val="18"/>
                <w:szCs w:val="22"/>
              </w:rPr>
            </w:pPr>
            <w:r>
              <w:rPr>
                <w:rFonts w:hint="eastAsia" w:ascii="Calibri" w:hAnsi="宋体"/>
                <w:sz w:val="18"/>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857" w:type="dxa"/>
            <w:vAlign w:val="center"/>
          </w:tcPr>
          <w:p>
            <w:pPr>
              <w:spacing w:line="240" w:lineRule="auto"/>
              <w:ind w:firstLine="0" w:firstLineChars="0"/>
              <w:jc w:val="center"/>
              <w:rPr>
                <w:rFonts w:ascii="Calibri" w:hAnsi="宋体"/>
                <w:sz w:val="18"/>
                <w:szCs w:val="22"/>
              </w:rPr>
            </w:pPr>
            <w:r>
              <w:rPr>
                <w:rFonts w:hint="eastAsia" w:ascii="Calibri" w:hAnsi="宋体"/>
                <w:sz w:val="18"/>
                <w:szCs w:val="22"/>
              </w:rPr>
              <w:t>三级</w:t>
            </w:r>
          </w:p>
        </w:tc>
        <w:tc>
          <w:tcPr>
            <w:tcW w:w="2644" w:type="dxa"/>
            <w:vAlign w:val="center"/>
          </w:tcPr>
          <w:p>
            <w:pPr>
              <w:spacing w:line="240" w:lineRule="auto"/>
              <w:ind w:firstLine="0" w:firstLineChars="0"/>
              <w:jc w:val="center"/>
              <w:rPr>
                <w:rFonts w:ascii="Calibri" w:hAnsi="宋体"/>
                <w:sz w:val="18"/>
                <w:szCs w:val="22"/>
              </w:rPr>
            </w:pPr>
            <w:r>
              <w:rPr>
                <w:rFonts w:hint="eastAsia" w:ascii="Calibri" w:hAnsi="宋体"/>
                <w:sz w:val="18"/>
                <w:szCs w:val="22"/>
              </w:rPr>
              <w:t>龙麒山、飞翠湖</w:t>
            </w:r>
          </w:p>
        </w:tc>
        <w:tc>
          <w:tcPr>
            <w:tcW w:w="2228" w:type="dxa"/>
            <w:vAlign w:val="center"/>
          </w:tcPr>
          <w:p>
            <w:pPr>
              <w:spacing w:line="240" w:lineRule="auto"/>
              <w:ind w:firstLine="0" w:firstLineChars="0"/>
              <w:jc w:val="center"/>
              <w:rPr>
                <w:rFonts w:ascii="Calibri" w:hAnsi="宋体"/>
                <w:sz w:val="18"/>
                <w:szCs w:val="22"/>
              </w:rPr>
            </w:pPr>
            <w:r>
              <w:rPr>
                <w:rFonts w:hint="eastAsia" w:ascii="Calibri" w:hAnsi="宋体"/>
                <w:sz w:val="18"/>
                <w:szCs w:val="22"/>
              </w:rPr>
              <w:t>/</w:t>
            </w:r>
          </w:p>
        </w:tc>
        <w:tc>
          <w:tcPr>
            <w:tcW w:w="1346" w:type="dxa"/>
            <w:vAlign w:val="center"/>
          </w:tcPr>
          <w:p>
            <w:pPr>
              <w:spacing w:line="240" w:lineRule="auto"/>
              <w:ind w:firstLine="0" w:firstLineChars="0"/>
              <w:jc w:val="center"/>
              <w:rPr>
                <w:rFonts w:ascii="Calibri" w:hAnsi="宋体"/>
                <w:sz w:val="18"/>
                <w:szCs w:val="22"/>
              </w:rPr>
            </w:pPr>
            <w:r>
              <w:rPr>
                <w:rFonts w:hint="eastAsia" w:ascii="Calibri" w:hAnsi="宋体"/>
                <w:sz w:val="18"/>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1857" w:type="dxa"/>
            <w:vAlign w:val="center"/>
          </w:tcPr>
          <w:p>
            <w:pPr>
              <w:spacing w:line="240" w:lineRule="auto"/>
              <w:ind w:firstLine="0" w:firstLineChars="0"/>
              <w:jc w:val="center"/>
              <w:rPr>
                <w:rFonts w:ascii="Calibri" w:hAnsi="宋体"/>
                <w:sz w:val="18"/>
                <w:szCs w:val="22"/>
              </w:rPr>
            </w:pPr>
            <w:r>
              <w:rPr>
                <w:rFonts w:hint="eastAsia" w:ascii="Calibri" w:hAnsi="宋体"/>
                <w:sz w:val="18"/>
                <w:szCs w:val="22"/>
              </w:rPr>
              <w:t>小计</w:t>
            </w:r>
          </w:p>
        </w:tc>
        <w:tc>
          <w:tcPr>
            <w:tcW w:w="2644" w:type="dxa"/>
            <w:vAlign w:val="center"/>
          </w:tcPr>
          <w:p>
            <w:pPr>
              <w:spacing w:line="240" w:lineRule="auto"/>
              <w:ind w:firstLine="0" w:firstLineChars="0"/>
              <w:jc w:val="center"/>
              <w:rPr>
                <w:rFonts w:ascii="Calibri" w:hAnsi="宋体"/>
                <w:sz w:val="18"/>
                <w:szCs w:val="22"/>
              </w:rPr>
            </w:pPr>
            <w:r>
              <w:rPr>
                <w:rFonts w:hint="eastAsia" w:ascii="Calibri" w:hAnsi="宋体"/>
                <w:sz w:val="18"/>
                <w:szCs w:val="22"/>
              </w:rPr>
              <w:t>4</w:t>
            </w:r>
          </w:p>
        </w:tc>
        <w:tc>
          <w:tcPr>
            <w:tcW w:w="2228" w:type="dxa"/>
            <w:vAlign w:val="center"/>
          </w:tcPr>
          <w:p>
            <w:pPr>
              <w:spacing w:line="240" w:lineRule="auto"/>
              <w:ind w:firstLine="0" w:firstLineChars="0"/>
              <w:jc w:val="center"/>
              <w:rPr>
                <w:rFonts w:ascii="Calibri" w:hAnsi="宋体"/>
                <w:sz w:val="18"/>
                <w:szCs w:val="22"/>
              </w:rPr>
            </w:pPr>
            <w:r>
              <w:rPr>
                <w:rFonts w:hint="eastAsia" w:ascii="Calibri" w:hAnsi="宋体"/>
                <w:sz w:val="18"/>
                <w:szCs w:val="22"/>
              </w:rPr>
              <w:t>0</w:t>
            </w:r>
          </w:p>
        </w:tc>
        <w:tc>
          <w:tcPr>
            <w:tcW w:w="1346" w:type="dxa"/>
            <w:vAlign w:val="center"/>
          </w:tcPr>
          <w:p>
            <w:pPr>
              <w:spacing w:line="240" w:lineRule="auto"/>
              <w:ind w:firstLine="0" w:firstLineChars="0"/>
              <w:jc w:val="center"/>
              <w:rPr>
                <w:rFonts w:ascii="Calibri" w:hAnsi="宋体"/>
                <w:sz w:val="18"/>
                <w:szCs w:val="22"/>
              </w:rPr>
            </w:pPr>
            <w:r>
              <w:rPr>
                <w:rFonts w:hint="eastAsia" w:ascii="Calibri" w:hAnsi="宋体"/>
                <w:sz w:val="18"/>
                <w:szCs w:val="22"/>
              </w:rPr>
              <w:t>4</w:t>
            </w:r>
          </w:p>
        </w:tc>
      </w:tr>
    </w:tbl>
    <w:p>
      <w:pPr>
        <w:spacing w:before="97" w:beforeLines="30"/>
        <w:ind w:firstLine="482"/>
        <w:rPr>
          <w:rFonts w:ascii="Calibri" w:hAnsi="宋体"/>
          <w:szCs w:val="22"/>
        </w:rPr>
      </w:pPr>
      <w:r>
        <w:rPr>
          <w:rFonts w:hint="eastAsia" w:ascii="Calibri" w:hAnsi="宋体"/>
          <w:b/>
          <w:szCs w:val="22"/>
        </w:rPr>
        <w:t>（4）游赏主题：</w:t>
      </w:r>
      <w:r>
        <w:rPr>
          <w:rFonts w:ascii="Calibri" w:hAnsi="宋体"/>
          <w:szCs w:val="22"/>
        </w:rPr>
        <w:t>“</w:t>
      </w:r>
      <w:r>
        <w:rPr>
          <w:rFonts w:hint="eastAsia" w:ascii="Calibri" w:hAnsi="宋体"/>
          <w:szCs w:val="22"/>
        </w:rPr>
        <w:t>滩谷流金、畲乡风韵</w:t>
      </w:r>
      <w:r>
        <w:rPr>
          <w:rFonts w:ascii="Calibri" w:hAnsi="宋体"/>
          <w:szCs w:val="22"/>
        </w:rPr>
        <w:t>”，以自然观光、畲乡风情体验</w:t>
      </w:r>
      <w:r>
        <w:rPr>
          <w:rFonts w:hint="eastAsia" w:ascii="Calibri" w:hAnsi="宋体"/>
          <w:szCs w:val="22"/>
        </w:rPr>
        <w:t xml:space="preserve"> </w:t>
      </w:r>
    </w:p>
    <w:p>
      <w:pPr>
        <w:spacing w:before="97" w:beforeLines="30"/>
        <w:ind w:firstLine="482"/>
        <w:rPr>
          <w:rFonts w:ascii="Calibri" w:hAnsi="宋体"/>
          <w:szCs w:val="22"/>
        </w:rPr>
      </w:pPr>
      <w:r>
        <w:rPr>
          <w:rFonts w:hint="eastAsia" w:ascii="Calibri" w:hAnsi="宋体"/>
          <w:b/>
          <w:szCs w:val="22"/>
        </w:rPr>
        <w:t>（5）游览</w:t>
      </w:r>
      <w:r>
        <w:rPr>
          <w:rFonts w:hint="eastAsia" w:ascii="Calibri" w:hAnsi="Calibri"/>
          <w:b/>
          <w:szCs w:val="22"/>
        </w:rPr>
        <w:t>组织：</w:t>
      </w:r>
      <w:r>
        <w:rPr>
          <w:rFonts w:hint="eastAsia" w:ascii="Calibri" w:hAnsi="宋体"/>
          <w:szCs w:val="22"/>
        </w:rPr>
        <w:t>飞翠湖－龙麒山－金壁滩－龙麒源，形成内部多条不同游程的游线。</w:t>
      </w:r>
    </w:p>
    <w:p>
      <w:pPr>
        <w:spacing w:before="97" w:beforeLines="30"/>
        <w:ind w:firstLine="482"/>
        <w:rPr>
          <w:rFonts w:ascii="Calibri" w:hAnsi="宋体"/>
          <w:b/>
          <w:szCs w:val="22"/>
        </w:rPr>
      </w:pPr>
      <w:r>
        <w:rPr>
          <w:rFonts w:hint="eastAsia" w:ascii="Calibri" w:hAnsi="宋体"/>
          <w:b/>
          <w:szCs w:val="22"/>
        </w:rPr>
        <w:t>（6）建设要求：</w:t>
      </w:r>
    </w:p>
    <w:p>
      <w:pPr>
        <w:spacing w:before="97" w:beforeLines="30"/>
        <w:ind w:firstLine="480"/>
        <w:rPr>
          <w:rFonts w:ascii="Calibri" w:hAnsi="宋体"/>
          <w:szCs w:val="22"/>
        </w:rPr>
      </w:pPr>
      <w:r>
        <w:rPr>
          <w:rFonts w:hint="eastAsia" w:ascii="宋体" w:hAnsi="宋体" w:cs="宋体"/>
          <w:szCs w:val="22"/>
        </w:rPr>
        <w:t>①规划建设1处主入口游客中心（为</w:t>
      </w:r>
      <w:r>
        <w:rPr>
          <w:rFonts w:hint="eastAsia" w:ascii="Calibri" w:hAnsi="宋体"/>
          <w:szCs w:val="22"/>
        </w:rPr>
        <w:t>龙麒源游客中心，</w:t>
      </w:r>
      <w:r>
        <w:rPr>
          <w:rFonts w:hint="eastAsia" w:ascii="宋体" w:hAnsi="宋体" w:cs="宋体"/>
          <w:szCs w:val="22"/>
        </w:rPr>
        <w:t>处于景区外的三级保护区）；②实施龙麒源景区综合保护与整治提升工程，</w:t>
      </w:r>
      <w:r>
        <w:rPr>
          <w:rFonts w:hint="eastAsia" w:ascii="Calibri" w:hAnsi="宋体"/>
          <w:szCs w:val="22"/>
        </w:rPr>
        <w:t>加强龙麒源景区内的景点建设，对核心景区内的景点及设施进行整治提升，新建景区服务部等旅游服务设施，配套完善景区特色交通系统和应急逃生设施，改造提升现有游步道沿线的休息设施和标识标牌系统；</w:t>
      </w:r>
      <w:r>
        <w:rPr>
          <w:rFonts w:hint="eastAsia" w:ascii="宋体" w:hAnsi="宋体" w:cs="宋体"/>
          <w:szCs w:val="22"/>
        </w:rPr>
        <w:t>③</w:t>
      </w:r>
      <w:r>
        <w:rPr>
          <w:rFonts w:hint="eastAsia" w:ascii="Calibri" w:hAnsi="宋体"/>
          <w:szCs w:val="22"/>
        </w:rPr>
        <w:t>依托该景区良好的区位条件，以及靠近安福寺和富相国祠的区位优势，将自然和人文进行联动发展，同时融入西坑畲族文化，建设畲族民俗文化展示与体验场所，丰富旅游业态，实现景区多元的文化体验；</w:t>
      </w:r>
      <w:r>
        <w:rPr>
          <w:rFonts w:hint="eastAsia" w:ascii="宋体" w:hAnsi="宋体" w:cs="宋体"/>
          <w:szCs w:val="22"/>
        </w:rPr>
        <w:t>④</w:t>
      </w:r>
      <w:r>
        <w:rPr>
          <w:rFonts w:hint="eastAsia" w:ascii="Calibri" w:hAnsi="宋体"/>
          <w:szCs w:val="22"/>
        </w:rPr>
        <w:t>保护湖周边的山林环境、生态植被，更新维护景区内部现有设施，特别是对飞翠湖悬索桥等的安全评估和定期保养。</w:t>
      </w:r>
    </w:p>
    <w:p>
      <w:pPr>
        <w:pStyle w:val="209"/>
        <w:numPr>
          <w:ilvl w:val="255"/>
          <w:numId w:val="0"/>
        </w:numPr>
        <w:spacing w:before="97"/>
        <w:ind w:firstLine="482" w:firstLineChars="200"/>
        <w:rPr>
          <w:rFonts w:hAnsi="宋体"/>
        </w:rPr>
      </w:pPr>
      <w:r>
        <w:rPr>
          <w:rFonts w:hint="eastAsia" w:hAnsi="宋体"/>
          <w:b/>
        </w:rPr>
        <w:t>（7）游赏项目</w:t>
      </w:r>
      <w:r>
        <w:rPr>
          <w:rFonts w:hint="eastAsia" w:hAnsi="宋体"/>
        </w:rPr>
        <w:t>：</w:t>
      </w:r>
      <w:r>
        <w:rPr>
          <w:rFonts w:hint="eastAsia" w:cs="宋体"/>
        </w:rPr>
        <w:t>山水揽胜、</w:t>
      </w:r>
      <w:r>
        <w:rPr>
          <w:rFonts w:hint="eastAsia" w:hAnsi="宋体"/>
        </w:rPr>
        <w:t>生态野营</w:t>
      </w:r>
      <w:r>
        <w:rPr>
          <w:rFonts w:hint="eastAsia" w:cs="宋体"/>
        </w:rPr>
        <w:t>、</w:t>
      </w:r>
      <w:r>
        <w:rPr>
          <w:rFonts w:hint="eastAsia" w:hAnsi="宋体"/>
        </w:rPr>
        <w:t>畲乡风情体验、科普研学等。</w:t>
      </w:r>
    </w:p>
    <w:p>
      <w:pPr>
        <w:spacing w:before="97" w:beforeLines="30"/>
        <w:ind w:firstLine="482"/>
        <w:rPr>
          <w:rFonts w:cs="宋体"/>
          <w:b/>
        </w:rPr>
      </w:pPr>
      <w:r>
        <w:rPr>
          <w:rFonts w:hint="eastAsia" w:cs="宋体"/>
          <w:b/>
        </w:rPr>
        <w:t>5、石垟景区</w:t>
      </w:r>
    </w:p>
    <w:p>
      <w:pPr>
        <w:spacing w:before="97" w:beforeLines="30"/>
        <w:ind w:firstLine="482"/>
        <w:rPr>
          <w:rFonts w:ascii="Calibri" w:hAnsi="宋体"/>
          <w:szCs w:val="22"/>
        </w:rPr>
      </w:pPr>
      <w:r>
        <w:rPr>
          <w:rFonts w:hint="eastAsia" w:ascii="Calibri" w:hAnsi="宋体"/>
          <w:b/>
          <w:szCs w:val="22"/>
        </w:rPr>
        <w:t>（1）景区概况：</w:t>
      </w:r>
      <w:r>
        <w:rPr>
          <w:rFonts w:hint="eastAsia" w:ascii="Calibri" w:hAnsi="宋体"/>
          <w:szCs w:val="22"/>
        </w:rPr>
        <w:t>以石垟林场为主体，有2000多种植被种类，其中属国家重点保护的珍稀树种有银钟华、连香树、福建柏、天竺桂、花榈木等30多种。有两栖类、爬行类、鸟类、兽类数百种之多，属国家重点保护的珍稀动物有短尾猴、黄腹角雉、穿山甲、云豹、猫头鹰、娃娃鱼、五步蛇、眼镜蛇等20多种。被誉为“浙南绿色明珠”。规划面积</w:t>
      </w:r>
      <w:r>
        <w:rPr>
          <w:rFonts w:ascii="Calibri" w:hAnsi="宋体"/>
          <w:szCs w:val="22"/>
        </w:rPr>
        <w:t>72.2</w:t>
      </w:r>
      <w:r>
        <w:rPr>
          <w:rFonts w:hint="eastAsia" w:ascii="Calibri" w:hAnsi="宋体"/>
          <w:szCs w:val="22"/>
        </w:rPr>
        <w:t>平方公里。</w:t>
      </w:r>
    </w:p>
    <w:p>
      <w:pPr>
        <w:spacing w:before="97" w:beforeLines="30"/>
        <w:ind w:firstLine="482"/>
        <w:rPr>
          <w:rFonts w:ascii="Calibri" w:hAnsi="宋体"/>
          <w:szCs w:val="22"/>
        </w:rPr>
      </w:pPr>
      <w:r>
        <w:rPr>
          <w:rFonts w:hint="eastAsia" w:ascii="Calibri" w:hAnsi="宋体"/>
          <w:b/>
          <w:szCs w:val="22"/>
        </w:rPr>
        <w:t>（2）景区特色：</w:t>
      </w:r>
      <w:r>
        <w:rPr>
          <w:rFonts w:hint="eastAsia" w:ascii="Calibri" w:hAnsi="宋体"/>
          <w:szCs w:val="22"/>
        </w:rPr>
        <w:t>以山峦溪谷景观和丰富的野生动植物资源为特色。杨顶峰主峰海拔1362米，是文成县最高峰，温州第二高峰，山峦景观蔚为壮观。境内溪流源短流急，常有较高落差，形成丰富秀美的瀑潭景观。</w:t>
      </w:r>
    </w:p>
    <w:p>
      <w:pPr>
        <w:spacing w:before="97" w:beforeLines="30"/>
        <w:ind w:firstLine="482"/>
        <w:rPr>
          <w:rFonts w:ascii="Calibri" w:hAnsi="宋体"/>
          <w:b/>
          <w:szCs w:val="22"/>
        </w:rPr>
      </w:pPr>
      <w:r>
        <w:rPr>
          <w:rFonts w:hint="eastAsia" w:ascii="Calibri" w:hAnsi="宋体"/>
          <w:b/>
          <w:szCs w:val="22"/>
        </w:rPr>
        <w:t>（3）包含景点：</w:t>
      </w:r>
    </w:p>
    <w:tbl>
      <w:tblPr>
        <w:tblStyle w:val="221"/>
        <w:tblW w:w="82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3555"/>
        <w:gridCol w:w="2360"/>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389" w:type="dxa"/>
            <w:vMerge w:val="restart"/>
            <w:shd w:val="clear" w:color="auto" w:fill="E2E2E2"/>
            <w:vAlign w:val="center"/>
          </w:tcPr>
          <w:p>
            <w:pPr>
              <w:snapToGrid w:val="0"/>
              <w:spacing w:line="288" w:lineRule="auto"/>
              <w:ind w:firstLine="0" w:firstLineChars="0"/>
              <w:jc w:val="center"/>
              <w:rPr>
                <w:rFonts w:ascii="Calibri" w:hAnsi="宋体"/>
                <w:b/>
                <w:sz w:val="18"/>
                <w:szCs w:val="22"/>
              </w:rPr>
            </w:pPr>
            <w:r>
              <w:rPr>
                <w:rFonts w:hint="eastAsia" w:ascii="Calibri" w:hAnsi="宋体"/>
                <w:b/>
                <w:sz w:val="18"/>
                <w:szCs w:val="22"/>
              </w:rPr>
              <w:t>级别</w:t>
            </w:r>
          </w:p>
        </w:tc>
        <w:tc>
          <w:tcPr>
            <w:tcW w:w="5915" w:type="dxa"/>
            <w:gridSpan w:val="2"/>
            <w:shd w:val="clear" w:color="auto" w:fill="E2E2E2"/>
            <w:vAlign w:val="center"/>
          </w:tcPr>
          <w:p>
            <w:pPr>
              <w:snapToGrid w:val="0"/>
              <w:spacing w:line="288" w:lineRule="auto"/>
              <w:ind w:firstLine="0" w:firstLineChars="0"/>
              <w:jc w:val="center"/>
              <w:rPr>
                <w:rFonts w:ascii="Calibri" w:hAnsi="宋体"/>
                <w:b/>
                <w:sz w:val="18"/>
                <w:szCs w:val="22"/>
              </w:rPr>
            </w:pPr>
            <w:r>
              <w:rPr>
                <w:rFonts w:hint="eastAsia" w:ascii="Calibri" w:hAnsi="宋体"/>
                <w:b/>
                <w:sz w:val="18"/>
                <w:szCs w:val="22"/>
              </w:rPr>
              <w:t>名称</w:t>
            </w:r>
          </w:p>
        </w:tc>
        <w:tc>
          <w:tcPr>
            <w:tcW w:w="990" w:type="dxa"/>
            <w:vMerge w:val="restart"/>
            <w:shd w:val="clear" w:color="auto" w:fill="E2E2E2"/>
            <w:vAlign w:val="center"/>
          </w:tcPr>
          <w:p>
            <w:pPr>
              <w:snapToGrid w:val="0"/>
              <w:spacing w:line="288" w:lineRule="auto"/>
              <w:ind w:firstLine="0" w:firstLineChars="0"/>
              <w:jc w:val="center"/>
              <w:rPr>
                <w:rFonts w:ascii="Calibri" w:hAnsi="宋体"/>
                <w:b/>
                <w:sz w:val="18"/>
                <w:szCs w:val="22"/>
              </w:rPr>
            </w:pPr>
            <w:r>
              <w:rPr>
                <w:rFonts w:hint="eastAsia" w:ascii="Calibri" w:hAnsi="宋体"/>
                <w:b/>
                <w:sz w:val="18"/>
                <w:szCs w:val="22"/>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jc w:val="center"/>
        </w:trPr>
        <w:tc>
          <w:tcPr>
            <w:tcW w:w="1389" w:type="dxa"/>
            <w:vMerge w:val="continue"/>
            <w:shd w:val="clear" w:color="auto" w:fill="E2E2E2"/>
            <w:vAlign w:val="center"/>
          </w:tcPr>
          <w:p>
            <w:pPr>
              <w:snapToGrid w:val="0"/>
              <w:spacing w:line="288" w:lineRule="auto"/>
              <w:ind w:firstLine="0" w:firstLineChars="0"/>
              <w:jc w:val="center"/>
              <w:rPr>
                <w:rFonts w:ascii="Calibri" w:hAnsi="宋体"/>
                <w:sz w:val="18"/>
                <w:szCs w:val="22"/>
              </w:rPr>
            </w:pPr>
          </w:p>
        </w:tc>
        <w:tc>
          <w:tcPr>
            <w:tcW w:w="3555" w:type="dxa"/>
            <w:shd w:val="clear" w:color="auto" w:fill="E2E2E2"/>
            <w:vAlign w:val="center"/>
          </w:tcPr>
          <w:p>
            <w:pPr>
              <w:snapToGrid w:val="0"/>
              <w:spacing w:line="288" w:lineRule="auto"/>
              <w:ind w:firstLine="0" w:firstLineChars="0"/>
              <w:jc w:val="center"/>
              <w:rPr>
                <w:rFonts w:ascii="Calibri" w:hAnsi="宋体"/>
                <w:b/>
                <w:sz w:val="18"/>
                <w:szCs w:val="22"/>
              </w:rPr>
            </w:pPr>
            <w:r>
              <w:rPr>
                <w:rFonts w:hint="eastAsia" w:ascii="Calibri" w:hAnsi="宋体"/>
                <w:b/>
                <w:sz w:val="18"/>
                <w:szCs w:val="22"/>
              </w:rPr>
              <w:t>自然</w:t>
            </w:r>
          </w:p>
        </w:tc>
        <w:tc>
          <w:tcPr>
            <w:tcW w:w="2360" w:type="dxa"/>
            <w:shd w:val="clear" w:color="auto" w:fill="E2E2E2"/>
            <w:vAlign w:val="center"/>
          </w:tcPr>
          <w:p>
            <w:pPr>
              <w:snapToGrid w:val="0"/>
              <w:spacing w:line="288" w:lineRule="auto"/>
              <w:ind w:firstLine="0" w:firstLineChars="0"/>
              <w:jc w:val="center"/>
              <w:rPr>
                <w:rFonts w:ascii="Calibri" w:hAnsi="宋体"/>
                <w:b/>
                <w:sz w:val="18"/>
                <w:szCs w:val="22"/>
              </w:rPr>
            </w:pPr>
            <w:r>
              <w:rPr>
                <w:rFonts w:hint="eastAsia" w:ascii="Calibri" w:hAnsi="宋体"/>
                <w:b/>
                <w:sz w:val="18"/>
                <w:szCs w:val="22"/>
              </w:rPr>
              <w:t>人文</w:t>
            </w:r>
          </w:p>
        </w:tc>
        <w:tc>
          <w:tcPr>
            <w:tcW w:w="990" w:type="dxa"/>
            <w:vMerge w:val="continue"/>
            <w:shd w:val="clear" w:color="auto" w:fill="E2E2E2"/>
            <w:vAlign w:val="center"/>
          </w:tcPr>
          <w:p>
            <w:pPr>
              <w:snapToGrid w:val="0"/>
              <w:spacing w:line="288" w:lineRule="auto"/>
              <w:ind w:firstLine="0" w:firstLineChars="0"/>
              <w:jc w:val="center"/>
              <w:rPr>
                <w:rFonts w:ascii="Calibri" w:hAnsi="宋体"/>
                <w:b/>
                <w:sz w:val="18"/>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1389" w:type="dxa"/>
            <w:vAlign w:val="center"/>
          </w:tcPr>
          <w:p>
            <w:pPr>
              <w:snapToGrid w:val="0"/>
              <w:spacing w:line="288" w:lineRule="auto"/>
              <w:ind w:firstLine="0" w:firstLineChars="0"/>
              <w:jc w:val="center"/>
              <w:rPr>
                <w:rFonts w:ascii="Calibri" w:hAnsi="宋体"/>
                <w:sz w:val="18"/>
                <w:szCs w:val="22"/>
              </w:rPr>
            </w:pPr>
            <w:r>
              <w:rPr>
                <w:rFonts w:hint="eastAsia" w:ascii="Calibri" w:hAnsi="宋体"/>
                <w:sz w:val="18"/>
                <w:szCs w:val="22"/>
              </w:rPr>
              <w:t>二级</w:t>
            </w:r>
          </w:p>
        </w:tc>
        <w:tc>
          <w:tcPr>
            <w:tcW w:w="3555" w:type="dxa"/>
            <w:vAlign w:val="center"/>
          </w:tcPr>
          <w:p>
            <w:pPr>
              <w:snapToGrid w:val="0"/>
              <w:spacing w:line="288" w:lineRule="auto"/>
              <w:ind w:firstLine="0" w:firstLineChars="0"/>
              <w:jc w:val="center"/>
              <w:rPr>
                <w:rFonts w:ascii="Calibri" w:hAnsi="宋体"/>
                <w:sz w:val="18"/>
                <w:szCs w:val="22"/>
              </w:rPr>
            </w:pPr>
            <w:r>
              <w:rPr>
                <w:rFonts w:hint="eastAsia" w:ascii="Calibri" w:hAnsi="宋体"/>
                <w:sz w:val="18"/>
                <w:szCs w:val="22"/>
              </w:rPr>
              <w:t>杨顶峰、猴王谷</w:t>
            </w:r>
          </w:p>
        </w:tc>
        <w:tc>
          <w:tcPr>
            <w:tcW w:w="2360" w:type="dxa"/>
            <w:vAlign w:val="center"/>
          </w:tcPr>
          <w:p>
            <w:pPr>
              <w:snapToGrid w:val="0"/>
              <w:spacing w:line="288" w:lineRule="auto"/>
              <w:ind w:firstLine="0" w:firstLineChars="0"/>
              <w:jc w:val="center"/>
              <w:rPr>
                <w:rFonts w:ascii="Calibri" w:hAnsi="宋体"/>
                <w:sz w:val="18"/>
                <w:szCs w:val="22"/>
              </w:rPr>
            </w:pPr>
            <w:r>
              <w:rPr>
                <w:rFonts w:hint="eastAsia" w:ascii="Calibri" w:hAnsi="宋体"/>
                <w:sz w:val="18"/>
                <w:szCs w:val="22"/>
              </w:rPr>
              <w:t>/</w:t>
            </w:r>
          </w:p>
        </w:tc>
        <w:tc>
          <w:tcPr>
            <w:tcW w:w="990" w:type="dxa"/>
            <w:vAlign w:val="center"/>
          </w:tcPr>
          <w:p>
            <w:pPr>
              <w:snapToGrid w:val="0"/>
              <w:spacing w:line="288" w:lineRule="auto"/>
              <w:ind w:firstLine="0" w:firstLineChars="0"/>
              <w:jc w:val="center"/>
              <w:rPr>
                <w:rFonts w:ascii="Calibri" w:hAnsi="宋体"/>
                <w:sz w:val="18"/>
                <w:szCs w:val="22"/>
              </w:rPr>
            </w:pPr>
            <w:r>
              <w:rPr>
                <w:rFonts w:hint="eastAsia" w:ascii="Calibri" w:hAnsi="宋体"/>
                <w:sz w:val="18"/>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jc w:val="center"/>
        </w:trPr>
        <w:tc>
          <w:tcPr>
            <w:tcW w:w="1389" w:type="dxa"/>
            <w:vAlign w:val="center"/>
          </w:tcPr>
          <w:p>
            <w:pPr>
              <w:snapToGrid w:val="0"/>
              <w:spacing w:line="288" w:lineRule="auto"/>
              <w:ind w:firstLine="0" w:firstLineChars="0"/>
              <w:jc w:val="center"/>
              <w:rPr>
                <w:rFonts w:ascii="Calibri" w:hAnsi="宋体"/>
                <w:sz w:val="18"/>
                <w:szCs w:val="22"/>
              </w:rPr>
            </w:pPr>
            <w:r>
              <w:rPr>
                <w:rFonts w:hint="eastAsia" w:ascii="Calibri" w:hAnsi="宋体"/>
                <w:sz w:val="18"/>
                <w:szCs w:val="22"/>
              </w:rPr>
              <w:t>三级</w:t>
            </w:r>
          </w:p>
        </w:tc>
        <w:tc>
          <w:tcPr>
            <w:tcW w:w="3555" w:type="dxa"/>
            <w:vAlign w:val="center"/>
          </w:tcPr>
          <w:p>
            <w:pPr>
              <w:snapToGrid w:val="0"/>
              <w:spacing w:line="288" w:lineRule="auto"/>
              <w:ind w:firstLine="0" w:firstLineChars="0"/>
              <w:jc w:val="center"/>
              <w:rPr>
                <w:rFonts w:ascii="Calibri" w:hAnsi="宋体"/>
                <w:sz w:val="18"/>
                <w:szCs w:val="22"/>
              </w:rPr>
            </w:pPr>
            <w:r>
              <w:rPr>
                <w:rFonts w:hint="eastAsia" w:ascii="Calibri" w:hAnsi="宋体"/>
                <w:sz w:val="18"/>
                <w:szCs w:val="22"/>
              </w:rPr>
              <w:t>敬客岩、老童生、仙人足迹、月老山、石垟林场、九龙潭、三潭三涧、清溪暗流、清潭曲流、猴王啸天</w:t>
            </w:r>
          </w:p>
        </w:tc>
        <w:tc>
          <w:tcPr>
            <w:tcW w:w="2360" w:type="dxa"/>
            <w:vAlign w:val="center"/>
          </w:tcPr>
          <w:p>
            <w:pPr>
              <w:snapToGrid w:val="0"/>
              <w:spacing w:line="288" w:lineRule="auto"/>
              <w:ind w:firstLine="0" w:firstLineChars="0"/>
              <w:jc w:val="center"/>
              <w:rPr>
                <w:rFonts w:ascii="Calibri" w:hAnsi="宋体"/>
                <w:sz w:val="18"/>
                <w:szCs w:val="22"/>
              </w:rPr>
            </w:pPr>
            <w:r>
              <w:rPr>
                <w:rFonts w:hint="eastAsia" w:ascii="Calibri" w:hAnsi="宋体"/>
                <w:sz w:val="18"/>
                <w:szCs w:val="22"/>
              </w:rPr>
              <w:t>/</w:t>
            </w:r>
          </w:p>
        </w:tc>
        <w:tc>
          <w:tcPr>
            <w:tcW w:w="990" w:type="dxa"/>
            <w:vAlign w:val="center"/>
          </w:tcPr>
          <w:p>
            <w:pPr>
              <w:snapToGrid w:val="0"/>
              <w:spacing w:line="288" w:lineRule="auto"/>
              <w:ind w:firstLine="0" w:firstLineChars="0"/>
              <w:jc w:val="center"/>
              <w:rPr>
                <w:rFonts w:ascii="Calibri" w:hAnsi="宋体"/>
                <w:sz w:val="18"/>
                <w:szCs w:val="22"/>
              </w:rPr>
            </w:pPr>
            <w:r>
              <w:rPr>
                <w:rFonts w:hint="eastAsia" w:ascii="Calibri" w:hAnsi="宋体"/>
                <w:sz w:val="18"/>
                <w:szCs w:val="22"/>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6" w:hRule="atLeast"/>
          <w:jc w:val="center"/>
        </w:trPr>
        <w:tc>
          <w:tcPr>
            <w:tcW w:w="1389" w:type="dxa"/>
            <w:vAlign w:val="center"/>
          </w:tcPr>
          <w:p>
            <w:pPr>
              <w:snapToGrid w:val="0"/>
              <w:spacing w:line="288" w:lineRule="auto"/>
              <w:ind w:firstLine="0" w:firstLineChars="0"/>
              <w:jc w:val="center"/>
              <w:rPr>
                <w:rFonts w:ascii="Calibri" w:hAnsi="宋体"/>
                <w:sz w:val="18"/>
                <w:szCs w:val="22"/>
              </w:rPr>
            </w:pPr>
            <w:r>
              <w:rPr>
                <w:rFonts w:hint="eastAsia" w:ascii="Calibri" w:hAnsi="宋体"/>
                <w:sz w:val="18"/>
                <w:szCs w:val="22"/>
              </w:rPr>
              <w:t>四级</w:t>
            </w:r>
          </w:p>
        </w:tc>
        <w:tc>
          <w:tcPr>
            <w:tcW w:w="3555" w:type="dxa"/>
            <w:vAlign w:val="center"/>
          </w:tcPr>
          <w:p>
            <w:pPr>
              <w:snapToGrid w:val="0"/>
              <w:spacing w:line="288" w:lineRule="auto"/>
              <w:ind w:firstLine="0" w:firstLineChars="0"/>
              <w:jc w:val="center"/>
              <w:rPr>
                <w:rFonts w:ascii="Calibri" w:hAnsi="宋体"/>
                <w:sz w:val="18"/>
                <w:szCs w:val="22"/>
              </w:rPr>
            </w:pPr>
            <w:r>
              <w:rPr>
                <w:rFonts w:hint="eastAsia" w:ascii="Calibri" w:hAnsi="宋体"/>
                <w:sz w:val="18"/>
                <w:szCs w:val="22"/>
              </w:rPr>
              <w:t>九龙壁、通天洞、石角崖、仙龟山、抱子岩、九龟塘、龙凤瀑、吴王塘、曲流奇坦、松枫双墩、幽风密洞、葫芦潭、狮子岩、青龙吐珠、牛角潭、石棺崖</w:t>
            </w:r>
          </w:p>
        </w:tc>
        <w:tc>
          <w:tcPr>
            <w:tcW w:w="2360" w:type="dxa"/>
            <w:vAlign w:val="center"/>
          </w:tcPr>
          <w:p>
            <w:pPr>
              <w:snapToGrid w:val="0"/>
              <w:spacing w:line="288" w:lineRule="auto"/>
              <w:ind w:firstLine="0" w:firstLineChars="0"/>
              <w:jc w:val="center"/>
              <w:rPr>
                <w:rFonts w:ascii="Calibri" w:hAnsi="宋体"/>
                <w:sz w:val="18"/>
                <w:szCs w:val="22"/>
              </w:rPr>
            </w:pPr>
            <w:r>
              <w:rPr>
                <w:rFonts w:hint="eastAsia" w:ascii="Calibri" w:hAnsi="宋体"/>
                <w:sz w:val="18"/>
                <w:szCs w:val="22"/>
              </w:rPr>
              <w:t>月老庙、金竹寨、鸽坞寨</w:t>
            </w:r>
          </w:p>
        </w:tc>
        <w:tc>
          <w:tcPr>
            <w:tcW w:w="990" w:type="dxa"/>
            <w:vAlign w:val="center"/>
          </w:tcPr>
          <w:p>
            <w:pPr>
              <w:snapToGrid w:val="0"/>
              <w:spacing w:line="288" w:lineRule="auto"/>
              <w:ind w:firstLine="0" w:firstLineChars="0"/>
              <w:jc w:val="center"/>
              <w:rPr>
                <w:rFonts w:ascii="Calibri" w:hAnsi="宋体"/>
                <w:sz w:val="18"/>
                <w:szCs w:val="22"/>
              </w:rPr>
            </w:pPr>
            <w:r>
              <w:rPr>
                <w:rFonts w:hint="eastAsia" w:ascii="Calibri" w:hAnsi="宋体"/>
                <w:sz w:val="18"/>
                <w:szCs w:val="22"/>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1389" w:type="dxa"/>
            <w:vAlign w:val="center"/>
          </w:tcPr>
          <w:p>
            <w:pPr>
              <w:snapToGrid w:val="0"/>
              <w:spacing w:line="288" w:lineRule="auto"/>
              <w:ind w:firstLine="0" w:firstLineChars="0"/>
              <w:jc w:val="center"/>
              <w:rPr>
                <w:rFonts w:ascii="Calibri" w:hAnsi="宋体"/>
                <w:sz w:val="18"/>
                <w:szCs w:val="22"/>
              </w:rPr>
            </w:pPr>
            <w:r>
              <w:rPr>
                <w:rFonts w:hint="eastAsia" w:ascii="Calibri" w:hAnsi="宋体"/>
                <w:sz w:val="18"/>
                <w:szCs w:val="22"/>
              </w:rPr>
              <w:t>小计</w:t>
            </w:r>
          </w:p>
        </w:tc>
        <w:tc>
          <w:tcPr>
            <w:tcW w:w="3555" w:type="dxa"/>
            <w:vAlign w:val="center"/>
          </w:tcPr>
          <w:p>
            <w:pPr>
              <w:snapToGrid w:val="0"/>
              <w:spacing w:line="288" w:lineRule="auto"/>
              <w:ind w:firstLine="0" w:firstLineChars="0"/>
              <w:jc w:val="center"/>
              <w:rPr>
                <w:rFonts w:ascii="Calibri" w:hAnsi="宋体"/>
                <w:sz w:val="18"/>
                <w:szCs w:val="22"/>
              </w:rPr>
            </w:pPr>
            <w:r>
              <w:rPr>
                <w:rFonts w:hint="eastAsia" w:ascii="Calibri" w:hAnsi="宋体"/>
                <w:sz w:val="18"/>
                <w:szCs w:val="22"/>
              </w:rPr>
              <w:t>2</w:t>
            </w:r>
            <w:r>
              <w:rPr>
                <w:rFonts w:ascii="Calibri" w:hAnsi="宋体"/>
                <w:sz w:val="18"/>
                <w:szCs w:val="22"/>
              </w:rPr>
              <w:t>8</w:t>
            </w:r>
          </w:p>
        </w:tc>
        <w:tc>
          <w:tcPr>
            <w:tcW w:w="2360" w:type="dxa"/>
            <w:vAlign w:val="center"/>
          </w:tcPr>
          <w:p>
            <w:pPr>
              <w:snapToGrid w:val="0"/>
              <w:spacing w:line="288" w:lineRule="auto"/>
              <w:ind w:firstLine="0" w:firstLineChars="0"/>
              <w:jc w:val="center"/>
              <w:rPr>
                <w:rFonts w:ascii="Calibri" w:hAnsi="宋体"/>
                <w:sz w:val="18"/>
                <w:szCs w:val="22"/>
              </w:rPr>
            </w:pPr>
            <w:r>
              <w:rPr>
                <w:rFonts w:hint="eastAsia" w:ascii="Calibri" w:hAnsi="宋体"/>
                <w:sz w:val="18"/>
                <w:szCs w:val="22"/>
              </w:rPr>
              <w:t>3</w:t>
            </w:r>
          </w:p>
        </w:tc>
        <w:tc>
          <w:tcPr>
            <w:tcW w:w="990" w:type="dxa"/>
            <w:vAlign w:val="center"/>
          </w:tcPr>
          <w:p>
            <w:pPr>
              <w:snapToGrid w:val="0"/>
              <w:spacing w:line="288" w:lineRule="auto"/>
              <w:ind w:firstLine="0" w:firstLineChars="0"/>
              <w:jc w:val="center"/>
              <w:rPr>
                <w:rFonts w:ascii="Calibri" w:hAnsi="宋体"/>
                <w:sz w:val="18"/>
                <w:szCs w:val="22"/>
              </w:rPr>
            </w:pPr>
            <w:r>
              <w:rPr>
                <w:rFonts w:hint="eastAsia" w:ascii="Calibri" w:hAnsi="宋体"/>
                <w:sz w:val="18"/>
                <w:szCs w:val="22"/>
              </w:rPr>
              <w:t>31</w:t>
            </w:r>
          </w:p>
        </w:tc>
      </w:tr>
    </w:tbl>
    <w:p>
      <w:pPr>
        <w:spacing w:before="97" w:beforeLines="30"/>
        <w:ind w:firstLine="482"/>
        <w:rPr>
          <w:rFonts w:ascii="Calibri" w:hAnsi="宋体"/>
          <w:szCs w:val="22"/>
        </w:rPr>
      </w:pPr>
      <w:r>
        <w:rPr>
          <w:rFonts w:hint="eastAsia" w:ascii="Calibri" w:hAnsi="宋体"/>
          <w:b/>
          <w:szCs w:val="22"/>
        </w:rPr>
        <w:t>（4）游览</w:t>
      </w:r>
      <w:r>
        <w:rPr>
          <w:rFonts w:hint="eastAsia" w:ascii="Calibri" w:hAnsi="Calibri"/>
          <w:b/>
          <w:szCs w:val="22"/>
        </w:rPr>
        <w:t>组织：</w:t>
      </w:r>
      <w:r>
        <w:rPr>
          <w:rFonts w:hint="eastAsia" w:ascii="Calibri" w:hAnsi="Calibri"/>
          <w:szCs w:val="22"/>
        </w:rPr>
        <w:t>（北线）</w:t>
      </w:r>
      <w:r>
        <w:rPr>
          <w:rFonts w:hint="eastAsia" w:ascii="Calibri" w:hAnsi="宋体"/>
          <w:szCs w:val="22"/>
        </w:rPr>
        <w:t>铜铃山镇－月老山－月老庙－仙人足迹－老童生－九龙壁－双龙潭－炉西第一璧，（南线）铜铃山镇－猴王谷－杨顶峰—九龙潭－三潭三涧－清潭曲流—猴王啸天。</w:t>
      </w:r>
    </w:p>
    <w:p>
      <w:pPr>
        <w:spacing w:before="97" w:beforeLines="30"/>
        <w:ind w:firstLine="482"/>
        <w:rPr>
          <w:rFonts w:ascii="Calibri" w:hAnsi="宋体"/>
          <w:b/>
          <w:szCs w:val="22"/>
        </w:rPr>
      </w:pPr>
      <w:r>
        <w:rPr>
          <w:rFonts w:hint="eastAsia" w:ascii="Calibri" w:hAnsi="宋体"/>
          <w:b/>
          <w:szCs w:val="22"/>
        </w:rPr>
        <w:t>（5）建设要求：</w:t>
      </w:r>
    </w:p>
    <w:p>
      <w:pPr>
        <w:spacing w:before="97" w:beforeLines="30"/>
        <w:ind w:firstLine="480"/>
        <w:rPr>
          <w:rFonts w:ascii="Calibri" w:hAnsi="宋体"/>
          <w:szCs w:val="22"/>
        </w:rPr>
      </w:pPr>
      <w:r>
        <w:rPr>
          <w:rFonts w:hint="eastAsia" w:ascii="Calibri" w:hAnsi="宋体"/>
          <w:szCs w:val="22"/>
        </w:rPr>
        <w:t>严格保护林场自然生态环境，保护林地物种多样性。重点保护南部峡谷中的次生阔叶林和短尾猴栖息地及活动场所，并指定区块来观赏和喂食短尾猴。</w:t>
      </w:r>
      <w:r>
        <w:rPr>
          <w:rFonts w:hint="eastAsia" w:ascii="宋体" w:hAnsi="宋体" w:cs="宋体"/>
          <w:szCs w:val="22"/>
        </w:rPr>
        <w:t>石垟景区以</w:t>
      </w:r>
      <w:r>
        <w:rPr>
          <w:rFonts w:hint="eastAsia" w:ascii="Calibri" w:hAnsi="宋体"/>
          <w:szCs w:val="22"/>
        </w:rPr>
        <w:t>林场为主体，生态环境良好，在保护好森林植被生态环境的前提下，可结合资源丰富游赏内容，开展铜铃山旅游研学培训综合体项目、浙南药库中草药研究和开发项目等，开辟森林科普体验基地、野生动植物展示园、高山药材展示园等，完善景区游赏体验。</w:t>
      </w:r>
    </w:p>
    <w:p>
      <w:pPr>
        <w:spacing w:before="97" w:beforeLines="30"/>
        <w:ind w:firstLine="480"/>
        <w:rPr>
          <w:rFonts w:ascii="Calibri" w:hAnsi="宋体"/>
          <w:szCs w:val="22"/>
        </w:rPr>
      </w:pPr>
      <w:r>
        <w:rPr>
          <w:rFonts w:hint="eastAsia" w:ascii="Calibri" w:hAnsi="宋体"/>
          <w:szCs w:val="22"/>
        </w:rPr>
        <w:t>加强景点串联、游线组织和设施建设，提升完善杨顶峰景点，在山顶设置观景平台，作为区域制高点眺望远景摄影采风，同时在其周边营造季相植被景观。</w:t>
      </w:r>
    </w:p>
    <w:p>
      <w:pPr>
        <w:spacing w:before="97" w:beforeLines="30"/>
        <w:ind w:firstLine="480"/>
        <w:rPr>
          <w:rFonts w:ascii="Calibri" w:hAnsi="宋体"/>
          <w:szCs w:val="22"/>
        </w:rPr>
      </w:pPr>
      <w:r>
        <w:rPr>
          <w:rFonts w:hint="eastAsia" w:ascii="Calibri" w:hAnsi="宋体"/>
          <w:szCs w:val="22"/>
        </w:rPr>
        <w:t>以景区中部的旅游镇铜铃山镇为核心，结合铜铃山镇的森林氧吧小镇建设，进行旅游产品由传统观光向休闲度假模式的转型升级。</w:t>
      </w:r>
    </w:p>
    <w:p>
      <w:pPr>
        <w:spacing w:before="72"/>
        <w:ind w:firstLine="482"/>
        <w:rPr>
          <w:rFonts w:ascii="Calibri" w:hAnsi="宋体"/>
          <w:szCs w:val="22"/>
        </w:rPr>
      </w:pPr>
      <w:r>
        <w:rPr>
          <w:rFonts w:hint="eastAsia" w:ascii="Calibri" w:hAnsi="宋体"/>
          <w:b/>
          <w:szCs w:val="22"/>
        </w:rPr>
        <w:t>（6）游赏项目：</w:t>
      </w:r>
      <w:r>
        <w:rPr>
          <w:rFonts w:hint="eastAsia" w:ascii="Calibri" w:hAnsi="宋体"/>
          <w:szCs w:val="22"/>
        </w:rPr>
        <w:t>野生动植物展示、科研考察、森林氧吧、休闲度假、地质科普等。</w:t>
      </w:r>
    </w:p>
    <w:p>
      <w:pPr>
        <w:spacing w:before="97" w:beforeLines="30"/>
        <w:ind w:firstLine="482"/>
        <w:rPr>
          <w:rFonts w:cs="宋体"/>
          <w:b/>
        </w:rPr>
      </w:pPr>
      <w:r>
        <w:rPr>
          <w:rFonts w:hint="eastAsia" w:ascii="Calibri" w:hAnsi="宋体"/>
          <w:b/>
          <w:szCs w:val="22"/>
        </w:rPr>
        <w:t>6、</w:t>
      </w:r>
      <w:r>
        <w:rPr>
          <w:rFonts w:hint="eastAsia" w:cs="宋体"/>
          <w:b/>
        </w:rPr>
        <w:t>岩门大峡谷景区</w:t>
      </w:r>
    </w:p>
    <w:p>
      <w:pPr>
        <w:spacing w:before="97" w:beforeLines="30"/>
        <w:ind w:firstLine="482"/>
        <w:rPr>
          <w:rFonts w:ascii="Calibri" w:hAnsi="宋体"/>
          <w:szCs w:val="22"/>
        </w:rPr>
      </w:pPr>
      <w:r>
        <w:rPr>
          <w:rFonts w:hint="eastAsia" w:ascii="Calibri" w:hAnsi="宋体"/>
          <w:b/>
          <w:szCs w:val="22"/>
        </w:rPr>
        <w:t>（1）景区概况：</w:t>
      </w:r>
      <w:r>
        <w:rPr>
          <w:rFonts w:hint="eastAsia" w:ascii="Calibri" w:hAnsi="宋体"/>
          <w:szCs w:val="22"/>
        </w:rPr>
        <w:t>景区上接铜铃山峡、下通飞云湖，人称“华东第一峡”。景区面积约为18.</w:t>
      </w:r>
      <w:r>
        <w:rPr>
          <w:rFonts w:ascii="Calibri" w:hAnsi="宋体"/>
          <w:szCs w:val="22"/>
        </w:rPr>
        <w:t>6</w:t>
      </w:r>
      <w:r>
        <w:rPr>
          <w:rFonts w:hint="eastAsia" w:ascii="Calibri" w:hAnsi="宋体"/>
          <w:szCs w:val="22"/>
        </w:rPr>
        <w:t>平方公里。该景区 2003 年进行了初步开发，由于气象灾害，设施受到严重破坏，使得景区建设暂停。该景区联系飞云湖景区和铜铃山森林公园，具有得天独厚的地理优势，其开发建设成功，能够有效串联上下三个景区，对整个片区未来发展具有积极意义。</w:t>
      </w:r>
    </w:p>
    <w:p>
      <w:pPr>
        <w:spacing w:before="97" w:beforeLines="30"/>
        <w:ind w:firstLine="482"/>
        <w:rPr>
          <w:rFonts w:ascii="Calibri" w:hAnsi="宋体"/>
          <w:szCs w:val="22"/>
        </w:rPr>
      </w:pPr>
      <w:r>
        <w:rPr>
          <w:rFonts w:hint="eastAsia" w:ascii="Calibri" w:hAnsi="宋体"/>
          <w:b/>
          <w:szCs w:val="22"/>
        </w:rPr>
        <w:t>（2）景区特色：</w:t>
      </w:r>
      <w:r>
        <w:rPr>
          <w:rFonts w:hint="eastAsia" w:ascii="Calibri" w:hAnsi="宋体"/>
          <w:szCs w:val="22"/>
        </w:rPr>
        <w:t xml:space="preserve">翠谷奇岩、碧水如带、飞瀑幽潭 </w:t>
      </w:r>
    </w:p>
    <w:p>
      <w:pPr>
        <w:spacing w:before="97" w:beforeLines="30"/>
        <w:ind w:firstLine="482"/>
        <w:rPr>
          <w:rFonts w:ascii="Calibri" w:hAnsi="宋体"/>
          <w:b/>
          <w:szCs w:val="22"/>
        </w:rPr>
      </w:pPr>
      <w:r>
        <w:rPr>
          <w:rFonts w:hint="eastAsia" w:ascii="Calibri" w:hAnsi="宋体"/>
          <w:b/>
          <w:szCs w:val="22"/>
        </w:rPr>
        <w:t>（3）包含景点：</w:t>
      </w:r>
    </w:p>
    <w:tbl>
      <w:tblPr>
        <w:tblStyle w:val="221"/>
        <w:tblW w:w="82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3124"/>
        <w:gridCol w:w="2103"/>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1408" w:type="dxa"/>
            <w:vMerge w:val="restart"/>
            <w:shd w:val="clear" w:color="auto" w:fill="E2E2E2"/>
            <w:vAlign w:val="center"/>
          </w:tcPr>
          <w:p>
            <w:pPr>
              <w:spacing w:line="240" w:lineRule="auto"/>
              <w:ind w:firstLine="0" w:firstLineChars="0"/>
              <w:jc w:val="center"/>
              <w:rPr>
                <w:rFonts w:ascii="Calibri" w:hAnsi="宋体"/>
                <w:b/>
                <w:sz w:val="18"/>
                <w:szCs w:val="22"/>
              </w:rPr>
            </w:pPr>
            <w:r>
              <w:rPr>
                <w:rFonts w:hint="eastAsia" w:ascii="Calibri" w:hAnsi="宋体"/>
                <w:b/>
                <w:sz w:val="18"/>
                <w:szCs w:val="22"/>
              </w:rPr>
              <w:t>级别</w:t>
            </w:r>
          </w:p>
        </w:tc>
        <w:tc>
          <w:tcPr>
            <w:tcW w:w="5227" w:type="dxa"/>
            <w:gridSpan w:val="2"/>
            <w:shd w:val="clear" w:color="auto" w:fill="E2E2E2"/>
            <w:vAlign w:val="center"/>
          </w:tcPr>
          <w:p>
            <w:pPr>
              <w:spacing w:line="240" w:lineRule="auto"/>
              <w:ind w:firstLine="0" w:firstLineChars="0"/>
              <w:jc w:val="center"/>
              <w:rPr>
                <w:rFonts w:ascii="Calibri" w:hAnsi="宋体"/>
                <w:b/>
                <w:sz w:val="18"/>
                <w:szCs w:val="22"/>
              </w:rPr>
            </w:pPr>
            <w:r>
              <w:rPr>
                <w:rFonts w:hint="eastAsia" w:ascii="Calibri" w:hAnsi="宋体"/>
                <w:b/>
                <w:sz w:val="18"/>
                <w:szCs w:val="22"/>
              </w:rPr>
              <w:t>名称</w:t>
            </w:r>
          </w:p>
        </w:tc>
        <w:tc>
          <w:tcPr>
            <w:tcW w:w="1659" w:type="dxa"/>
            <w:vMerge w:val="restart"/>
            <w:shd w:val="clear" w:color="auto" w:fill="E2E2E2"/>
            <w:vAlign w:val="center"/>
          </w:tcPr>
          <w:p>
            <w:pPr>
              <w:spacing w:line="240" w:lineRule="auto"/>
              <w:ind w:firstLine="0" w:firstLineChars="0"/>
              <w:jc w:val="center"/>
              <w:rPr>
                <w:rFonts w:ascii="Calibri" w:hAnsi="宋体"/>
                <w:b/>
                <w:sz w:val="18"/>
                <w:szCs w:val="22"/>
              </w:rPr>
            </w:pPr>
            <w:r>
              <w:rPr>
                <w:rFonts w:hint="eastAsia" w:ascii="Calibri" w:hAnsi="宋体"/>
                <w:b/>
                <w:sz w:val="18"/>
                <w:szCs w:val="22"/>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 w:hRule="atLeast"/>
          <w:jc w:val="center"/>
        </w:trPr>
        <w:tc>
          <w:tcPr>
            <w:tcW w:w="1408" w:type="dxa"/>
            <w:vMerge w:val="continue"/>
            <w:shd w:val="clear" w:color="auto" w:fill="E2E2E2"/>
            <w:vAlign w:val="center"/>
          </w:tcPr>
          <w:p>
            <w:pPr>
              <w:spacing w:line="240" w:lineRule="auto"/>
              <w:ind w:firstLine="0" w:firstLineChars="0"/>
              <w:jc w:val="center"/>
              <w:rPr>
                <w:rFonts w:ascii="Calibri" w:hAnsi="宋体"/>
                <w:sz w:val="18"/>
                <w:szCs w:val="22"/>
              </w:rPr>
            </w:pPr>
          </w:p>
        </w:tc>
        <w:tc>
          <w:tcPr>
            <w:tcW w:w="3124" w:type="dxa"/>
            <w:shd w:val="clear" w:color="auto" w:fill="E2E2E2"/>
            <w:vAlign w:val="center"/>
          </w:tcPr>
          <w:p>
            <w:pPr>
              <w:spacing w:line="240" w:lineRule="auto"/>
              <w:ind w:firstLine="0" w:firstLineChars="0"/>
              <w:jc w:val="center"/>
              <w:rPr>
                <w:rFonts w:ascii="Calibri" w:hAnsi="宋体"/>
                <w:b/>
                <w:sz w:val="18"/>
                <w:szCs w:val="22"/>
              </w:rPr>
            </w:pPr>
            <w:r>
              <w:rPr>
                <w:rFonts w:hint="eastAsia" w:ascii="Calibri" w:hAnsi="宋体"/>
                <w:b/>
                <w:sz w:val="18"/>
                <w:szCs w:val="22"/>
              </w:rPr>
              <w:t>自然</w:t>
            </w:r>
          </w:p>
        </w:tc>
        <w:tc>
          <w:tcPr>
            <w:tcW w:w="2103" w:type="dxa"/>
            <w:shd w:val="clear" w:color="auto" w:fill="E2E2E2"/>
            <w:vAlign w:val="center"/>
          </w:tcPr>
          <w:p>
            <w:pPr>
              <w:spacing w:line="240" w:lineRule="auto"/>
              <w:ind w:firstLine="0" w:firstLineChars="0"/>
              <w:jc w:val="center"/>
              <w:rPr>
                <w:rFonts w:ascii="Calibri" w:hAnsi="宋体"/>
                <w:b/>
                <w:sz w:val="18"/>
                <w:szCs w:val="22"/>
              </w:rPr>
            </w:pPr>
            <w:r>
              <w:rPr>
                <w:rFonts w:hint="eastAsia" w:ascii="Calibri" w:hAnsi="宋体"/>
                <w:b/>
                <w:sz w:val="18"/>
                <w:szCs w:val="22"/>
              </w:rPr>
              <w:t>人文</w:t>
            </w:r>
          </w:p>
        </w:tc>
        <w:tc>
          <w:tcPr>
            <w:tcW w:w="1659" w:type="dxa"/>
            <w:vMerge w:val="continue"/>
            <w:shd w:val="clear" w:color="auto" w:fill="E2E2E2"/>
            <w:vAlign w:val="center"/>
          </w:tcPr>
          <w:p>
            <w:pPr>
              <w:spacing w:line="240" w:lineRule="auto"/>
              <w:ind w:firstLine="0" w:firstLineChars="0"/>
              <w:jc w:val="center"/>
              <w:rPr>
                <w:rFonts w:ascii="Calibri" w:hAnsi="宋体"/>
                <w:b/>
                <w:sz w:val="18"/>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408" w:type="dxa"/>
            <w:vAlign w:val="center"/>
          </w:tcPr>
          <w:p>
            <w:pPr>
              <w:spacing w:line="240" w:lineRule="auto"/>
              <w:ind w:firstLine="0" w:firstLineChars="0"/>
              <w:jc w:val="center"/>
              <w:rPr>
                <w:rFonts w:ascii="Calibri" w:hAnsi="宋体"/>
                <w:sz w:val="18"/>
                <w:szCs w:val="22"/>
              </w:rPr>
            </w:pPr>
            <w:r>
              <w:rPr>
                <w:rFonts w:hint="eastAsia" w:ascii="Calibri" w:hAnsi="宋体"/>
                <w:sz w:val="18"/>
                <w:szCs w:val="22"/>
              </w:rPr>
              <w:t>一级</w:t>
            </w:r>
          </w:p>
        </w:tc>
        <w:tc>
          <w:tcPr>
            <w:tcW w:w="3124" w:type="dxa"/>
            <w:vAlign w:val="center"/>
          </w:tcPr>
          <w:p>
            <w:pPr>
              <w:spacing w:line="240" w:lineRule="auto"/>
              <w:ind w:firstLine="0" w:firstLineChars="0"/>
              <w:jc w:val="center"/>
              <w:rPr>
                <w:rFonts w:ascii="Calibri" w:hAnsi="宋体"/>
                <w:sz w:val="18"/>
                <w:szCs w:val="22"/>
              </w:rPr>
            </w:pPr>
            <w:r>
              <w:rPr>
                <w:rFonts w:hint="eastAsia" w:ascii="Calibri" w:hAnsi="宋体"/>
                <w:sz w:val="18"/>
                <w:szCs w:val="22"/>
              </w:rPr>
              <w:t>三重漈</w:t>
            </w:r>
          </w:p>
        </w:tc>
        <w:tc>
          <w:tcPr>
            <w:tcW w:w="2103" w:type="dxa"/>
            <w:vAlign w:val="center"/>
          </w:tcPr>
          <w:p>
            <w:pPr>
              <w:spacing w:line="240" w:lineRule="auto"/>
              <w:ind w:firstLine="0" w:firstLineChars="0"/>
              <w:jc w:val="center"/>
              <w:rPr>
                <w:rFonts w:ascii="Calibri" w:hAnsi="宋体"/>
                <w:sz w:val="18"/>
                <w:szCs w:val="22"/>
              </w:rPr>
            </w:pPr>
            <w:r>
              <w:rPr>
                <w:rFonts w:hint="eastAsia" w:ascii="Calibri" w:hAnsi="宋体"/>
                <w:sz w:val="18"/>
                <w:szCs w:val="22"/>
              </w:rPr>
              <w:t>/</w:t>
            </w:r>
          </w:p>
        </w:tc>
        <w:tc>
          <w:tcPr>
            <w:tcW w:w="1659" w:type="dxa"/>
            <w:vAlign w:val="center"/>
          </w:tcPr>
          <w:p>
            <w:pPr>
              <w:spacing w:line="240" w:lineRule="auto"/>
              <w:ind w:firstLine="0" w:firstLineChars="0"/>
              <w:jc w:val="center"/>
              <w:rPr>
                <w:rFonts w:ascii="Calibri" w:hAnsi="宋体"/>
                <w:sz w:val="18"/>
                <w:szCs w:val="22"/>
              </w:rPr>
            </w:pPr>
            <w:r>
              <w:rPr>
                <w:rFonts w:hint="eastAsia" w:ascii="Calibri" w:hAnsi="宋体"/>
                <w:sz w:val="18"/>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408" w:type="dxa"/>
            <w:vAlign w:val="center"/>
          </w:tcPr>
          <w:p>
            <w:pPr>
              <w:spacing w:line="240" w:lineRule="auto"/>
              <w:ind w:firstLine="0" w:firstLineChars="0"/>
              <w:jc w:val="center"/>
              <w:rPr>
                <w:rFonts w:ascii="Calibri" w:hAnsi="宋体"/>
                <w:sz w:val="18"/>
                <w:szCs w:val="22"/>
              </w:rPr>
            </w:pPr>
            <w:r>
              <w:rPr>
                <w:rFonts w:hint="eastAsia" w:ascii="Calibri" w:hAnsi="宋体"/>
                <w:sz w:val="18"/>
                <w:szCs w:val="22"/>
              </w:rPr>
              <w:t>二级</w:t>
            </w:r>
          </w:p>
        </w:tc>
        <w:tc>
          <w:tcPr>
            <w:tcW w:w="3124" w:type="dxa"/>
            <w:vAlign w:val="center"/>
          </w:tcPr>
          <w:p>
            <w:pPr>
              <w:spacing w:line="240" w:lineRule="auto"/>
              <w:ind w:firstLine="0" w:firstLineChars="0"/>
              <w:jc w:val="center"/>
              <w:rPr>
                <w:rFonts w:ascii="Calibri" w:hAnsi="宋体"/>
                <w:sz w:val="18"/>
                <w:szCs w:val="22"/>
              </w:rPr>
            </w:pPr>
            <w:r>
              <w:rPr>
                <w:rFonts w:hint="eastAsia" w:ascii="Calibri" w:hAnsi="宋体"/>
                <w:sz w:val="18"/>
                <w:szCs w:val="22"/>
              </w:rPr>
              <w:t>红军洞、石林洞、风洞、魔岩</w:t>
            </w:r>
          </w:p>
        </w:tc>
        <w:tc>
          <w:tcPr>
            <w:tcW w:w="2103" w:type="dxa"/>
            <w:vAlign w:val="center"/>
          </w:tcPr>
          <w:p>
            <w:pPr>
              <w:spacing w:line="240" w:lineRule="auto"/>
              <w:ind w:firstLine="0" w:firstLineChars="0"/>
              <w:jc w:val="center"/>
              <w:rPr>
                <w:rFonts w:ascii="Calibri" w:hAnsi="宋体"/>
                <w:sz w:val="18"/>
                <w:szCs w:val="22"/>
              </w:rPr>
            </w:pPr>
            <w:r>
              <w:rPr>
                <w:rFonts w:hint="eastAsia" w:ascii="Calibri" w:hAnsi="宋体"/>
                <w:sz w:val="18"/>
                <w:szCs w:val="22"/>
              </w:rPr>
              <w:t>/</w:t>
            </w:r>
          </w:p>
        </w:tc>
        <w:tc>
          <w:tcPr>
            <w:tcW w:w="1659" w:type="dxa"/>
            <w:vAlign w:val="center"/>
          </w:tcPr>
          <w:p>
            <w:pPr>
              <w:spacing w:line="240" w:lineRule="auto"/>
              <w:ind w:firstLine="0" w:firstLineChars="0"/>
              <w:jc w:val="center"/>
              <w:rPr>
                <w:rFonts w:ascii="Calibri" w:hAnsi="宋体"/>
                <w:sz w:val="18"/>
                <w:szCs w:val="22"/>
              </w:rPr>
            </w:pPr>
            <w:r>
              <w:rPr>
                <w:rFonts w:ascii="Calibri" w:hAnsi="宋体"/>
                <w:sz w:val="18"/>
                <w:szCs w:val="2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1408" w:type="dxa"/>
            <w:vAlign w:val="center"/>
          </w:tcPr>
          <w:p>
            <w:pPr>
              <w:spacing w:line="240" w:lineRule="auto"/>
              <w:ind w:firstLine="0" w:firstLineChars="0"/>
              <w:jc w:val="center"/>
              <w:rPr>
                <w:rFonts w:ascii="Calibri" w:hAnsi="宋体"/>
                <w:sz w:val="18"/>
                <w:szCs w:val="22"/>
              </w:rPr>
            </w:pPr>
            <w:r>
              <w:rPr>
                <w:rFonts w:hint="eastAsia" w:ascii="Calibri" w:hAnsi="宋体"/>
                <w:sz w:val="18"/>
                <w:szCs w:val="22"/>
              </w:rPr>
              <w:t>三级</w:t>
            </w:r>
          </w:p>
        </w:tc>
        <w:tc>
          <w:tcPr>
            <w:tcW w:w="3124" w:type="dxa"/>
            <w:vAlign w:val="center"/>
          </w:tcPr>
          <w:p>
            <w:pPr>
              <w:spacing w:line="240" w:lineRule="auto"/>
              <w:ind w:firstLine="0" w:firstLineChars="0"/>
              <w:jc w:val="center"/>
              <w:rPr>
                <w:rFonts w:ascii="Calibri" w:hAnsi="宋体"/>
                <w:sz w:val="18"/>
                <w:szCs w:val="22"/>
              </w:rPr>
            </w:pPr>
            <w:r>
              <w:rPr>
                <w:rFonts w:hint="eastAsia" w:ascii="Calibri" w:hAnsi="宋体"/>
                <w:sz w:val="18"/>
                <w:szCs w:val="22"/>
              </w:rPr>
              <w:t>飞龙湖、石牛栏</w:t>
            </w:r>
          </w:p>
        </w:tc>
        <w:tc>
          <w:tcPr>
            <w:tcW w:w="2103" w:type="dxa"/>
            <w:vAlign w:val="center"/>
          </w:tcPr>
          <w:p>
            <w:pPr>
              <w:spacing w:line="240" w:lineRule="auto"/>
              <w:ind w:firstLine="0" w:firstLineChars="0"/>
              <w:jc w:val="center"/>
              <w:rPr>
                <w:rFonts w:ascii="Calibri" w:hAnsi="宋体"/>
                <w:sz w:val="18"/>
                <w:szCs w:val="22"/>
              </w:rPr>
            </w:pPr>
            <w:r>
              <w:rPr>
                <w:rFonts w:hint="eastAsia" w:ascii="Calibri" w:hAnsi="宋体"/>
                <w:sz w:val="18"/>
                <w:szCs w:val="22"/>
              </w:rPr>
              <w:t>/</w:t>
            </w:r>
          </w:p>
        </w:tc>
        <w:tc>
          <w:tcPr>
            <w:tcW w:w="1659" w:type="dxa"/>
            <w:vAlign w:val="center"/>
          </w:tcPr>
          <w:p>
            <w:pPr>
              <w:spacing w:line="240" w:lineRule="auto"/>
              <w:ind w:firstLine="0" w:firstLineChars="0"/>
              <w:jc w:val="center"/>
              <w:rPr>
                <w:rFonts w:ascii="Calibri" w:hAnsi="宋体"/>
                <w:sz w:val="18"/>
                <w:szCs w:val="22"/>
              </w:rPr>
            </w:pPr>
            <w:r>
              <w:rPr>
                <w:rFonts w:ascii="Calibri" w:hAnsi="宋体"/>
                <w:sz w:val="18"/>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1408" w:type="dxa"/>
            <w:vAlign w:val="center"/>
          </w:tcPr>
          <w:p>
            <w:pPr>
              <w:spacing w:line="240" w:lineRule="auto"/>
              <w:ind w:firstLine="0" w:firstLineChars="0"/>
              <w:jc w:val="center"/>
              <w:rPr>
                <w:rFonts w:ascii="Calibri" w:hAnsi="宋体"/>
                <w:sz w:val="18"/>
                <w:szCs w:val="22"/>
              </w:rPr>
            </w:pPr>
            <w:r>
              <w:rPr>
                <w:rFonts w:hint="eastAsia" w:ascii="Calibri" w:hAnsi="宋体"/>
                <w:sz w:val="18"/>
                <w:szCs w:val="22"/>
              </w:rPr>
              <w:t>小计</w:t>
            </w:r>
          </w:p>
        </w:tc>
        <w:tc>
          <w:tcPr>
            <w:tcW w:w="3124" w:type="dxa"/>
            <w:vAlign w:val="center"/>
          </w:tcPr>
          <w:p>
            <w:pPr>
              <w:spacing w:line="240" w:lineRule="auto"/>
              <w:ind w:firstLine="0" w:firstLineChars="0"/>
              <w:jc w:val="center"/>
              <w:rPr>
                <w:rFonts w:ascii="Calibri" w:hAnsi="宋体"/>
                <w:sz w:val="18"/>
                <w:szCs w:val="22"/>
              </w:rPr>
            </w:pPr>
            <w:r>
              <w:rPr>
                <w:rFonts w:hint="eastAsia" w:ascii="Calibri" w:hAnsi="宋体"/>
                <w:sz w:val="18"/>
                <w:szCs w:val="22"/>
              </w:rPr>
              <w:t>7</w:t>
            </w:r>
          </w:p>
        </w:tc>
        <w:tc>
          <w:tcPr>
            <w:tcW w:w="2103" w:type="dxa"/>
            <w:vAlign w:val="center"/>
          </w:tcPr>
          <w:p>
            <w:pPr>
              <w:spacing w:line="240" w:lineRule="auto"/>
              <w:ind w:firstLine="0" w:firstLineChars="0"/>
              <w:jc w:val="center"/>
              <w:rPr>
                <w:rFonts w:ascii="Calibri" w:hAnsi="宋体"/>
                <w:sz w:val="18"/>
                <w:szCs w:val="22"/>
              </w:rPr>
            </w:pPr>
            <w:r>
              <w:rPr>
                <w:rFonts w:hint="eastAsia" w:ascii="Calibri" w:hAnsi="宋体"/>
                <w:sz w:val="18"/>
                <w:szCs w:val="22"/>
              </w:rPr>
              <w:t>0</w:t>
            </w:r>
          </w:p>
        </w:tc>
        <w:tc>
          <w:tcPr>
            <w:tcW w:w="1659" w:type="dxa"/>
            <w:vAlign w:val="center"/>
          </w:tcPr>
          <w:p>
            <w:pPr>
              <w:spacing w:line="240" w:lineRule="auto"/>
              <w:ind w:firstLine="0" w:firstLineChars="0"/>
              <w:jc w:val="center"/>
              <w:rPr>
                <w:rFonts w:ascii="Calibri" w:hAnsi="宋体"/>
                <w:sz w:val="18"/>
                <w:szCs w:val="22"/>
              </w:rPr>
            </w:pPr>
            <w:r>
              <w:rPr>
                <w:rFonts w:ascii="Calibri" w:hAnsi="宋体"/>
                <w:sz w:val="18"/>
                <w:szCs w:val="22"/>
              </w:rPr>
              <w:t>7</w:t>
            </w:r>
          </w:p>
        </w:tc>
      </w:tr>
    </w:tbl>
    <w:p>
      <w:pPr>
        <w:spacing w:before="97" w:beforeLines="30"/>
        <w:ind w:firstLine="482"/>
        <w:rPr>
          <w:rFonts w:ascii="Calibri" w:hAnsi="宋体"/>
          <w:szCs w:val="22"/>
        </w:rPr>
      </w:pPr>
      <w:r>
        <w:rPr>
          <w:rFonts w:hint="eastAsia" w:ascii="Calibri" w:hAnsi="宋体"/>
          <w:b/>
          <w:szCs w:val="22"/>
        </w:rPr>
        <w:t>（4）游览</w:t>
      </w:r>
      <w:r>
        <w:rPr>
          <w:rFonts w:hint="eastAsia" w:ascii="Calibri" w:hAnsi="Calibri"/>
          <w:b/>
          <w:szCs w:val="22"/>
        </w:rPr>
        <w:t>组织：</w:t>
      </w:r>
      <w:r>
        <w:rPr>
          <w:rFonts w:hint="eastAsia" w:ascii="Calibri" w:hAnsi="宋体"/>
          <w:szCs w:val="22"/>
        </w:rPr>
        <w:t>景门/飞云湖－石林洞－风洞－石牛栏－红军洞－飞龙湖－三重漈－铜铃山森林公园。</w:t>
      </w:r>
    </w:p>
    <w:p>
      <w:pPr>
        <w:spacing w:before="97" w:beforeLines="30"/>
        <w:ind w:firstLine="482"/>
        <w:rPr>
          <w:rFonts w:ascii="Calibri" w:hAnsi="宋体"/>
          <w:b/>
          <w:szCs w:val="22"/>
        </w:rPr>
      </w:pPr>
      <w:r>
        <w:rPr>
          <w:rFonts w:hint="eastAsia" w:ascii="Calibri" w:hAnsi="宋体"/>
          <w:b/>
          <w:szCs w:val="22"/>
        </w:rPr>
        <w:t>（5）建设要求：</w:t>
      </w:r>
    </w:p>
    <w:p>
      <w:pPr>
        <w:spacing w:before="97" w:beforeLines="30"/>
        <w:ind w:firstLine="480"/>
        <w:rPr>
          <w:rFonts w:ascii="Calibri" w:hAnsi="宋体"/>
          <w:szCs w:val="22"/>
        </w:rPr>
      </w:pPr>
      <w:r>
        <w:rPr>
          <w:rFonts w:hint="eastAsia" w:ascii="Calibri" w:hAnsi="宋体"/>
          <w:szCs w:val="22"/>
        </w:rPr>
        <w:t>严格保护地质地貌和峡谷景观，限制大型项目和设施建设，突出自然、原始的景区特征，少人工设施。以欣赏峡谷幽林、碧潭秀瀑为主要游赏内容，建议结合地形优势开展户外探险活动，如山地自行车、皮划艇、水上漂移、飞檐走壁等。</w:t>
      </w:r>
    </w:p>
    <w:p>
      <w:pPr>
        <w:spacing w:before="97" w:beforeLines="30"/>
        <w:ind w:firstLine="480"/>
        <w:rPr>
          <w:rFonts w:ascii="Calibri" w:hAnsi="宋体"/>
          <w:szCs w:val="22"/>
        </w:rPr>
      </w:pPr>
      <w:r>
        <w:rPr>
          <w:rFonts w:hint="eastAsia" w:ascii="Calibri" w:hAnsi="宋体"/>
          <w:szCs w:val="22"/>
        </w:rPr>
        <w:t>规划建设1处主入口，2处次入口。依托三板桥村，规划建设景区北入口；依托岭后村，规划建设景区次入口，在上游与铜铃山森林公园相接处设置次入口。</w:t>
      </w:r>
    </w:p>
    <w:p>
      <w:pPr>
        <w:spacing w:before="97" w:beforeLines="30"/>
        <w:ind w:firstLine="480"/>
        <w:rPr>
          <w:rFonts w:ascii="Calibri" w:hAnsi="宋体"/>
          <w:szCs w:val="22"/>
        </w:rPr>
      </w:pPr>
      <w:r>
        <w:rPr>
          <w:rFonts w:hint="eastAsia" w:ascii="Calibri" w:hAnsi="宋体"/>
          <w:szCs w:val="22"/>
        </w:rPr>
        <w:t>实施岩门大峡谷综合保护与整治提升工程，加强岩门大峡谷景区内的景点建设，完善游步道、通景公路、停车场、索道等游览交通体系，新建游客中心、服务部等旅游服务设施。将景区北侧的岭后村及雅庄村打造成旅游村，完善相关旅游配套设施。开展雅庄历史文化保护和开发项目，在合理保护古村落风貌基础上开发红色历史文化资源，建设红色教育基地。</w:t>
      </w:r>
    </w:p>
    <w:p>
      <w:pPr>
        <w:spacing w:before="97" w:beforeLines="30"/>
        <w:ind w:firstLine="480"/>
        <w:rPr>
          <w:rFonts w:ascii="Calibri" w:hAnsi="宋体"/>
          <w:szCs w:val="22"/>
        </w:rPr>
      </w:pPr>
      <w:r>
        <w:rPr>
          <w:rFonts w:hint="eastAsia" w:ascii="Calibri" w:hAnsi="宋体"/>
          <w:szCs w:val="22"/>
        </w:rPr>
        <w:t>通过景区旅游大巴、游船、索道等多种交通方式完成与外部交通的换乘，建设胜坑村至前斜村2条索道，将游览时间控制在适度范围，丰富游客体验；完善游步道体系和游船码头布局，与铜铃山森林公园和飞云湖景区相联通，三个景区形成差异化的发展定位，飞云湖以水上观光+湖滨度假为主，铜铃山森林公园以壶穴景观+地质科普为主，岩门大峡谷以峡谷风光+户外运动为主，形成联动发展的格局。</w:t>
      </w:r>
    </w:p>
    <w:p>
      <w:pPr>
        <w:spacing w:before="97" w:beforeLines="30"/>
        <w:ind w:firstLine="482"/>
        <w:rPr>
          <w:rFonts w:ascii="Calibri" w:hAnsi="宋体"/>
          <w:szCs w:val="22"/>
        </w:rPr>
      </w:pPr>
      <w:r>
        <w:rPr>
          <w:rFonts w:hint="eastAsia" w:ascii="Calibri" w:hAnsi="宋体"/>
          <w:b/>
          <w:szCs w:val="22"/>
        </w:rPr>
        <w:t>（6）游赏项目：</w:t>
      </w:r>
      <w:r>
        <w:rPr>
          <w:rFonts w:hint="eastAsia" w:ascii="Calibri" w:hAnsi="宋体"/>
          <w:szCs w:val="22"/>
        </w:rPr>
        <w:t>峡谷观光、溯溪探险、户外运动等。</w:t>
      </w:r>
    </w:p>
    <w:p>
      <w:pPr>
        <w:spacing w:before="97" w:beforeLines="30"/>
        <w:ind w:firstLine="482"/>
        <w:rPr>
          <w:rFonts w:ascii="Calibri" w:hAnsi="宋体"/>
          <w:b/>
          <w:szCs w:val="22"/>
        </w:rPr>
      </w:pPr>
      <w:r>
        <w:rPr>
          <w:rFonts w:ascii="Calibri" w:hAnsi="宋体"/>
          <w:b/>
          <w:szCs w:val="22"/>
        </w:rPr>
        <w:t>7、飞云湖景区</w:t>
      </w:r>
    </w:p>
    <w:p>
      <w:pPr>
        <w:spacing w:before="97" w:beforeLines="30"/>
        <w:ind w:firstLine="482"/>
        <w:rPr>
          <w:rFonts w:ascii="Calibri" w:hAnsi="宋体"/>
          <w:szCs w:val="22"/>
        </w:rPr>
      </w:pPr>
      <w:r>
        <w:rPr>
          <w:rFonts w:hint="eastAsia" w:ascii="Calibri" w:hAnsi="宋体"/>
          <w:b/>
          <w:szCs w:val="22"/>
        </w:rPr>
        <w:t>（1）景区概况：</w:t>
      </w:r>
      <w:r>
        <w:rPr>
          <w:rFonts w:hint="eastAsia" w:ascii="Calibri" w:hAnsi="宋体"/>
          <w:szCs w:val="22"/>
        </w:rPr>
        <w:t>位于飞云江中上游，属浙南最大水利枢纽工程——珊溪水利工程拦江截流而成，拥有35.4平方公里的水域面积，相当于六个西湖，是浙南最大湖泊，也是温州市的饮用水源，是文成生态休闲度假核心区。景区面积约</w:t>
      </w:r>
      <w:r>
        <w:rPr>
          <w:rFonts w:ascii="Calibri" w:hAnsi="宋体"/>
          <w:szCs w:val="22"/>
        </w:rPr>
        <w:t>102.6</w:t>
      </w:r>
      <w:r>
        <w:rPr>
          <w:rFonts w:hint="eastAsia" w:ascii="Calibri" w:hAnsi="宋体"/>
          <w:szCs w:val="22"/>
        </w:rPr>
        <w:t>平方公里，包括原总规确定的双龙景区，宗教信仰和自然观光相交融。</w:t>
      </w:r>
    </w:p>
    <w:p>
      <w:pPr>
        <w:spacing w:before="97" w:beforeLines="30"/>
        <w:ind w:firstLine="482"/>
        <w:rPr>
          <w:rFonts w:ascii="Calibri" w:hAnsi="宋体"/>
          <w:szCs w:val="22"/>
        </w:rPr>
      </w:pPr>
      <w:r>
        <w:rPr>
          <w:rFonts w:hint="eastAsia" w:ascii="Calibri" w:hAnsi="宋体"/>
          <w:b/>
          <w:szCs w:val="22"/>
        </w:rPr>
        <w:t>（2）景区特色：</w:t>
      </w:r>
      <w:r>
        <w:rPr>
          <w:rFonts w:hint="eastAsia" w:ascii="Calibri" w:hAnsi="宋体"/>
          <w:szCs w:val="22"/>
        </w:rPr>
        <w:t>飞云峡湾、碧波浩渺、青山屏立、仙洞嵌壁</w:t>
      </w:r>
    </w:p>
    <w:p>
      <w:pPr>
        <w:spacing w:before="97" w:beforeLines="30"/>
        <w:ind w:firstLine="482"/>
        <w:rPr>
          <w:rFonts w:ascii="Calibri" w:hAnsi="宋体"/>
          <w:b/>
          <w:szCs w:val="22"/>
        </w:rPr>
      </w:pPr>
      <w:r>
        <w:rPr>
          <w:rFonts w:hint="eastAsia" w:ascii="Calibri" w:hAnsi="宋体"/>
          <w:b/>
          <w:szCs w:val="22"/>
        </w:rPr>
        <w:t>（3）包含景点：</w:t>
      </w:r>
    </w:p>
    <w:tbl>
      <w:tblPr>
        <w:tblStyle w:val="221"/>
        <w:tblW w:w="82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3826"/>
        <w:gridCol w:w="3007"/>
        <w:gridCol w:w="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 w:hRule="atLeast"/>
          <w:jc w:val="center"/>
        </w:trPr>
        <w:tc>
          <w:tcPr>
            <w:tcW w:w="851" w:type="dxa"/>
            <w:vMerge w:val="restart"/>
            <w:shd w:val="clear" w:color="auto" w:fill="E2E2E2"/>
            <w:vAlign w:val="center"/>
          </w:tcPr>
          <w:p>
            <w:pPr>
              <w:snapToGrid w:val="0"/>
              <w:spacing w:line="288" w:lineRule="auto"/>
              <w:ind w:firstLine="0" w:firstLineChars="0"/>
              <w:jc w:val="center"/>
              <w:rPr>
                <w:rFonts w:ascii="Calibri" w:hAnsi="宋体"/>
                <w:b/>
                <w:sz w:val="18"/>
                <w:szCs w:val="22"/>
              </w:rPr>
            </w:pPr>
            <w:r>
              <w:rPr>
                <w:rFonts w:hint="eastAsia" w:ascii="Calibri" w:hAnsi="宋体"/>
                <w:b/>
                <w:sz w:val="18"/>
                <w:szCs w:val="22"/>
              </w:rPr>
              <w:t>级别</w:t>
            </w:r>
          </w:p>
        </w:tc>
        <w:tc>
          <w:tcPr>
            <w:tcW w:w="6833" w:type="dxa"/>
            <w:gridSpan w:val="2"/>
            <w:shd w:val="clear" w:color="auto" w:fill="E2E2E2"/>
            <w:vAlign w:val="center"/>
          </w:tcPr>
          <w:p>
            <w:pPr>
              <w:snapToGrid w:val="0"/>
              <w:spacing w:line="288" w:lineRule="auto"/>
              <w:ind w:firstLine="0" w:firstLineChars="0"/>
              <w:jc w:val="center"/>
              <w:rPr>
                <w:rFonts w:ascii="Calibri" w:hAnsi="宋体"/>
                <w:b/>
                <w:sz w:val="18"/>
                <w:szCs w:val="22"/>
              </w:rPr>
            </w:pPr>
            <w:r>
              <w:rPr>
                <w:rFonts w:hint="eastAsia" w:ascii="Calibri" w:hAnsi="宋体"/>
                <w:b/>
                <w:sz w:val="18"/>
                <w:szCs w:val="22"/>
              </w:rPr>
              <w:t>名称</w:t>
            </w:r>
          </w:p>
        </w:tc>
        <w:tc>
          <w:tcPr>
            <w:tcW w:w="609" w:type="dxa"/>
            <w:vMerge w:val="restart"/>
            <w:shd w:val="clear" w:color="auto" w:fill="E2E2E2"/>
            <w:vAlign w:val="center"/>
          </w:tcPr>
          <w:p>
            <w:pPr>
              <w:snapToGrid w:val="0"/>
              <w:spacing w:line="288" w:lineRule="auto"/>
              <w:ind w:firstLine="0" w:firstLineChars="0"/>
              <w:jc w:val="center"/>
              <w:rPr>
                <w:rFonts w:ascii="Calibri" w:hAnsi="宋体"/>
                <w:b/>
                <w:sz w:val="18"/>
                <w:szCs w:val="22"/>
              </w:rPr>
            </w:pPr>
            <w:r>
              <w:rPr>
                <w:rFonts w:hint="eastAsia" w:ascii="Calibri" w:hAnsi="宋体"/>
                <w:b/>
                <w:sz w:val="18"/>
                <w:szCs w:val="22"/>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 w:hRule="atLeast"/>
          <w:jc w:val="center"/>
        </w:trPr>
        <w:tc>
          <w:tcPr>
            <w:tcW w:w="851" w:type="dxa"/>
            <w:vMerge w:val="continue"/>
            <w:vAlign w:val="center"/>
          </w:tcPr>
          <w:p>
            <w:pPr>
              <w:snapToGrid w:val="0"/>
              <w:spacing w:line="288" w:lineRule="auto"/>
              <w:ind w:firstLine="0" w:firstLineChars="0"/>
              <w:jc w:val="center"/>
              <w:rPr>
                <w:rFonts w:ascii="Calibri" w:hAnsi="宋体"/>
                <w:sz w:val="18"/>
                <w:szCs w:val="22"/>
              </w:rPr>
            </w:pPr>
          </w:p>
        </w:tc>
        <w:tc>
          <w:tcPr>
            <w:tcW w:w="3826" w:type="dxa"/>
            <w:shd w:val="clear" w:color="auto" w:fill="E2E2E2"/>
            <w:vAlign w:val="center"/>
          </w:tcPr>
          <w:p>
            <w:pPr>
              <w:snapToGrid w:val="0"/>
              <w:spacing w:line="288" w:lineRule="auto"/>
              <w:ind w:firstLine="0" w:firstLineChars="0"/>
              <w:jc w:val="center"/>
              <w:rPr>
                <w:rFonts w:ascii="Calibri" w:hAnsi="宋体"/>
                <w:b/>
                <w:sz w:val="18"/>
                <w:szCs w:val="22"/>
              </w:rPr>
            </w:pPr>
            <w:r>
              <w:rPr>
                <w:rFonts w:hint="eastAsia" w:ascii="Calibri" w:hAnsi="宋体"/>
                <w:b/>
                <w:sz w:val="18"/>
                <w:szCs w:val="22"/>
              </w:rPr>
              <w:t>自然</w:t>
            </w:r>
          </w:p>
        </w:tc>
        <w:tc>
          <w:tcPr>
            <w:tcW w:w="3007" w:type="dxa"/>
            <w:shd w:val="clear" w:color="auto" w:fill="E2E2E2"/>
            <w:vAlign w:val="center"/>
          </w:tcPr>
          <w:p>
            <w:pPr>
              <w:snapToGrid w:val="0"/>
              <w:spacing w:line="288" w:lineRule="auto"/>
              <w:ind w:firstLine="0" w:firstLineChars="0"/>
              <w:jc w:val="center"/>
              <w:rPr>
                <w:rFonts w:ascii="Calibri" w:hAnsi="宋体"/>
                <w:b/>
                <w:sz w:val="18"/>
                <w:szCs w:val="22"/>
              </w:rPr>
            </w:pPr>
            <w:r>
              <w:rPr>
                <w:rFonts w:hint="eastAsia" w:ascii="Calibri" w:hAnsi="宋体"/>
                <w:b/>
                <w:sz w:val="18"/>
                <w:szCs w:val="22"/>
              </w:rPr>
              <w:t>人文</w:t>
            </w:r>
          </w:p>
        </w:tc>
        <w:tc>
          <w:tcPr>
            <w:tcW w:w="609" w:type="dxa"/>
            <w:vMerge w:val="continue"/>
            <w:vAlign w:val="center"/>
          </w:tcPr>
          <w:p>
            <w:pPr>
              <w:snapToGrid w:val="0"/>
              <w:spacing w:line="288" w:lineRule="auto"/>
              <w:ind w:firstLine="0" w:firstLineChars="0"/>
              <w:jc w:val="center"/>
              <w:rPr>
                <w:rFonts w:ascii="Calibri" w:hAnsi="宋体"/>
                <w:b/>
                <w:sz w:val="18"/>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851" w:type="dxa"/>
            <w:vAlign w:val="center"/>
          </w:tcPr>
          <w:p>
            <w:pPr>
              <w:snapToGrid w:val="0"/>
              <w:spacing w:line="288" w:lineRule="auto"/>
              <w:ind w:firstLine="0" w:firstLineChars="0"/>
              <w:jc w:val="center"/>
              <w:rPr>
                <w:rFonts w:ascii="Calibri" w:hAnsi="宋体"/>
                <w:sz w:val="18"/>
                <w:szCs w:val="22"/>
              </w:rPr>
            </w:pPr>
            <w:r>
              <w:rPr>
                <w:rFonts w:hint="eastAsia" w:ascii="Calibri" w:hAnsi="宋体"/>
                <w:sz w:val="18"/>
                <w:szCs w:val="22"/>
              </w:rPr>
              <w:t>一级</w:t>
            </w:r>
          </w:p>
        </w:tc>
        <w:tc>
          <w:tcPr>
            <w:tcW w:w="3826" w:type="dxa"/>
            <w:vAlign w:val="center"/>
          </w:tcPr>
          <w:p>
            <w:pPr>
              <w:snapToGrid w:val="0"/>
              <w:spacing w:line="288" w:lineRule="auto"/>
              <w:ind w:firstLine="0" w:firstLineChars="0"/>
              <w:jc w:val="center"/>
              <w:rPr>
                <w:rFonts w:ascii="Calibri" w:hAnsi="宋体"/>
                <w:sz w:val="18"/>
                <w:szCs w:val="22"/>
              </w:rPr>
            </w:pPr>
            <w:r>
              <w:rPr>
                <w:rFonts w:hint="eastAsia" w:ascii="Calibri" w:hAnsi="宋体"/>
                <w:sz w:val="18"/>
                <w:szCs w:val="22"/>
              </w:rPr>
              <w:t>飞云湖</w:t>
            </w:r>
          </w:p>
        </w:tc>
        <w:tc>
          <w:tcPr>
            <w:tcW w:w="3007" w:type="dxa"/>
            <w:vAlign w:val="center"/>
          </w:tcPr>
          <w:p>
            <w:pPr>
              <w:snapToGrid w:val="0"/>
              <w:spacing w:line="288" w:lineRule="auto"/>
              <w:ind w:firstLine="0" w:firstLineChars="0"/>
              <w:jc w:val="center"/>
              <w:rPr>
                <w:rFonts w:ascii="Calibri" w:hAnsi="宋体"/>
                <w:sz w:val="18"/>
                <w:szCs w:val="22"/>
              </w:rPr>
            </w:pPr>
            <w:r>
              <w:rPr>
                <w:rFonts w:hint="eastAsia" w:ascii="Calibri" w:hAnsi="宋体"/>
                <w:sz w:val="18"/>
                <w:szCs w:val="22"/>
              </w:rPr>
              <w:t>/</w:t>
            </w:r>
          </w:p>
        </w:tc>
        <w:tc>
          <w:tcPr>
            <w:tcW w:w="609" w:type="dxa"/>
            <w:vAlign w:val="center"/>
          </w:tcPr>
          <w:p>
            <w:pPr>
              <w:snapToGrid w:val="0"/>
              <w:spacing w:line="288" w:lineRule="auto"/>
              <w:ind w:firstLine="0" w:firstLineChars="0"/>
              <w:jc w:val="center"/>
              <w:rPr>
                <w:rFonts w:ascii="Calibri" w:hAnsi="宋体"/>
                <w:sz w:val="18"/>
                <w:szCs w:val="22"/>
              </w:rPr>
            </w:pPr>
            <w:r>
              <w:rPr>
                <w:rFonts w:hint="eastAsia" w:ascii="Calibri" w:hAnsi="宋体"/>
                <w:sz w:val="18"/>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1" w:hRule="atLeast"/>
          <w:jc w:val="center"/>
        </w:trPr>
        <w:tc>
          <w:tcPr>
            <w:tcW w:w="851" w:type="dxa"/>
            <w:vAlign w:val="center"/>
          </w:tcPr>
          <w:p>
            <w:pPr>
              <w:snapToGrid w:val="0"/>
              <w:spacing w:line="288" w:lineRule="auto"/>
              <w:ind w:firstLine="0" w:firstLineChars="0"/>
              <w:jc w:val="center"/>
              <w:rPr>
                <w:rFonts w:ascii="Calibri" w:hAnsi="宋体"/>
                <w:sz w:val="18"/>
                <w:szCs w:val="22"/>
              </w:rPr>
            </w:pPr>
            <w:r>
              <w:rPr>
                <w:rFonts w:hint="eastAsia" w:ascii="Calibri" w:hAnsi="宋体"/>
                <w:sz w:val="18"/>
                <w:szCs w:val="22"/>
              </w:rPr>
              <w:t>三级</w:t>
            </w:r>
          </w:p>
        </w:tc>
        <w:tc>
          <w:tcPr>
            <w:tcW w:w="3826" w:type="dxa"/>
            <w:vAlign w:val="center"/>
          </w:tcPr>
          <w:p>
            <w:pPr>
              <w:snapToGrid w:val="0"/>
              <w:spacing w:line="288" w:lineRule="auto"/>
              <w:ind w:firstLine="0" w:firstLineChars="0"/>
              <w:jc w:val="center"/>
              <w:rPr>
                <w:rFonts w:ascii="Calibri" w:hAnsi="宋体"/>
                <w:sz w:val="18"/>
                <w:szCs w:val="22"/>
              </w:rPr>
            </w:pPr>
            <w:r>
              <w:rPr>
                <w:rFonts w:hint="eastAsia" w:ascii="Calibri" w:hAnsi="宋体"/>
                <w:sz w:val="18"/>
                <w:szCs w:val="22"/>
              </w:rPr>
              <w:t>水洞门、木鱼岩、擎天柱、湖壁、双龙瀑、龙井、五叶奇枫、曲流清溪、临湖瀑、河背洞、棺材岩、月印岩、金龙叠瀑、仙叠瀑、青石滩、双龙石窟、探儿洞、罗汉洞、擎天瀑、</w:t>
            </w:r>
          </w:p>
        </w:tc>
        <w:tc>
          <w:tcPr>
            <w:tcW w:w="3007" w:type="dxa"/>
            <w:vAlign w:val="center"/>
          </w:tcPr>
          <w:p>
            <w:pPr>
              <w:snapToGrid w:val="0"/>
              <w:spacing w:line="288" w:lineRule="auto"/>
              <w:ind w:firstLine="0" w:firstLineChars="0"/>
              <w:jc w:val="center"/>
              <w:rPr>
                <w:rFonts w:ascii="Calibri" w:hAnsi="宋体"/>
                <w:sz w:val="18"/>
                <w:szCs w:val="22"/>
              </w:rPr>
            </w:pPr>
            <w:r>
              <w:rPr>
                <w:rFonts w:hint="eastAsia" w:ascii="Calibri" w:hAnsi="宋体"/>
                <w:sz w:val="18"/>
                <w:szCs w:val="22"/>
              </w:rPr>
              <w:t>/</w:t>
            </w:r>
          </w:p>
        </w:tc>
        <w:tc>
          <w:tcPr>
            <w:tcW w:w="609" w:type="dxa"/>
            <w:vAlign w:val="center"/>
          </w:tcPr>
          <w:p>
            <w:pPr>
              <w:snapToGrid w:val="0"/>
              <w:spacing w:line="288" w:lineRule="auto"/>
              <w:ind w:firstLine="0" w:firstLineChars="0"/>
              <w:jc w:val="center"/>
              <w:rPr>
                <w:rFonts w:ascii="Calibri" w:hAnsi="宋体"/>
                <w:sz w:val="18"/>
                <w:szCs w:val="22"/>
              </w:rPr>
            </w:pPr>
            <w:r>
              <w:rPr>
                <w:rFonts w:hint="eastAsia" w:ascii="Calibri" w:hAnsi="宋体"/>
                <w:sz w:val="18"/>
                <w:szCs w:val="22"/>
              </w:rPr>
              <w:t>1</w:t>
            </w:r>
            <w:r>
              <w:rPr>
                <w:rFonts w:ascii="Calibri" w:hAnsi="宋体"/>
                <w:sz w:val="18"/>
                <w:szCs w:val="22"/>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jc w:val="center"/>
        </w:trPr>
        <w:tc>
          <w:tcPr>
            <w:tcW w:w="851" w:type="dxa"/>
            <w:vAlign w:val="center"/>
          </w:tcPr>
          <w:p>
            <w:pPr>
              <w:snapToGrid w:val="0"/>
              <w:spacing w:line="288" w:lineRule="auto"/>
              <w:ind w:firstLine="0" w:firstLineChars="0"/>
              <w:jc w:val="center"/>
              <w:rPr>
                <w:rFonts w:ascii="Calibri" w:hAnsi="宋体"/>
                <w:sz w:val="18"/>
                <w:szCs w:val="22"/>
              </w:rPr>
            </w:pPr>
            <w:r>
              <w:rPr>
                <w:rFonts w:hint="eastAsia" w:ascii="Calibri" w:hAnsi="宋体"/>
                <w:sz w:val="18"/>
                <w:szCs w:val="22"/>
              </w:rPr>
              <w:t>四级</w:t>
            </w:r>
          </w:p>
        </w:tc>
        <w:tc>
          <w:tcPr>
            <w:tcW w:w="3826" w:type="dxa"/>
            <w:vAlign w:val="center"/>
          </w:tcPr>
          <w:p>
            <w:pPr>
              <w:snapToGrid w:val="0"/>
              <w:spacing w:line="288" w:lineRule="auto"/>
              <w:ind w:firstLine="0" w:firstLineChars="0"/>
              <w:jc w:val="center"/>
              <w:rPr>
                <w:rFonts w:ascii="Calibri" w:hAnsi="宋体"/>
                <w:sz w:val="18"/>
                <w:szCs w:val="22"/>
              </w:rPr>
            </w:pPr>
            <w:r>
              <w:rPr>
                <w:rFonts w:hint="eastAsia" w:ascii="Calibri" w:hAnsi="宋体"/>
                <w:sz w:val="18"/>
                <w:szCs w:val="22"/>
              </w:rPr>
              <w:t>老虎山、金蟾岩、银龙瀑、卧狮岩</w:t>
            </w:r>
          </w:p>
        </w:tc>
        <w:tc>
          <w:tcPr>
            <w:tcW w:w="3007" w:type="dxa"/>
            <w:vAlign w:val="center"/>
          </w:tcPr>
          <w:p>
            <w:pPr>
              <w:snapToGrid w:val="0"/>
              <w:spacing w:line="288" w:lineRule="auto"/>
              <w:ind w:firstLine="0" w:firstLineChars="0"/>
              <w:jc w:val="center"/>
              <w:rPr>
                <w:rFonts w:ascii="Calibri" w:hAnsi="宋体"/>
                <w:sz w:val="18"/>
                <w:szCs w:val="22"/>
              </w:rPr>
            </w:pPr>
            <w:r>
              <w:rPr>
                <w:rFonts w:hint="eastAsia" w:ascii="Calibri" w:hAnsi="宋体"/>
                <w:sz w:val="18"/>
                <w:szCs w:val="22"/>
              </w:rPr>
              <w:t>下山村郑世鸿宅、松根碉堡、陈山墓道坊、吴鸿祯墓、节孝坊</w:t>
            </w:r>
          </w:p>
        </w:tc>
        <w:tc>
          <w:tcPr>
            <w:tcW w:w="609" w:type="dxa"/>
            <w:vAlign w:val="center"/>
          </w:tcPr>
          <w:p>
            <w:pPr>
              <w:snapToGrid w:val="0"/>
              <w:spacing w:line="288" w:lineRule="auto"/>
              <w:ind w:firstLine="0" w:firstLineChars="0"/>
              <w:jc w:val="center"/>
              <w:rPr>
                <w:rFonts w:ascii="Calibri" w:hAnsi="宋体"/>
                <w:sz w:val="18"/>
                <w:szCs w:val="22"/>
              </w:rPr>
            </w:pPr>
            <w:r>
              <w:rPr>
                <w:rFonts w:ascii="Calibri" w:hAnsi="宋体"/>
                <w:sz w:val="18"/>
                <w:szCs w:val="22"/>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851" w:type="dxa"/>
            <w:vAlign w:val="center"/>
          </w:tcPr>
          <w:p>
            <w:pPr>
              <w:snapToGrid w:val="0"/>
              <w:spacing w:line="288" w:lineRule="auto"/>
              <w:ind w:firstLine="0" w:firstLineChars="0"/>
              <w:jc w:val="center"/>
              <w:rPr>
                <w:rFonts w:ascii="Calibri" w:hAnsi="宋体"/>
                <w:sz w:val="18"/>
                <w:szCs w:val="22"/>
              </w:rPr>
            </w:pPr>
            <w:r>
              <w:rPr>
                <w:rFonts w:hint="eastAsia" w:ascii="Calibri" w:hAnsi="宋体"/>
                <w:sz w:val="18"/>
                <w:szCs w:val="22"/>
              </w:rPr>
              <w:t>小计</w:t>
            </w:r>
          </w:p>
        </w:tc>
        <w:tc>
          <w:tcPr>
            <w:tcW w:w="3826" w:type="dxa"/>
            <w:vAlign w:val="center"/>
          </w:tcPr>
          <w:p>
            <w:pPr>
              <w:snapToGrid w:val="0"/>
              <w:spacing w:line="288" w:lineRule="auto"/>
              <w:ind w:firstLine="0" w:firstLineChars="0"/>
              <w:jc w:val="center"/>
              <w:rPr>
                <w:rFonts w:ascii="Calibri" w:hAnsi="宋体"/>
                <w:sz w:val="18"/>
                <w:szCs w:val="22"/>
              </w:rPr>
            </w:pPr>
            <w:r>
              <w:rPr>
                <w:rFonts w:hint="eastAsia" w:ascii="Calibri" w:hAnsi="宋体"/>
                <w:sz w:val="18"/>
                <w:szCs w:val="22"/>
              </w:rPr>
              <w:t>2</w:t>
            </w:r>
            <w:r>
              <w:rPr>
                <w:rFonts w:ascii="Calibri" w:hAnsi="宋体"/>
                <w:sz w:val="18"/>
                <w:szCs w:val="22"/>
              </w:rPr>
              <w:t>4</w:t>
            </w:r>
          </w:p>
        </w:tc>
        <w:tc>
          <w:tcPr>
            <w:tcW w:w="3007" w:type="dxa"/>
            <w:vAlign w:val="center"/>
          </w:tcPr>
          <w:p>
            <w:pPr>
              <w:snapToGrid w:val="0"/>
              <w:spacing w:line="288" w:lineRule="auto"/>
              <w:ind w:firstLine="0" w:firstLineChars="0"/>
              <w:jc w:val="center"/>
              <w:rPr>
                <w:rFonts w:ascii="Calibri" w:hAnsi="宋体"/>
                <w:sz w:val="18"/>
                <w:szCs w:val="22"/>
              </w:rPr>
            </w:pPr>
            <w:r>
              <w:rPr>
                <w:rFonts w:hint="eastAsia" w:ascii="Calibri" w:hAnsi="宋体"/>
                <w:sz w:val="18"/>
                <w:szCs w:val="22"/>
              </w:rPr>
              <w:t>5</w:t>
            </w:r>
          </w:p>
        </w:tc>
        <w:tc>
          <w:tcPr>
            <w:tcW w:w="609" w:type="dxa"/>
            <w:vAlign w:val="center"/>
          </w:tcPr>
          <w:p>
            <w:pPr>
              <w:snapToGrid w:val="0"/>
              <w:spacing w:line="288" w:lineRule="auto"/>
              <w:ind w:firstLine="0" w:firstLineChars="0"/>
              <w:jc w:val="center"/>
              <w:rPr>
                <w:rFonts w:ascii="Calibri" w:hAnsi="宋体"/>
                <w:sz w:val="18"/>
                <w:szCs w:val="22"/>
              </w:rPr>
            </w:pPr>
            <w:r>
              <w:rPr>
                <w:rFonts w:hint="eastAsia" w:ascii="Calibri" w:hAnsi="宋体"/>
                <w:sz w:val="18"/>
                <w:szCs w:val="22"/>
              </w:rPr>
              <w:t>2</w:t>
            </w:r>
            <w:r>
              <w:rPr>
                <w:rFonts w:ascii="Calibri" w:hAnsi="宋体"/>
                <w:sz w:val="18"/>
                <w:szCs w:val="22"/>
              </w:rPr>
              <w:t>9</w:t>
            </w:r>
          </w:p>
        </w:tc>
      </w:tr>
    </w:tbl>
    <w:p>
      <w:pPr>
        <w:spacing w:before="97" w:beforeLines="30"/>
        <w:ind w:firstLine="482"/>
        <w:rPr>
          <w:rFonts w:ascii="Calibri" w:hAnsi="宋体"/>
          <w:szCs w:val="22"/>
        </w:rPr>
      </w:pPr>
      <w:r>
        <w:rPr>
          <w:rFonts w:hint="eastAsia" w:ascii="Calibri" w:hAnsi="宋体"/>
          <w:b/>
          <w:szCs w:val="22"/>
        </w:rPr>
        <w:t>（4）游览</w:t>
      </w:r>
      <w:r>
        <w:rPr>
          <w:rFonts w:hint="eastAsia" w:ascii="Calibri" w:hAnsi="Calibri"/>
          <w:b/>
          <w:szCs w:val="22"/>
        </w:rPr>
        <w:t>组织：</w:t>
      </w:r>
      <w:r>
        <w:rPr>
          <w:rFonts w:hint="eastAsia" w:ascii="Calibri" w:hAnsi="Calibri"/>
          <w:szCs w:val="22"/>
        </w:rPr>
        <w:t>飞云</w:t>
      </w:r>
      <w:r>
        <w:rPr>
          <w:rFonts w:hint="eastAsia" w:ascii="Calibri" w:hAnsi="宋体"/>
          <w:szCs w:val="22"/>
        </w:rPr>
        <w:t>湖旅游点－下山村郑世鸿宅－松根碉堡－双龙景群－月印岩－棺材岩－河背洞－金山节孝坊－临湖瀑－曲流清溪－老虎山－擎天柱－木鱼岩－金蟾岩－水洞门－铜铃山森林公园；或云湖社区－湖壁－双龙瀑－龙井－五叶奇枫－岩门码头。</w:t>
      </w:r>
    </w:p>
    <w:p>
      <w:pPr>
        <w:spacing w:before="97" w:beforeLines="30"/>
        <w:ind w:firstLine="482"/>
        <w:rPr>
          <w:rFonts w:ascii="Calibri" w:hAnsi="宋体"/>
          <w:b/>
          <w:szCs w:val="22"/>
        </w:rPr>
      </w:pPr>
      <w:r>
        <w:rPr>
          <w:rFonts w:hint="eastAsia" w:ascii="Calibri" w:hAnsi="宋体"/>
          <w:b/>
          <w:szCs w:val="22"/>
        </w:rPr>
        <w:t>（5）建设要求：</w:t>
      </w:r>
    </w:p>
    <w:p>
      <w:pPr>
        <w:spacing w:before="97" w:beforeLines="30"/>
        <w:ind w:firstLine="480"/>
        <w:rPr>
          <w:rFonts w:ascii="Calibri" w:hAnsi="宋体"/>
          <w:szCs w:val="22"/>
        </w:rPr>
      </w:pPr>
      <w:r>
        <w:rPr>
          <w:rFonts w:hint="eastAsia" w:ascii="Calibri" w:hAnsi="宋体"/>
          <w:szCs w:val="22"/>
        </w:rPr>
        <w:t>严格保护珊溪水库的自然生态环境，保护水体水质，旅游活动项目安排以不得破坏水库水质为首要准则。加强库区周围水源涵养林建设及植物景观营造。</w:t>
      </w:r>
    </w:p>
    <w:p>
      <w:pPr>
        <w:spacing w:before="97" w:beforeLines="30"/>
        <w:ind w:firstLine="480"/>
        <w:rPr>
          <w:rFonts w:ascii="Calibri" w:hAnsi="宋体"/>
          <w:szCs w:val="22"/>
        </w:rPr>
      </w:pPr>
      <w:r>
        <w:rPr>
          <w:rFonts w:hint="eastAsia" w:ascii="Calibri" w:hAnsi="宋体"/>
          <w:szCs w:val="22"/>
        </w:rPr>
        <w:t>由于飞云湖支流众多，形成纵横交错的湖湾，可发展不同水上体验的线路，如环湖慢行线、水上休闲线、空中飞行线等。</w:t>
      </w:r>
      <w:r>
        <w:rPr>
          <w:rFonts w:hint="eastAsia" w:ascii="宋体" w:hAnsi="宋体" w:cs="宋体"/>
          <w:szCs w:val="22"/>
        </w:rPr>
        <w:t>在保护好飞云湖水生态与水质的前提下，实施环飞云湖文旅振兴项目，围绕飞云湖打造云湖旅游康养度假中心，</w:t>
      </w:r>
      <w:r>
        <w:rPr>
          <w:rFonts w:hint="eastAsia" w:ascii="Calibri" w:hAnsi="宋体"/>
          <w:szCs w:val="22"/>
        </w:rPr>
        <w:t>开辟环湖绿道，完善环湖游路系统和休憩观景设施，</w:t>
      </w:r>
      <w:r>
        <w:rPr>
          <w:rFonts w:hint="eastAsia" w:ascii="宋体" w:hAnsi="宋体" w:cs="宋体"/>
          <w:szCs w:val="22"/>
        </w:rPr>
        <w:t>建设环湖码头及低空设施，</w:t>
      </w:r>
      <w:r>
        <w:rPr>
          <w:rFonts w:hint="eastAsia" w:ascii="Calibri" w:hAnsi="宋体"/>
          <w:szCs w:val="22"/>
        </w:rPr>
        <w:t>利用优越的自然生态条件，开展康体健身、野营休闲等相关游憩活动。</w:t>
      </w:r>
      <w:r>
        <w:rPr>
          <w:rFonts w:hint="eastAsia" w:ascii="宋体" w:hAnsi="宋体" w:cs="宋体"/>
          <w:szCs w:val="22"/>
        </w:rPr>
        <w:t>依托周边村落建设特色民宿、垂钓基地、露营基地、房车基地、非遗体验地等新型文旅业态项目。</w:t>
      </w:r>
    </w:p>
    <w:p>
      <w:pPr>
        <w:spacing w:before="72"/>
        <w:ind w:firstLine="480"/>
        <w:rPr>
          <w:rFonts w:ascii="Calibri" w:hAnsi="宋体"/>
          <w:szCs w:val="22"/>
        </w:rPr>
      </w:pPr>
      <w:r>
        <w:rPr>
          <w:rFonts w:hint="eastAsia" w:ascii="Calibri" w:hAnsi="宋体"/>
          <w:szCs w:val="22"/>
        </w:rPr>
        <w:t>改造提升原双龙景区配套设施，将其纳入飞云湖景区主游线上的一条游赏支路，可作为飞云湖水上游线的一个停靠点，并建立内部景点串联的环形游线。</w:t>
      </w:r>
    </w:p>
    <w:p>
      <w:pPr>
        <w:spacing w:before="72"/>
        <w:ind w:firstLine="482"/>
        <w:rPr>
          <w:rFonts w:ascii="Calibri" w:hAnsi="宋体"/>
          <w:szCs w:val="22"/>
        </w:rPr>
      </w:pPr>
      <w:r>
        <w:rPr>
          <w:rFonts w:hint="eastAsia" w:ascii="Calibri" w:hAnsi="宋体"/>
          <w:b/>
          <w:szCs w:val="22"/>
        </w:rPr>
        <w:t>（6）游赏项目：</w:t>
      </w:r>
      <w:r>
        <w:rPr>
          <w:rFonts w:hint="eastAsia" w:ascii="Calibri" w:hAnsi="宋体"/>
          <w:szCs w:val="22"/>
        </w:rPr>
        <w:t>观光休闲、水上体验、环湖骑行、康体健身、滨湖度假、生态野营、宗教朝拜等。</w:t>
      </w:r>
    </w:p>
    <w:p>
      <w:pPr>
        <w:spacing w:before="97" w:beforeLines="30"/>
        <w:ind w:firstLine="482"/>
        <w:rPr>
          <w:rFonts w:cs="宋体"/>
          <w:b/>
        </w:rPr>
      </w:pPr>
      <w:r>
        <w:rPr>
          <w:rFonts w:hint="eastAsia" w:ascii="Calibri" w:hAnsi="宋体"/>
          <w:b/>
          <w:szCs w:val="22"/>
        </w:rPr>
        <w:t>8、</w:t>
      </w:r>
      <w:r>
        <w:rPr>
          <w:rFonts w:hint="eastAsia" w:cs="宋体"/>
          <w:b/>
        </w:rPr>
        <w:t>牛栏湾景区</w:t>
      </w:r>
    </w:p>
    <w:p>
      <w:pPr>
        <w:spacing w:before="97" w:beforeLines="30"/>
        <w:ind w:firstLine="482"/>
        <w:rPr>
          <w:rFonts w:ascii="Calibri" w:hAnsi="宋体"/>
          <w:szCs w:val="22"/>
        </w:rPr>
      </w:pPr>
      <w:r>
        <w:rPr>
          <w:rFonts w:hint="eastAsia" w:ascii="Calibri" w:hAnsi="宋体"/>
          <w:b/>
          <w:szCs w:val="22"/>
        </w:rPr>
        <w:t>（1）</w:t>
      </w:r>
      <w:r>
        <w:rPr>
          <w:rFonts w:ascii="Calibri" w:hAnsi="宋体"/>
          <w:b/>
          <w:szCs w:val="22"/>
        </w:rPr>
        <w:t>景区概况：</w:t>
      </w:r>
      <w:r>
        <w:rPr>
          <w:rFonts w:hint="eastAsia" w:ascii="Calibri" w:hAnsi="宋体"/>
          <w:szCs w:val="22"/>
        </w:rPr>
        <w:t>包含山华林场的李井林场、秀峰岩林场两个林区，景区内植物种类有</w:t>
      </w:r>
      <w:r>
        <w:rPr>
          <w:rFonts w:ascii="Calibri" w:hAnsi="宋体"/>
          <w:szCs w:val="22"/>
        </w:rPr>
        <w:t>129</w:t>
      </w:r>
      <w:r>
        <w:rPr>
          <w:rFonts w:hint="eastAsia" w:ascii="Calibri" w:hAnsi="宋体"/>
          <w:szCs w:val="22"/>
        </w:rPr>
        <w:t>科</w:t>
      </w:r>
      <w:r>
        <w:rPr>
          <w:rFonts w:ascii="Calibri" w:hAnsi="宋体"/>
          <w:szCs w:val="22"/>
        </w:rPr>
        <w:t>603</w:t>
      </w:r>
      <w:r>
        <w:rPr>
          <w:rFonts w:hint="eastAsia" w:ascii="Calibri" w:hAnsi="宋体"/>
          <w:szCs w:val="22"/>
        </w:rPr>
        <w:t>种。其中，国家Ⅰ级重点保护植物</w:t>
      </w:r>
      <w:r>
        <w:rPr>
          <w:rFonts w:ascii="Calibri" w:hAnsi="宋体"/>
          <w:szCs w:val="22"/>
        </w:rPr>
        <w:t>1</w:t>
      </w:r>
      <w:r>
        <w:rPr>
          <w:rFonts w:hint="eastAsia" w:ascii="Calibri" w:hAnsi="宋体"/>
          <w:szCs w:val="22"/>
        </w:rPr>
        <w:t>种，南方红豆杉；国家Ⅱ级重点保护植物</w:t>
      </w:r>
      <w:r>
        <w:rPr>
          <w:rFonts w:ascii="Calibri" w:hAnsi="宋体"/>
          <w:szCs w:val="22"/>
        </w:rPr>
        <w:t>7</w:t>
      </w:r>
      <w:r>
        <w:rPr>
          <w:rFonts w:hint="eastAsia" w:ascii="Calibri" w:hAnsi="宋体"/>
          <w:szCs w:val="22"/>
        </w:rPr>
        <w:t>种。约有</w:t>
      </w:r>
      <w:r>
        <w:rPr>
          <w:rFonts w:ascii="Calibri" w:hAnsi="宋体"/>
          <w:szCs w:val="22"/>
        </w:rPr>
        <w:t>130</w:t>
      </w:r>
      <w:r>
        <w:rPr>
          <w:rFonts w:hint="eastAsia" w:ascii="Calibri" w:hAnsi="宋体"/>
          <w:szCs w:val="22"/>
        </w:rPr>
        <w:t>余种野生动物，其中国家重点保护动物</w:t>
      </w:r>
      <w:r>
        <w:rPr>
          <w:rFonts w:ascii="Calibri" w:hAnsi="宋体"/>
          <w:szCs w:val="22"/>
        </w:rPr>
        <w:t>12</w:t>
      </w:r>
      <w:r>
        <w:rPr>
          <w:rFonts w:hint="eastAsia" w:ascii="Calibri" w:hAnsi="宋体"/>
          <w:szCs w:val="22"/>
        </w:rPr>
        <w:t>种，国家Ⅰ级重点保护动物</w:t>
      </w:r>
      <w:r>
        <w:rPr>
          <w:rFonts w:ascii="Calibri" w:hAnsi="宋体"/>
          <w:szCs w:val="22"/>
        </w:rPr>
        <w:t>1</w:t>
      </w:r>
      <w:r>
        <w:rPr>
          <w:rFonts w:hint="eastAsia" w:ascii="Calibri" w:hAnsi="宋体"/>
          <w:szCs w:val="22"/>
        </w:rPr>
        <w:t>种白颈长尾雉，国家Ⅱ级重点保护动物</w:t>
      </w:r>
      <w:r>
        <w:rPr>
          <w:rFonts w:ascii="Calibri" w:hAnsi="宋体"/>
          <w:szCs w:val="22"/>
        </w:rPr>
        <w:t>11</w:t>
      </w:r>
      <w:r>
        <w:rPr>
          <w:rFonts w:hint="eastAsia" w:ascii="Calibri" w:hAnsi="宋体"/>
          <w:szCs w:val="22"/>
        </w:rPr>
        <w:t>种。规划面积</w:t>
      </w:r>
      <w:r>
        <w:rPr>
          <w:rFonts w:ascii="Calibri" w:hAnsi="宋体"/>
          <w:szCs w:val="22"/>
        </w:rPr>
        <w:t>10.1</w:t>
      </w:r>
      <w:r>
        <w:rPr>
          <w:rFonts w:hint="eastAsia" w:ascii="Calibri" w:hAnsi="宋体"/>
          <w:szCs w:val="22"/>
        </w:rPr>
        <w:t>平方公里。</w:t>
      </w:r>
    </w:p>
    <w:p>
      <w:pPr>
        <w:spacing w:before="97" w:beforeLines="30"/>
        <w:ind w:firstLine="482"/>
        <w:rPr>
          <w:rFonts w:ascii="Calibri" w:hAnsi="宋体"/>
          <w:szCs w:val="22"/>
        </w:rPr>
      </w:pPr>
      <w:r>
        <w:rPr>
          <w:rFonts w:hint="eastAsia" w:ascii="Calibri" w:hAnsi="宋体"/>
          <w:b/>
          <w:szCs w:val="22"/>
        </w:rPr>
        <w:t>（2）</w:t>
      </w:r>
      <w:r>
        <w:rPr>
          <w:rFonts w:ascii="Calibri" w:hAnsi="宋体"/>
          <w:b/>
          <w:szCs w:val="22"/>
        </w:rPr>
        <w:t>景区特色</w:t>
      </w:r>
      <w:r>
        <w:rPr>
          <w:rFonts w:hint="eastAsia" w:ascii="Calibri" w:hAnsi="宋体"/>
          <w:b/>
          <w:szCs w:val="22"/>
        </w:rPr>
        <w:t>：</w:t>
      </w:r>
      <w:r>
        <w:rPr>
          <w:rFonts w:hint="eastAsia" w:ascii="Calibri" w:hAnsi="宋体"/>
          <w:szCs w:val="22"/>
        </w:rPr>
        <w:t>最高峰仙乌岩尖，山峰上有众多裸岩，正侧面风化程度不同，有“横看成岭侧成峰”的意境。可谓“林野、谷深、瀑急、潭碧、湖秀、岩奇”。尤其是七瀑东飞，海拔落差极大，呈七级跌水奔腾而下，景象壮观。</w:t>
      </w:r>
    </w:p>
    <w:p>
      <w:pPr>
        <w:spacing w:before="97" w:beforeLines="30"/>
        <w:ind w:firstLine="482"/>
        <w:rPr>
          <w:rFonts w:ascii="Calibri" w:hAnsi="宋体"/>
          <w:b/>
          <w:szCs w:val="22"/>
        </w:rPr>
      </w:pPr>
      <w:r>
        <w:rPr>
          <w:rFonts w:hint="eastAsia" w:ascii="Calibri" w:hAnsi="宋体"/>
          <w:b/>
          <w:szCs w:val="22"/>
        </w:rPr>
        <w:t>（3）</w:t>
      </w:r>
      <w:r>
        <w:rPr>
          <w:rFonts w:ascii="Calibri" w:hAnsi="宋体"/>
          <w:b/>
          <w:szCs w:val="22"/>
        </w:rPr>
        <w:t>包含景点</w:t>
      </w:r>
    </w:p>
    <w:tbl>
      <w:tblPr>
        <w:tblStyle w:val="221"/>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4711"/>
        <w:gridCol w:w="2015"/>
        <w:gridCol w:w="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171" w:type="dxa"/>
            <w:vMerge w:val="restart"/>
            <w:shd w:val="clear" w:color="auto" w:fill="E2E2E2"/>
            <w:vAlign w:val="center"/>
          </w:tcPr>
          <w:p>
            <w:pPr>
              <w:spacing w:line="240" w:lineRule="auto"/>
              <w:ind w:firstLine="0" w:firstLineChars="0"/>
              <w:jc w:val="center"/>
              <w:rPr>
                <w:rFonts w:ascii="Calibri" w:hAnsi="Calibri"/>
                <w:b/>
                <w:sz w:val="18"/>
                <w:szCs w:val="22"/>
              </w:rPr>
            </w:pPr>
            <w:r>
              <w:rPr>
                <w:rFonts w:hint="eastAsia" w:ascii="Calibri" w:hAnsi="宋体"/>
                <w:b/>
                <w:sz w:val="18"/>
                <w:szCs w:val="22"/>
              </w:rPr>
              <w:t>级别</w:t>
            </w:r>
          </w:p>
        </w:tc>
        <w:tc>
          <w:tcPr>
            <w:tcW w:w="6726" w:type="dxa"/>
            <w:gridSpan w:val="2"/>
            <w:shd w:val="clear" w:color="auto" w:fill="E2E2E2"/>
            <w:vAlign w:val="center"/>
          </w:tcPr>
          <w:p>
            <w:pPr>
              <w:spacing w:line="240" w:lineRule="auto"/>
              <w:ind w:firstLine="0" w:firstLineChars="0"/>
              <w:jc w:val="center"/>
              <w:rPr>
                <w:rFonts w:ascii="Calibri" w:hAnsi="Calibri"/>
                <w:b/>
                <w:sz w:val="18"/>
                <w:szCs w:val="22"/>
              </w:rPr>
            </w:pPr>
            <w:r>
              <w:rPr>
                <w:rFonts w:hint="eastAsia" w:ascii="Calibri" w:hAnsi="宋体"/>
                <w:b/>
                <w:sz w:val="18"/>
                <w:szCs w:val="22"/>
              </w:rPr>
              <w:t>名称</w:t>
            </w:r>
          </w:p>
        </w:tc>
        <w:tc>
          <w:tcPr>
            <w:tcW w:w="399" w:type="dxa"/>
            <w:vMerge w:val="restart"/>
            <w:shd w:val="clear" w:color="auto" w:fill="E2E2E2"/>
            <w:vAlign w:val="center"/>
          </w:tcPr>
          <w:p>
            <w:pPr>
              <w:spacing w:line="240" w:lineRule="auto"/>
              <w:ind w:firstLine="0" w:firstLineChars="0"/>
              <w:jc w:val="center"/>
              <w:rPr>
                <w:rFonts w:ascii="Calibri" w:hAnsi="Calibri"/>
                <w:b/>
                <w:sz w:val="18"/>
                <w:szCs w:val="22"/>
              </w:rPr>
            </w:pPr>
            <w:r>
              <w:rPr>
                <w:rFonts w:hint="eastAsia" w:ascii="Calibri" w:hAnsi="宋体"/>
                <w:b/>
                <w:sz w:val="18"/>
                <w:szCs w:val="22"/>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 w:hRule="atLeast"/>
          <w:jc w:val="center"/>
        </w:trPr>
        <w:tc>
          <w:tcPr>
            <w:tcW w:w="1171" w:type="dxa"/>
            <w:vMerge w:val="continue"/>
            <w:shd w:val="clear" w:color="auto" w:fill="E2E2E2"/>
            <w:vAlign w:val="center"/>
          </w:tcPr>
          <w:p>
            <w:pPr>
              <w:spacing w:line="240" w:lineRule="auto"/>
              <w:ind w:firstLine="0" w:firstLineChars="0"/>
              <w:jc w:val="center"/>
              <w:rPr>
                <w:rFonts w:ascii="Calibri" w:hAnsi="Calibri"/>
                <w:sz w:val="18"/>
                <w:szCs w:val="22"/>
              </w:rPr>
            </w:pPr>
          </w:p>
        </w:tc>
        <w:tc>
          <w:tcPr>
            <w:tcW w:w="4711" w:type="dxa"/>
            <w:shd w:val="clear" w:color="auto" w:fill="E2E2E2"/>
            <w:vAlign w:val="center"/>
          </w:tcPr>
          <w:p>
            <w:pPr>
              <w:spacing w:line="240" w:lineRule="auto"/>
              <w:ind w:firstLine="0" w:firstLineChars="0"/>
              <w:jc w:val="center"/>
              <w:rPr>
                <w:rFonts w:ascii="Calibri" w:hAnsi="Calibri"/>
                <w:b/>
                <w:sz w:val="18"/>
                <w:szCs w:val="22"/>
              </w:rPr>
            </w:pPr>
            <w:r>
              <w:rPr>
                <w:rFonts w:hint="eastAsia" w:ascii="Calibri" w:hAnsi="宋体"/>
                <w:b/>
                <w:sz w:val="18"/>
                <w:szCs w:val="22"/>
              </w:rPr>
              <w:t>自然</w:t>
            </w:r>
          </w:p>
        </w:tc>
        <w:tc>
          <w:tcPr>
            <w:tcW w:w="2015" w:type="dxa"/>
            <w:shd w:val="clear" w:color="auto" w:fill="E2E2E2"/>
            <w:vAlign w:val="center"/>
          </w:tcPr>
          <w:p>
            <w:pPr>
              <w:spacing w:line="240" w:lineRule="auto"/>
              <w:ind w:firstLine="0" w:firstLineChars="0"/>
              <w:jc w:val="center"/>
              <w:rPr>
                <w:rFonts w:ascii="Calibri" w:hAnsi="Calibri"/>
                <w:b/>
                <w:sz w:val="18"/>
                <w:szCs w:val="22"/>
              </w:rPr>
            </w:pPr>
            <w:r>
              <w:rPr>
                <w:rFonts w:hint="eastAsia" w:ascii="Calibri" w:hAnsi="宋体"/>
                <w:b/>
                <w:sz w:val="18"/>
                <w:szCs w:val="22"/>
              </w:rPr>
              <w:t>人文</w:t>
            </w:r>
          </w:p>
        </w:tc>
        <w:tc>
          <w:tcPr>
            <w:tcW w:w="399" w:type="dxa"/>
            <w:vMerge w:val="continue"/>
            <w:shd w:val="clear" w:color="auto" w:fill="E2E2E2"/>
            <w:vAlign w:val="center"/>
          </w:tcPr>
          <w:p>
            <w:pPr>
              <w:spacing w:line="240" w:lineRule="auto"/>
              <w:ind w:firstLine="0" w:firstLineChars="0"/>
              <w:jc w:val="center"/>
              <w:rPr>
                <w:rFonts w:ascii="Calibri" w:hAnsi="Calibri"/>
                <w:b/>
                <w:sz w:val="18"/>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171" w:type="dxa"/>
            <w:vAlign w:val="center"/>
          </w:tcPr>
          <w:p>
            <w:pPr>
              <w:spacing w:line="240" w:lineRule="auto"/>
              <w:ind w:firstLine="0" w:firstLineChars="0"/>
              <w:jc w:val="center"/>
              <w:rPr>
                <w:rFonts w:ascii="Calibri" w:hAnsi="Calibri"/>
                <w:sz w:val="18"/>
                <w:szCs w:val="22"/>
              </w:rPr>
            </w:pPr>
            <w:r>
              <w:rPr>
                <w:rFonts w:hint="eastAsia" w:ascii="Calibri" w:hAnsi="宋体"/>
                <w:sz w:val="18"/>
                <w:szCs w:val="22"/>
              </w:rPr>
              <w:t>三级</w:t>
            </w:r>
          </w:p>
        </w:tc>
        <w:tc>
          <w:tcPr>
            <w:tcW w:w="4711" w:type="dxa"/>
            <w:vAlign w:val="center"/>
          </w:tcPr>
          <w:p>
            <w:pPr>
              <w:spacing w:line="240" w:lineRule="auto"/>
              <w:ind w:firstLine="0" w:firstLineChars="0"/>
              <w:jc w:val="center"/>
              <w:rPr>
                <w:rFonts w:ascii="Calibri" w:hAnsi="Calibri"/>
                <w:sz w:val="18"/>
                <w:szCs w:val="22"/>
              </w:rPr>
            </w:pPr>
            <w:r>
              <w:rPr>
                <w:rFonts w:hint="eastAsia" w:ascii="Calibri" w:hAnsi="宋体"/>
                <w:sz w:val="18"/>
                <w:szCs w:val="22"/>
              </w:rPr>
              <w:t>七瀑东飞、枫香片林</w:t>
            </w:r>
          </w:p>
        </w:tc>
        <w:tc>
          <w:tcPr>
            <w:tcW w:w="2015" w:type="dxa"/>
            <w:vAlign w:val="center"/>
          </w:tcPr>
          <w:p>
            <w:pPr>
              <w:spacing w:line="240" w:lineRule="auto"/>
              <w:ind w:firstLine="0" w:firstLineChars="0"/>
              <w:jc w:val="center"/>
              <w:rPr>
                <w:rFonts w:ascii="Calibri" w:hAnsi="Calibri"/>
                <w:sz w:val="18"/>
                <w:szCs w:val="22"/>
              </w:rPr>
            </w:pPr>
            <w:r>
              <w:rPr>
                <w:rFonts w:hint="eastAsia" w:ascii="Calibri" w:hAnsi="宋体"/>
                <w:sz w:val="18"/>
                <w:szCs w:val="22"/>
              </w:rPr>
              <w:t>九台寺</w:t>
            </w:r>
          </w:p>
        </w:tc>
        <w:tc>
          <w:tcPr>
            <w:tcW w:w="399" w:type="dxa"/>
            <w:vAlign w:val="center"/>
          </w:tcPr>
          <w:p>
            <w:pPr>
              <w:spacing w:line="240" w:lineRule="auto"/>
              <w:ind w:firstLine="0" w:firstLineChars="0"/>
              <w:jc w:val="center"/>
              <w:rPr>
                <w:rFonts w:ascii="Calibri" w:hAnsi="Calibri"/>
                <w:sz w:val="18"/>
                <w:szCs w:val="22"/>
              </w:rPr>
            </w:pPr>
            <w:r>
              <w:rPr>
                <w:rFonts w:ascii="Calibri" w:hAnsi="宋体"/>
                <w:sz w:val="18"/>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6" w:hRule="atLeast"/>
          <w:jc w:val="center"/>
        </w:trPr>
        <w:tc>
          <w:tcPr>
            <w:tcW w:w="1171" w:type="dxa"/>
            <w:vAlign w:val="center"/>
          </w:tcPr>
          <w:p>
            <w:pPr>
              <w:spacing w:line="240" w:lineRule="auto"/>
              <w:ind w:firstLine="0" w:firstLineChars="0"/>
              <w:jc w:val="center"/>
              <w:rPr>
                <w:rFonts w:ascii="Calibri" w:hAnsi="Calibri"/>
                <w:sz w:val="18"/>
                <w:szCs w:val="22"/>
              </w:rPr>
            </w:pPr>
            <w:r>
              <w:rPr>
                <w:rFonts w:hint="eastAsia" w:ascii="Calibri" w:hAnsi="宋体"/>
                <w:sz w:val="18"/>
                <w:szCs w:val="22"/>
              </w:rPr>
              <w:t>四级</w:t>
            </w:r>
          </w:p>
        </w:tc>
        <w:tc>
          <w:tcPr>
            <w:tcW w:w="4711" w:type="dxa"/>
            <w:vAlign w:val="center"/>
          </w:tcPr>
          <w:p>
            <w:pPr>
              <w:spacing w:line="240" w:lineRule="auto"/>
              <w:ind w:firstLine="0" w:firstLineChars="0"/>
              <w:jc w:val="center"/>
              <w:rPr>
                <w:rFonts w:ascii="Calibri" w:hAnsi="Calibri"/>
                <w:sz w:val="18"/>
                <w:szCs w:val="22"/>
              </w:rPr>
            </w:pPr>
            <w:r>
              <w:rPr>
                <w:rFonts w:hint="eastAsia" w:ascii="Calibri" w:hAnsi="宋体"/>
                <w:sz w:val="18"/>
                <w:szCs w:val="22"/>
              </w:rPr>
              <w:t>豆腐仙岩、水帘玉壁、炊天饭甄、庵弼岩、仙乌岩尖、仙人岩、猪槽洞、觧板岩、柳杉绿海、白水沄坑、牛栏湾顶、雾凇沆砀</w:t>
            </w:r>
          </w:p>
        </w:tc>
        <w:tc>
          <w:tcPr>
            <w:tcW w:w="2015" w:type="dxa"/>
            <w:vAlign w:val="center"/>
          </w:tcPr>
          <w:p>
            <w:pPr>
              <w:spacing w:line="240" w:lineRule="auto"/>
              <w:ind w:firstLine="0" w:firstLineChars="0"/>
              <w:jc w:val="center"/>
              <w:rPr>
                <w:rFonts w:ascii="Calibri" w:hAnsi="Calibri"/>
                <w:sz w:val="18"/>
                <w:szCs w:val="22"/>
              </w:rPr>
            </w:pPr>
            <w:r>
              <w:rPr>
                <w:rFonts w:hint="eastAsia" w:ascii="Calibri" w:hAnsi="宋体"/>
                <w:sz w:val="18"/>
                <w:szCs w:val="22"/>
              </w:rPr>
              <w:t>宋窑遗址</w:t>
            </w:r>
          </w:p>
        </w:tc>
        <w:tc>
          <w:tcPr>
            <w:tcW w:w="399" w:type="dxa"/>
            <w:vAlign w:val="center"/>
          </w:tcPr>
          <w:p>
            <w:pPr>
              <w:spacing w:line="240" w:lineRule="auto"/>
              <w:ind w:firstLine="0" w:firstLineChars="0"/>
              <w:jc w:val="center"/>
              <w:rPr>
                <w:rFonts w:ascii="Calibri" w:hAnsi="Calibri"/>
                <w:sz w:val="18"/>
                <w:szCs w:val="22"/>
              </w:rPr>
            </w:pPr>
            <w:r>
              <w:rPr>
                <w:rFonts w:ascii="Calibri" w:hAnsi="宋体"/>
                <w:sz w:val="18"/>
                <w:szCs w:val="22"/>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1171" w:type="dxa"/>
            <w:vAlign w:val="center"/>
          </w:tcPr>
          <w:p>
            <w:pPr>
              <w:spacing w:line="240" w:lineRule="auto"/>
              <w:ind w:firstLine="0" w:firstLineChars="0"/>
              <w:jc w:val="center"/>
              <w:rPr>
                <w:rFonts w:ascii="Calibri" w:hAnsi="Calibri"/>
                <w:sz w:val="18"/>
                <w:szCs w:val="22"/>
              </w:rPr>
            </w:pPr>
            <w:r>
              <w:rPr>
                <w:rFonts w:hint="eastAsia" w:ascii="Calibri" w:hAnsi="宋体"/>
                <w:sz w:val="18"/>
                <w:szCs w:val="22"/>
              </w:rPr>
              <w:t>小计</w:t>
            </w:r>
          </w:p>
        </w:tc>
        <w:tc>
          <w:tcPr>
            <w:tcW w:w="4711" w:type="dxa"/>
            <w:vAlign w:val="center"/>
          </w:tcPr>
          <w:p>
            <w:pPr>
              <w:spacing w:line="240" w:lineRule="auto"/>
              <w:ind w:firstLine="0" w:firstLineChars="0"/>
              <w:jc w:val="center"/>
              <w:rPr>
                <w:rFonts w:ascii="Calibri" w:hAnsi="Calibri"/>
                <w:sz w:val="18"/>
                <w:szCs w:val="22"/>
              </w:rPr>
            </w:pPr>
            <w:r>
              <w:rPr>
                <w:rFonts w:hint="eastAsia" w:ascii="Calibri" w:hAnsi="Calibri"/>
                <w:sz w:val="18"/>
                <w:szCs w:val="22"/>
              </w:rPr>
              <w:t>1</w:t>
            </w:r>
            <w:r>
              <w:rPr>
                <w:rFonts w:ascii="Calibri" w:hAnsi="Calibri"/>
                <w:sz w:val="18"/>
                <w:szCs w:val="22"/>
              </w:rPr>
              <w:t>4</w:t>
            </w:r>
          </w:p>
        </w:tc>
        <w:tc>
          <w:tcPr>
            <w:tcW w:w="2015" w:type="dxa"/>
            <w:vAlign w:val="center"/>
          </w:tcPr>
          <w:p>
            <w:pPr>
              <w:spacing w:line="240" w:lineRule="auto"/>
              <w:ind w:firstLine="0" w:firstLineChars="0"/>
              <w:jc w:val="center"/>
              <w:rPr>
                <w:rFonts w:ascii="Calibri" w:hAnsi="Calibri"/>
                <w:sz w:val="18"/>
                <w:szCs w:val="22"/>
              </w:rPr>
            </w:pPr>
            <w:r>
              <w:rPr>
                <w:rFonts w:hint="eastAsia" w:ascii="Calibri" w:hAnsi="Calibri"/>
                <w:sz w:val="18"/>
                <w:szCs w:val="22"/>
              </w:rPr>
              <w:t>2</w:t>
            </w:r>
          </w:p>
        </w:tc>
        <w:tc>
          <w:tcPr>
            <w:tcW w:w="399" w:type="dxa"/>
            <w:vAlign w:val="center"/>
          </w:tcPr>
          <w:p>
            <w:pPr>
              <w:spacing w:line="240" w:lineRule="auto"/>
              <w:ind w:firstLine="0" w:firstLineChars="0"/>
              <w:jc w:val="center"/>
              <w:rPr>
                <w:rFonts w:ascii="Calibri" w:hAnsi="Calibri"/>
                <w:sz w:val="18"/>
                <w:szCs w:val="22"/>
              </w:rPr>
            </w:pPr>
            <w:r>
              <w:rPr>
                <w:rFonts w:hint="eastAsia" w:ascii="Calibri" w:hAnsi="宋体"/>
                <w:sz w:val="18"/>
                <w:szCs w:val="22"/>
              </w:rPr>
              <w:t>16</w:t>
            </w:r>
          </w:p>
        </w:tc>
      </w:tr>
    </w:tbl>
    <w:p>
      <w:pPr>
        <w:spacing w:before="97" w:beforeLines="30"/>
        <w:ind w:firstLine="482"/>
        <w:rPr>
          <w:rFonts w:ascii="Calibri" w:hAnsi="宋体"/>
          <w:szCs w:val="22"/>
        </w:rPr>
      </w:pPr>
      <w:r>
        <w:rPr>
          <w:rFonts w:hint="eastAsia" w:ascii="Calibri" w:hAnsi="宋体"/>
          <w:b/>
          <w:szCs w:val="22"/>
        </w:rPr>
        <w:t>（4）</w:t>
      </w:r>
      <w:r>
        <w:rPr>
          <w:rFonts w:ascii="Calibri" w:hAnsi="宋体"/>
          <w:b/>
          <w:szCs w:val="22"/>
        </w:rPr>
        <w:t>游览组织：</w:t>
      </w:r>
      <w:r>
        <w:rPr>
          <w:rFonts w:hint="eastAsia" w:ascii="Calibri" w:hAnsi="宋体"/>
          <w:szCs w:val="22"/>
        </w:rPr>
        <w:t>平坑—豆腐仙岩—水帘玉璧—牛栏湾顶—仙乌岩尖—宋窑遗址—仙人岩。</w:t>
      </w:r>
    </w:p>
    <w:p>
      <w:pPr>
        <w:spacing w:before="97" w:beforeLines="30"/>
        <w:ind w:firstLine="482"/>
        <w:rPr>
          <w:rFonts w:ascii="Calibri" w:hAnsi="宋体"/>
          <w:b/>
          <w:szCs w:val="22"/>
        </w:rPr>
      </w:pPr>
      <w:r>
        <w:rPr>
          <w:rFonts w:hint="eastAsia" w:ascii="Calibri" w:hAnsi="宋体"/>
          <w:b/>
          <w:szCs w:val="22"/>
        </w:rPr>
        <w:t>（5）</w:t>
      </w:r>
      <w:r>
        <w:rPr>
          <w:rFonts w:ascii="Calibri" w:hAnsi="宋体"/>
          <w:b/>
          <w:szCs w:val="22"/>
        </w:rPr>
        <w:t>建设要求：</w:t>
      </w:r>
    </w:p>
    <w:p>
      <w:pPr>
        <w:spacing w:before="97" w:beforeLines="30"/>
        <w:ind w:firstLine="480"/>
        <w:rPr>
          <w:rFonts w:ascii="Calibri" w:hAnsi="宋体"/>
          <w:szCs w:val="22"/>
        </w:rPr>
      </w:pPr>
      <w:r>
        <w:rPr>
          <w:rFonts w:hint="eastAsia" w:ascii="Calibri" w:hAnsi="宋体"/>
          <w:szCs w:val="22"/>
        </w:rPr>
        <w:t>严格保护多样的森林资源，其中优美的常绿阔叶林和针阔混交林和针叶混交林是公园最主要的森林景观，天然林占景区森林面积的</w:t>
      </w:r>
      <w:r>
        <w:rPr>
          <w:rFonts w:ascii="Calibri" w:hAnsi="宋体"/>
          <w:szCs w:val="22"/>
        </w:rPr>
        <w:t>30%。重点保护景区内大片的柳杉林和马尾松林。</w:t>
      </w:r>
    </w:p>
    <w:p>
      <w:pPr>
        <w:spacing w:before="97" w:beforeLines="30"/>
        <w:ind w:firstLine="480"/>
        <w:rPr>
          <w:rFonts w:ascii="Calibri" w:hAnsi="宋体"/>
          <w:szCs w:val="22"/>
        </w:rPr>
      </w:pPr>
      <w:r>
        <w:rPr>
          <w:rFonts w:hint="eastAsia" w:ascii="Calibri" w:hAnsi="宋体"/>
          <w:szCs w:val="22"/>
        </w:rPr>
        <w:t>景区应加紧进行游线的组织和游步道的建设，完善</w:t>
      </w:r>
      <w:r>
        <w:rPr>
          <w:rFonts w:ascii="Calibri" w:hAnsi="宋体"/>
          <w:szCs w:val="22"/>
        </w:rPr>
        <w:t>2处服务点和3处服务部建设，完善配套设施。建设北入口至水帘玉璧的索道。以乌仙岩尖为制高点核心，设观景平台。恢复景区中部森林古道，横贯景区东西入口。完善林区道路，用于森林巡护。依托周边</w:t>
      </w:r>
      <w:r>
        <w:rPr>
          <w:rFonts w:hint="eastAsia" w:ascii="Calibri" w:hAnsi="宋体"/>
          <w:szCs w:val="22"/>
        </w:rPr>
        <w:t>南川</w:t>
      </w:r>
      <w:r>
        <w:rPr>
          <w:rFonts w:ascii="Calibri" w:hAnsi="宋体"/>
          <w:szCs w:val="22"/>
        </w:rPr>
        <w:t>村等景区村落，发展乡村民宿、乡村美食，营造乡村旅游氛围。</w:t>
      </w:r>
    </w:p>
    <w:p>
      <w:pPr>
        <w:spacing w:before="72"/>
        <w:ind w:left="482" w:firstLine="0" w:firstLineChars="0"/>
        <w:rPr>
          <w:rFonts w:ascii="Calibri" w:hAnsi="宋体"/>
          <w:szCs w:val="22"/>
        </w:rPr>
      </w:pPr>
      <w:r>
        <w:rPr>
          <w:rFonts w:hint="eastAsia" w:ascii="Calibri" w:hAnsi="宋体"/>
          <w:b/>
          <w:szCs w:val="22"/>
        </w:rPr>
        <w:t>（6）</w:t>
      </w:r>
      <w:r>
        <w:rPr>
          <w:rFonts w:ascii="Calibri" w:hAnsi="宋体"/>
          <w:b/>
          <w:szCs w:val="22"/>
        </w:rPr>
        <w:t>游赏项目：</w:t>
      </w:r>
      <w:r>
        <w:rPr>
          <w:rFonts w:hint="eastAsia" w:ascii="Calibri" w:hAnsi="宋体"/>
          <w:szCs w:val="22"/>
        </w:rPr>
        <w:t>溪谷观景、登山远足、森林康养、科普教育等。</w:t>
      </w:r>
    </w:p>
    <w:p>
      <w:pPr>
        <w:pStyle w:val="3"/>
        <w:numPr>
          <w:ilvl w:val="1"/>
          <w:numId w:val="7"/>
        </w:numPr>
        <w:spacing w:before="97" w:beforeLines="30"/>
        <w:ind w:rightChars="0"/>
        <w:jc w:val="both"/>
        <w:rPr>
          <w:color w:val="000000"/>
        </w:rPr>
      </w:pPr>
      <w:bookmarkStart w:id="42" w:name="_Toc176456009"/>
      <w:r>
        <w:rPr>
          <w:rFonts w:hint="eastAsia" w:ascii="Times New Roman" w:hAnsi="Times New Roman"/>
          <w:color w:val="000000"/>
        </w:rPr>
        <w:t>四、游赏组织规划</w:t>
      </w:r>
      <w:bookmarkEnd w:id="42"/>
    </w:p>
    <w:p>
      <w:pPr>
        <w:spacing w:before="163" w:beforeLines="50" w:line="520" w:lineRule="exact"/>
        <w:ind w:firstLine="480"/>
        <w:rPr>
          <w:rFonts w:ascii="宋体" w:hAnsi="宋体"/>
          <w:szCs w:val="22"/>
        </w:rPr>
      </w:pPr>
      <w:r>
        <w:rPr>
          <w:rFonts w:hint="eastAsia" w:ascii="宋体" w:hAnsi="宋体"/>
          <w:szCs w:val="21"/>
        </w:rPr>
        <w:t>规划确定风景游赏项目分为：休闲型游赏项目、文化型游赏项目、运动型游赏项目、节庆型游赏项目。</w:t>
      </w:r>
    </w:p>
    <w:p>
      <w:pPr>
        <w:spacing w:before="97" w:beforeLines="30"/>
        <w:ind w:firstLine="0" w:firstLineChars="0"/>
        <w:jc w:val="center"/>
        <w:rPr>
          <w:rFonts w:ascii="Calibri" w:hAnsi="宋体"/>
          <w:b/>
          <w:sz w:val="21"/>
          <w:szCs w:val="22"/>
        </w:rPr>
      </w:pPr>
      <w:r>
        <w:rPr>
          <w:rFonts w:hint="eastAsia" w:ascii="Calibri" w:hAnsi="宋体"/>
          <w:b/>
          <w:sz w:val="21"/>
          <w:szCs w:val="22"/>
        </w:rPr>
        <w:t>表3</w:t>
      </w:r>
      <w:r>
        <w:rPr>
          <w:rFonts w:ascii="Calibri" w:hAnsi="宋体"/>
          <w:b/>
          <w:sz w:val="21"/>
          <w:szCs w:val="22"/>
        </w:rPr>
        <w:t xml:space="preserve">-6 </w:t>
      </w:r>
      <w:r>
        <w:rPr>
          <w:rFonts w:hint="eastAsia" w:ascii="Calibri" w:hAnsi="宋体"/>
          <w:b/>
          <w:sz w:val="21"/>
          <w:szCs w:val="22"/>
        </w:rPr>
        <w:t>游赏项目一览表</w:t>
      </w:r>
    </w:p>
    <w:tbl>
      <w:tblPr>
        <w:tblStyle w:val="42"/>
        <w:tblW w:w="82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528"/>
        <w:gridCol w:w="1354"/>
        <w:gridCol w:w="1537"/>
        <w:gridCol w:w="2477"/>
        <w:gridCol w:w="1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jc w:val="center"/>
        </w:trPr>
        <w:tc>
          <w:tcPr>
            <w:tcW w:w="958" w:type="dxa"/>
            <w:shd w:val="pct10" w:color="auto" w:fill="auto"/>
            <w:vAlign w:val="center"/>
          </w:tcPr>
          <w:p>
            <w:pPr>
              <w:adjustRightInd w:val="0"/>
              <w:snapToGrid w:val="0"/>
              <w:spacing w:line="240" w:lineRule="auto"/>
              <w:ind w:firstLine="0" w:firstLineChars="0"/>
              <w:jc w:val="center"/>
              <w:rPr>
                <w:rFonts w:ascii="宋体" w:hAnsi="宋体"/>
                <w:b/>
                <w:sz w:val="18"/>
                <w:szCs w:val="18"/>
              </w:rPr>
            </w:pPr>
            <w:r>
              <w:rPr>
                <w:rFonts w:hint="eastAsia" w:ascii="宋体" w:hAnsi="宋体"/>
                <w:b/>
                <w:sz w:val="18"/>
                <w:szCs w:val="18"/>
              </w:rPr>
              <w:t>游赏</w:t>
            </w:r>
          </w:p>
          <w:p>
            <w:pPr>
              <w:adjustRightInd w:val="0"/>
              <w:snapToGrid w:val="0"/>
              <w:spacing w:line="240" w:lineRule="auto"/>
              <w:ind w:firstLine="0" w:firstLineChars="0"/>
              <w:jc w:val="center"/>
              <w:rPr>
                <w:rFonts w:ascii="宋体" w:hAnsi="宋体"/>
                <w:b/>
                <w:sz w:val="18"/>
                <w:szCs w:val="18"/>
              </w:rPr>
            </w:pPr>
            <w:r>
              <w:rPr>
                <w:rFonts w:hint="eastAsia" w:ascii="宋体" w:hAnsi="宋体"/>
                <w:b/>
                <w:sz w:val="18"/>
                <w:szCs w:val="18"/>
              </w:rPr>
              <w:t>类别</w:t>
            </w:r>
          </w:p>
        </w:tc>
        <w:tc>
          <w:tcPr>
            <w:tcW w:w="528" w:type="dxa"/>
            <w:shd w:val="pct10" w:color="auto" w:fill="auto"/>
            <w:vAlign w:val="center"/>
          </w:tcPr>
          <w:p>
            <w:pPr>
              <w:adjustRightInd w:val="0"/>
              <w:snapToGrid w:val="0"/>
              <w:spacing w:line="240" w:lineRule="auto"/>
              <w:ind w:firstLine="0" w:firstLineChars="0"/>
              <w:jc w:val="center"/>
              <w:rPr>
                <w:rFonts w:ascii="宋体" w:hAnsi="宋体"/>
                <w:b/>
                <w:sz w:val="18"/>
                <w:szCs w:val="18"/>
              </w:rPr>
            </w:pPr>
            <w:r>
              <w:rPr>
                <w:rFonts w:hint="eastAsia" w:ascii="宋体" w:hAnsi="宋体"/>
                <w:b/>
                <w:sz w:val="18"/>
                <w:szCs w:val="18"/>
              </w:rPr>
              <w:t>编号</w:t>
            </w:r>
          </w:p>
        </w:tc>
        <w:tc>
          <w:tcPr>
            <w:tcW w:w="1354" w:type="dxa"/>
            <w:shd w:val="pct10" w:color="auto" w:fill="auto"/>
            <w:vAlign w:val="center"/>
          </w:tcPr>
          <w:p>
            <w:pPr>
              <w:adjustRightInd w:val="0"/>
              <w:snapToGrid w:val="0"/>
              <w:spacing w:line="240" w:lineRule="auto"/>
              <w:ind w:firstLine="0" w:firstLineChars="0"/>
              <w:jc w:val="center"/>
              <w:rPr>
                <w:rFonts w:ascii="宋体" w:hAnsi="宋体"/>
                <w:b/>
                <w:sz w:val="18"/>
                <w:szCs w:val="18"/>
              </w:rPr>
            </w:pPr>
            <w:r>
              <w:rPr>
                <w:rFonts w:hint="eastAsia" w:ascii="宋体" w:hAnsi="宋体"/>
                <w:b/>
                <w:sz w:val="18"/>
                <w:szCs w:val="18"/>
              </w:rPr>
              <w:t>游赏项目</w:t>
            </w:r>
          </w:p>
        </w:tc>
        <w:tc>
          <w:tcPr>
            <w:tcW w:w="1537" w:type="dxa"/>
            <w:shd w:val="pct10" w:color="auto" w:fill="auto"/>
            <w:vAlign w:val="center"/>
          </w:tcPr>
          <w:p>
            <w:pPr>
              <w:adjustRightInd w:val="0"/>
              <w:snapToGrid w:val="0"/>
              <w:spacing w:line="240" w:lineRule="auto"/>
              <w:ind w:firstLine="0" w:firstLineChars="0"/>
              <w:jc w:val="center"/>
              <w:rPr>
                <w:rFonts w:ascii="宋体" w:hAnsi="宋体"/>
                <w:b/>
                <w:sz w:val="18"/>
                <w:szCs w:val="18"/>
              </w:rPr>
            </w:pPr>
            <w:r>
              <w:rPr>
                <w:rFonts w:hint="eastAsia" w:ascii="宋体" w:hAnsi="宋体"/>
                <w:b/>
                <w:sz w:val="18"/>
                <w:szCs w:val="18"/>
              </w:rPr>
              <w:t>游赏活动</w:t>
            </w:r>
          </w:p>
        </w:tc>
        <w:tc>
          <w:tcPr>
            <w:tcW w:w="2477" w:type="dxa"/>
            <w:shd w:val="pct10" w:color="auto" w:fill="auto"/>
            <w:vAlign w:val="center"/>
          </w:tcPr>
          <w:p>
            <w:pPr>
              <w:adjustRightInd w:val="0"/>
              <w:snapToGrid w:val="0"/>
              <w:spacing w:line="240" w:lineRule="auto"/>
              <w:ind w:firstLine="0" w:firstLineChars="0"/>
              <w:jc w:val="center"/>
              <w:rPr>
                <w:rFonts w:ascii="宋体" w:hAnsi="宋体"/>
                <w:b/>
                <w:sz w:val="18"/>
                <w:szCs w:val="18"/>
              </w:rPr>
            </w:pPr>
            <w:r>
              <w:rPr>
                <w:rFonts w:hint="eastAsia" w:ascii="宋体" w:hAnsi="宋体"/>
                <w:b/>
                <w:sz w:val="18"/>
                <w:szCs w:val="18"/>
              </w:rPr>
              <w:t>活动地点</w:t>
            </w:r>
          </w:p>
        </w:tc>
        <w:tc>
          <w:tcPr>
            <w:tcW w:w="1353" w:type="dxa"/>
            <w:shd w:val="pct10" w:color="auto" w:fill="auto"/>
            <w:vAlign w:val="center"/>
          </w:tcPr>
          <w:p>
            <w:pPr>
              <w:adjustRightInd w:val="0"/>
              <w:snapToGrid w:val="0"/>
              <w:spacing w:line="240" w:lineRule="auto"/>
              <w:ind w:firstLine="0" w:firstLineChars="0"/>
              <w:jc w:val="center"/>
              <w:rPr>
                <w:rFonts w:ascii="宋体" w:hAnsi="宋体"/>
                <w:b/>
                <w:sz w:val="18"/>
                <w:szCs w:val="18"/>
              </w:rPr>
            </w:pPr>
            <w:r>
              <w:rPr>
                <w:rFonts w:hint="eastAsia" w:ascii="宋体" w:hAnsi="宋体"/>
                <w:b/>
                <w:sz w:val="18"/>
                <w:szCs w:val="18"/>
              </w:rPr>
              <w:t>规划期限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6" w:hRule="atLeast"/>
          <w:jc w:val="center"/>
        </w:trPr>
        <w:tc>
          <w:tcPr>
            <w:tcW w:w="958" w:type="dxa"/>
            <w:vMerge w:val="restart"/>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野外</w:t>
            </w:r>
          </w:p>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游憩</w:t>
            </w:r>
          </w:p>
        </w:tc>
        <w:tc>
          <w:tcPr>
            <w:tcW w:w="528" w:type="dxa"/>
            <w:vAlign w:val="center"/>
          </w:tcPr>
          <w:p>
            <w:pPr>
              <w:adjustRightInd w:val="0"/>
              <w:snapToGrid w:val="0"/>
              <w:spacing w:line="240" w:lineRule="auto"/>
              <w:ind w:firstLine="0" w:firstLineChars="0"/>
              <w:jc w:val="center"/>
              <w:rPr>
                <w:rFonts w:ascii="宋体" w:hAnsi="宋体"/>
                <w:sz w:val="18"/>
                <w:szCs w:val="18"/>
              </w:rPr>
            </w:pPr>
            <w:r>
              <w:rPr>
                <w:rFonts w:ascii="宋体" w:hAnsi="宋体"/>
                <w:sz w:val="18"/>
                <w:szCs w:val="18"/>
              </w:rPr>
              <w:t>1</w:t>
            </w:r>
          </w:p>
        </w:tc>
        <w:tc>
          <w:tcPr>
            <w:tcW w:w="1354" w:type="dxa"/>
            <w:vMerge w:val="restart"/>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消闲散步</w:t>
            </w:r>
          </w:p>
        </w:tc>
        <w:tc>
          <w:tcPr>
            <w:tcW w:w="153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天顶夜游</w:t>
            </w:r>
          </w:p>
        </w:tc>
        <w:tc>
          <w:tcPr>
            <w:tcW w:w="247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天顶湖</w:t>
            </w:r>
          </w:p>
        </w:tc>
        <w:tc>
          <w:tcPr>
            <w:tcW w:w="1353"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1" w:hRule="atLeast"/>
          <w:jc w:val="center"/>
        </w:trPr>
        <w:tc>
          <w:tcPr>
            <w:tcW w:w="958"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528" w:type="dxa"/>
            <w:vAlign w:val="center"/>
          </w:tcPr>
          <w:p>
            <w:pPr>
              <w:adjustRightInd w:val="0"/>
              <w:snapToGrid w:val="0"/>
              <w:spacing w:line="240" w:lineRule="auto"/>
              <w:ind w:firstLine="0" w:firstLineChars="0"/>
              <w:jc w:val="center"/>
              <w:rPr>
                <w:rFonts w:ascii="宋体" w:hAnsi="宋体"/>
                <w:sz w:val="18"/>
                <w:szCs w:val="18"/>
              </w:rPr>
            </w:pPr>
            <w:r>
              <w:rPr>
                <w:rFonts w:ascii="宋体" w:hAnsi="宋体"/>
                <w:sz w:val="18"/>
                <w:szCs w:val="18"/>
              </w:rPr>
              <w:t>2</w:t>
            </w:r>
          </w:p>
        </w:tc>
        <w:tc>
          <w:tcPr>
            <w:tcW w:w="1354"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153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乡野牛车</w:t>
            </w:r>
          </w:p>
        </w:tc>
        <w:tc>
          <w:tcPr>
            <w:tcW w:w="247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刘基故里</w:t>
            </w:r>
          </w:p>
        </w:tc>
        <w:tc>
          <w:tcPr>
            <w:tcW w:w="1353"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1" w:hRule="atLeast"/>
          <w:jc w:val="center"/>
        </w:trPr>
        <w:tc>
          <w:tcPr>
            <w:tcW w:w="958"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528" w:type="dxa"/>
            <w:vAlign w:val="center"/>
          </w:tcPr>
          <w:p>
            <w:pPr>
              <w:adjustRightInd w:val="0"/>
              <w:snapToGrid w:val="0"/>
              <w:spacing w:line="240" w:lineRule="auto"/>
              <w:ind w:firstLine="0" w:firstLineChars="0"/>
              <w:jc w:val="center"/>
              <w:rPr>
                <w:rFonts w:ascii="宋体" w:hAnsi="宋体"/>
                <w:sz w:val="18"/>
                <w:szCs w:val="18"/>
              </w:rPr>
            </w:pPr>
            <w:r>
              <w:rPr>
                <w:rFonts w:ascii="宋体" w:hAnsi="宋体"/>
                <w:sz w:val="18"/>
                <w:szCs w:val="18"/>
              </w:rPr>
              <w:t>3</w:t>
            </w:r>
          </w:p>
        </w:tc>
        <w:tc>
          <w:tcPr>
            <w:tcW w:w="1354"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垂钓</w:t>
            </w:r>
          </w:p>
        </w:tc>
        <w:tc>
          <w:tcPr>
            <w:tcW w:w="153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休闲垂钓</w:t>
            </w:r>
          </w:p>
        </w:tc>
        <w:tc>
          <w:tcPr>
            <w:tcW w:w="247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天顶湖、飞云湖</w:t>
            </w:r>
          </w:p>
        </w:tc>
        <w:tc>
          <w:tcPr>
            <w:tcW w:w="1353"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1" w:hRule="atLeast"/>
          <w:jc w:val="center"/>
        </w:trPr>
        <w:tc>
          <w:tcPr>
            <w:tcW w:w="958"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528" w:type="dxa"/>
            <w:vAlign w:val="center"/>
          </w:tcPr>
          <w:p>
            <w:pPr>
              <w:adjustRightInd w:val="0"/>
              <w:snapToGrid w:val="0"/>
              <w:spacing w:line="240" w:lineRule="auto"/>
              <w:ind w:firstLine="0" w:firstLineChars="0"/>
              <w:jc w:val="center"/>
              <w:rPr>
                <w:rFonts w:ascii="宋体" w:hAnsi="宋体"/>
                <w:sz w:val="18"/>
                <w:szCs w:val="18"/>
              </w:rPr>
            </w:pPr>
            <w:r>
              <w:rPr>
                <w:rFonts w:ascii="宋体" w:hAnsi="宋体"/>
                <w:sz w:val="18"/>
                <w:szCs w:val="18"/>
              </w:rPr>
              <w:t>4</w:t>
            </w:r>
          </w:p>
        </w:tc>
        <w:tc>
          <w:tcPr>
            <w:tcW w:w="1354" w:type="dxa"/>
            <w:vMerge w:val="restart"/>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登山攀岩</w:t>
            </w:r>
          </w:p>
        </w:tc>
        <w:tc>
          <w:tcPr>
            <w:tcW w:w="153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百丈攀岩</w:t>
            </w:r>
          </w:p>
        </w:tc>
        <w:tc>
          <w:tcPr>
            <w:tcW w:w="247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百丈漈</w:t>
            </w:r>
          </w:p>
        </w:tc>
        <w:tc>
          <w:tcPr>
            <w:tcW w:w="1353"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1" w:hRule="atLeast"/>
          <w:jc w:val="center"/>
        </w:trPr>
        <w:tc>
          <w:tcPr>
            <w:tcW w:w="958"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528" w:type="dxa"/>
            <w:vAlign w:val="center"/>
          </w:tcPr>
          <w:p>
            <w:pPr>
              <w:adjustRightInd w:val="0"/>
              <w:snapToGrid w:val="0"/>
              <w:spacing w:line="240" w:lineRule="auto"/>
              <w:ind w:firstLine="0" w:firstLineChars="0"/>
              <w:jc w:val="center"/>
              <w:rPr>
                <w:rFonts w:ascii="宋体" w:hAnsi="宋体"/>
                <w:sz w:val="18"/>
                <w:szCs w:val="18"/>
              </w:rPr>
            </w:pPr>
            <w:r>
              <w:rPr>
                <w:rFonts w:ascii="宋体" w:hAnsi="宋体"/>
                <w:sz w:val="18"/>
                <w:szCs w:val="18"/>
              </w:rPr>
              <w:t>5</w:t>
            </w:r>
          </w:p>
        </w:tc>
        <w:tc>
          <w:tcPr>
            <w:tcW w:w="1354"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153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探险攀岩</w:t>
            </w:r>
          </w:p>
        </w:tc>
        <w:tc>
          <w:tcPr>
            <w:tcW w:w="247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岩门大峡谷</w:t>
            </w:r>
          </w:p>
        </w:tc>
        <w:tc>
          <w:tcPr>
            <w:tcW w:w="1353"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0" w:hRule="atLeast"/>
          <w:jc w:val="center"/>
        </w:trPr>
        <w:tc>
          <w:tcPr>
            <w:tcW w:w="958" w:type="dxa"/>
            <w:vMerge w:val="restart"/>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审美</w:t>
            </w:r>
          </w:p>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欣赏</w:t>
            </w:r>
          </w:p>
        </w:tc>
        <w:tc>
          <w:tcPr>
            <w:tcW w:w="528" w:type="dxa"/>
            <w:vAlign w:val="center"/>
          </w:tcPr>
          <w:p>
            <w:pPr>
              <w:adjustRightInd w:val="0"/>
              <w:snapToGrid w:val="0"/>
              <w:spacing w:line="240" w:lineRule="auto"/>
              <w:ind w:firstLine="0" w:firstLineChars="0"/>
              <w:jc w:val="center"/>
              <w:rPr>
                <w:rFonts w:ascii="宋体" w:hAnsi="宋体"/>
                <w:sz w:val="18"/>
                <w:szCs w:val="18"/>
              </w:rPr>
            </w:pPr>
            <w:r>
              <w:rPr>
                <w:rFonts w:ascii="宋体" w:hAnsi="宋体"/>
                <w:sz w:val="18"/>
                <w:szCs w:val="18"/>
              </w:rPr>
              <w:t>6</w:t>
            </w:r>
          </w:p>
        </w:tc>
        <w:tc>
          <w:tcPr>
            <w:tcW w:w="1354"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揽胜</w:t>
            </w:r>
          </w:p>
        </w:tc>
        <w:tc>
          <w:tcPr>
            <w:tcW w:w="153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观光揽胜</w:t>
            </w:r>
          </w:p>
        </w:tc>
        <w:tc>
          <w:tcPr>
            <w:tcW w:w="247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各大景区</w:t>
            </w:r>
          </w:p>
        </w:tc>
        <w:tc>
          <w:tcPr>
            <w:tcW w:w="1353"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近、远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1" w:hRule="atLeast"/>
          <w:jc w:val="center"/>
        </w:trPr>
        <w:tc>
          <w:tcPr>
            <w:tcW w:w="958"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528" w:type="dxa"/>
            <w:vAlign w:val="center"/>
          </w:tcPr>
          <w:p>
            <w:pPr>
              <w:adjustRightInd w:val="0"/>
              <w:snapToGrid w:val="0"/>
              <w:spacing w:line="240" w:lineRule="auto"/>
              <w:ind w:firstLine="0" w:firstLineChars="0"/>
              <w:jc w:val="center"/>
              <w:rPr>
                <w:rFonts w:ascii="宋体" w:hAnsi="宋体"/>
                <w:sz w:val="18"/>
                <w:szCs w:val="18"/>
              </w:rPr>
            </w:pPr>
            <w:r>
              <w:rPr>
                <w:rFonts w:ascii="宋体" w:hAnsi="宋体"/>
                <w:sz w:val="18"/>
                <w:szCs w:val="18"/>
              </w:rPr>
              <w:t>7</w:t>
            </w:r>
          </w:p>
        </w:tc>
        <w:tc>
          <w:tcPr>
            <w:tcW w:w="1354"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访古</w:t>
            </w:r>
          </w:p>
        </w:tc>
        <w:tc>
          <w:tcPr>
            <w:tcW w:w="153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寄情访古</w:t>
            </w:r>
          </w:p>
        </w:tc>
        <w:tc>
          <w:tcPr>
            <w:tcW w:w="247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刘基故里</w:t>
            </w:r>
          </w:p>
        </w:tc>
        <w:tc>
          <w:tcPr>
            <w:tcW w:w="1353"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1" w:hRule="atLeast"/>
          <w:jc w:val="center"/>
        </w:trPr>
        <w:tc>
          <w:tcPr>
            <w:tcW w:w="958"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528" w:type="dxa"/>
            <w:vAlign w:val="center"/>
          </w:tcPr>
          <w:p>
            <w:pPr>
              <w:adjustRightInd w:val="0"/>
              <w:snapToGrid w:val="0"/>
              <w:spacing w:line="240" w:lineRule="auto"/>
              <w:ind w:firstLine="0" w:firstLineChars="0"/>
              <w:jc w:val="center"/>
              <w:rPr>
                <w:rFonts w:ascii="宋体" w:hAnsi="宋体"/>
                <w:sz w:val="18"/>
                <w:szCs w:val="18"/>
              </w:rPr>
            </w:pPr>
            <w:r>
              <w:rPr>
                <w:rFonts w:ascii="宋体" w:hAnsi="宋体"/>
                <w:sz w:val="18"/>
                <w:szCs w:val="18"/>
              </w:rPr>
              <w:t>8</w:t>
            </w:r>
          </w:p>
        </w:tc>
        <w:tc>
          <w:tcPr>
            <w:tcW w:w="1354"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寻幽</w:t>
            </w:r>
          </w:p>
        </w:tc>
        <w:tc>
          <w:tcPr>
            <w:tcW w:w="153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峡谷寻幽</w:t>
            </w:r>
          </w:p>
        </w:tc>
        <w:tc>
          <w:tcPr>
            <w:tcW w:w="247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峡谷景廊</w:t>
            </w:r>
          </w:p>
        </w:tc>
        <w:tc>
          <w:tcPr>
            <w:tcW w:w="1353"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1" w:hRule="atLeast"/>
          <w:jc w:val="center"/>
        </w:trPr>
        <w:tc>
          <w:tcPr>
            <w:tcW w:w="958"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528" w:type="dxa"/>
            <w:vAlign w:val="center"/>
          </w:tcPr>
          <w:p>
            <w:pPr>
              <w:adjustRightInd w:val="0"/>
              <w:snapToGrid w:val="0"/>
              <w:spacing w:line="240" w:lineRule="auto"/>
              <w:ind w:firstLine="0" w:firstLineChars="0"/>
              <w:jc w:val="center"/>
              <w:rPr>
                <w:rFonts w:ascii="宋体" w:hAnsi="宋体"/>
                <w:sz w:val="18"/>
                <w:szCs w:val="18"/>
              </w:rPr>
            </w:pPr>
            <w:r>
              <w:rPr>
                <w:rFonts w:ascii="宋体" w:hAnsi="宋体"/>
                <w:sz w:val="18"/>
                <w:szCs w:val="18"/>
              </w:rPr>
              <w:t>9</w:t>
            </w:r>
          </w:p>
        </w:tc>
        <w:tc>
          <w:tcPr>
            <w:tcW w:w="1354"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创作摄影</w:t>
            </w:r>
          </w:p>
        </w:tc>
        <w:tc>
          <w:tcPr>
            <w:tcW w:w="153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山水采风</w:t>
            </w:r>
          </w:p>
        </w:tc>
        <w:tc>
          <w:tcPr>
            <w:tcW w:w="247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各大景区</w:t>
            </w:r>
          </w:p>
        </w:tc>
        <w:tc>
          <w:tcPr>
            <w:tcW w:w="1353"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近、远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6" w:hRule="atLeast"/>
          <w:jc w:val="center"/>
        </w:trPr>
        <w:tc>
          <w:tcPr>
            <w:tcW w:w="958" w:type="dxa"/>
            <w:vMerge w:val="restart"/>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科技</w:t>
            </w:r>
          </w:p>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教育</w:t>
            </w:r>
          </w:p>
        </w:tc>
        <w:tc>
          <w:tcPr>
            <w:tcW w:w="528" w:type="dxa"/>
            <w:vAlign w:val="center"/>
          </w:tcPr>
          <w:p>
            <w:pPr>
              <w:adjustRightInd w:val="0"/>
              <w:snapToGrid w:val="0"/>
              <w:spacing w:line="240" w:lineRule="auto"/>
              <w:ind w:firstLine="0" w:firstLineChars="0"/>
              <w:jc w:val="center"/>
              <w:rPr>
                <w:rFonts w:ascii="宋体" w:hAnsi="宋体"/>
                <w:sz w:val="18"/>
                <w:szCs w:val="18"/>
              </w:rPr>
            </w:pPr>
            <w:r>
              <w:rPr>
                <w:rFonts w:ascii="宋体" w:hAnsi="宋体"/>
                <w:sz w:val="18"/>
                <w:szCs w:val="18"/>
              </w:rPr>
              <w:t>10</w:t>
            </w:r>
          </w:p>
        </w:tc>
        <w:tc>
          <w:tcPr>
            <w:tcW w:w="1354"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考察</w:t>
            </w:r>
          </w:p>
        </w:tc>
        <w:tc>
          <w:tcPr>
            <w:tcW w:w="153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地质考察</w:t>
            </w:r>
          </w:p>
        </w:tc>
        <w:tc>
          <w:tcPr>
            <w:tcW w:w="247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岩门大峡谷</w:t>
            </w:r>
          </w:p>
        </w:tc>
        <w:tc>
          <w:tcPr>
            <w:tcW w:w="1353"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1" w:hRule="atLeast"/>
          <w:jc w:val="center"/>
        </w:trPr>
        <w:tc>
          <w:tcPr>
            <w:tcW w:w="958"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528" w:type="dxa"/>
            <w:vAlign w:val="center"/>
          </w:tcPr>
          <w:p>
            <w:pPr>
              <w:adjustRightInd w:val="0"/>
              <w:snapToGrid w:val="0"/>
              <w:spacing w:line="240" w:lineRule="auto"/>
              <w:ind w:firstLine="0" w:firstLineChars="0"/>
              <w:jc w:val="center"/>
              <w:rPr>
                <w:rFonts w:ascii="宋体" w:hAnsi="宋体"/>
                <w:sz w:val="18"/>
                <w:szCs w:val="18"/>
              </w:rPr>
            </w:pPr>
            <w:r>
              <w:rPr>
                <w:rFonts w:ascii="宋体" w:hAnsi="宋体"/>
                <w:sz w:val="18"/>
                <w:szCs w:val="18"/>
              </w:rPr>
              <w:t>11</w:t>
            </w:r>
          </w:p>
        </w:tc>
        <w:tc>
          <w:tcPr>
            <w:tcW w:w="1354"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探胜探险</w:t>
            </w:r>
          </w:p>
        </w:tc>
        <w:tc>
          <w:tcPr>
            <w:tcW w:w="153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峡谷探险</w:t>
            </w:r>
          </w:p>
        </w:tc>
        <w:tc>
          <w:tcPr>
            <w:tcW w:w="247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岩门大峡谷</w:t>
            </w:r>
          </w:p>
        </w:tc>
        <w:tc>
          <w:tcPr>
            <w:tcW w:w="1353"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3" w:hRule="atLeast"/>
          <w:jc w:val="center"/>
        </w:trPr>
        <w:tc>
          <w:tcPr>
            <w:tcW w:w="958"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528" w:type="dxa"/>
            <w:vAlign w:val="center"/>
          </w:tcPr>
          <w:p>
            <w:pPr>
              <w:adjustRightInd w:val="0"/>
              <w:snapToGrid w:val="0"/>
              <w:spacing w:line="240" w:lineRule="auto"/>
              <w:ind w:firstLine="0" w:firstLineChars="0"/>
              <w:jc w:val="center"/>
              <w:rPr>
                <w:rFonts w:ascii="宋体" w:hAnsi="宋体"/>
                <w:sz w:val="18"/>
                <w:szCs w:val="18"/>
              </w:rPr>
            </w:pPr>
            <w:r>
              <w:rPr>
                <w:rFonts w:ascii="宋体" w:hAnsi="宋体"/>
                <w:sz w:val="18"/>
                <w:szCs w:val="18"/>
              </w:rPr>
              <w:t>12</w:t>
            </w:r>
          </w:p>
        </w:tc>
        <w:tc>
          <w:tcPr>
            <w:tcW w:w="1354"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教育</w:t>
            </w:r>
          </w:p>
        </w:tc>
        <w:tc>
          <w:tcPr>
            <w:tcW w:w="153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历史教育</w:t>
            </w:r>
          </w:p>
        </w:tc>
        <w:tc>
          <w:tcPr>
            <w:tcW w:w="247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刘基故里</w:t>
            </w:r>
          </w:p>
        </w:tc>
        <w:tc>
          <w:tcPr>
            <w:tcW w:w="1353"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6" w:hRule="atLeast"/>
          <w:jc w:val="center"/>
        </w:trPr>
        <w:tc>
          <w:tcPr>
            <w:tcW w:w="958" w:type="dxa"/>
            <w:vMerge w:val="restart"/>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娱乐</w:t>
            </w:r>
          </w:p>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体育</w:t>
            </w:r>
          </w:p>
        </w:tc>
        <w:tc>
          <w:tcPr>
            <w:tcW w:w="528" w:type="dxa"/>
            <w:vAlign w:val="center"/>
          </w:tcPr>
          <w:p>
            <w:pPr>
              <w:adjustRightInd w:val="0"/>
              <w:snapToGrid w:val="0"/>
              <w:spacing w:line="240" w:lineRule="auto"/>
              <w:ind w:firstLine="0" w:firstLineChars="0"/>
              <w:jc w:val="center"/>
              <w:rPr>
                <w:rFonts w:ascii="宋体" w:hAnsi="宋体"/>
                <w:sz w:val="18"/>
                <w:szCs w:val="18"/>
              </w:rPr>
            </w:pPr>
            <w:r>
              <w:rPr>
                <w:rFonts w:ascii="宋体" w:hAnsi="宋体"/>
                <w:sz w:val="18"/>
                <w:szCs w:val="18"/>
              </w:rPr>
              <w:t>14</w:t>
            </w:r>
          </w:p>
        </w:tc>
        <w:tc>
          <w:tcPr>
            <w:tcW w:w="1354" w:type="dxa"/>
            <w:vMerge w:val="restart"/>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水上运动</w:t>
            </w:r>
          </w:p>
        </w:tc>
        <w:tc>
          <w:tcPr>
            <w:tcW w:w="153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游泳</w:t>
            </w:r>
          </w:p>
        </w:tc>
        <w:tc>
          <w:tcPr>
            <w:tcW w:w="247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天顶湖</w:t>
            </w:r>
          </w:p>
        </w:tc>
        <w:tc>
          <w:tcPr>
            <w:tcW w:w="1353"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1" w:hRule="atLeast"/>
          <w:jc w:val="center"/>
        </w:trPr>
        <w:tc>
          <w:tcPr>
            <w:tcW w:w="958"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528" w:type="dxa"/>
            <w:vAlign w:val="center"/>
          </w:tcPr>
          <w:p>
            <w:pPr>
              <w:adjustRightInd w:val="0"/>
              <w:snapToGrid w:val="0"/>
              <w:spacing w:line="240" w:lineRule="auto"/>
              <w:ind w:firstLine="0" w:firstLineChars="0"/>
              <w:jc w:val="center"/>
              <w:rPr>
                <w:rFonts w:ascii="宋体" w:hAnsi="宋体"/>
                <w:sz w:val="18"/>
                <w:szCs w:val="18"/>
              </w:rPr>
            </w:pPr>
            <w:r>
              <w:rPr>
                <w:rFonts w:ascii="宋体" w:hAnsi="宋体"/>
                <w:sz w:val="18"/>
                <w:szCs w:val="18"/>
              </w:rPr>
              <w:t>15</w:t>
            </w:r>
          </w:p>
        </w:tc>
        <w:tc>
          <w:tcPr>
            <w:tcW w:w="1354"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153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划船、快艇</w:t>
            </w:r>
          </w:p>
        </w:tc>
        <w:tc>
          <w:tcPr>
            <w:tcW w:w="247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飞云湖、天顶湖</w:t>
            </w:r>
          </w:p>
        </w:tc>
        <w:tc>
          <w:tcPr>
            <w:tcW w:w="1353"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1" w:hRule="atLeast"/>
          <w:jc w:val="center"/>
        </w:trPr>
        <w:tc>
          <w:tcPr>
            <w:tcW w:w="958"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528" w:type="dxa"/>
            <w:vAlign w:val="center"/>
          </w:tcPr>
          <w:p>
            <w:pPr>
              <w:adjustRightInd w:val="0"/>
              <w:snapToGrid w:val="0"/>
              <w:spacing w:line="240" w:lineRule="auto"/>
              <w:ind w:firstLine="0" w:firstLineChars="0"/>
              <w:jc w:val="center"/>
              <w:rPr>
                <w:rFonts w:ascii="宋体" w:hAnsi="宋体"/>
                <w:sz w:val="18"/>
                <w:szCs w:val="18"/>
              </w:rPr>
            </w:pPr>
            <w:r>
              <w:rPr>
                <w:rFonts w:ascii="宋体" w:hAnsi="宋体"/>
                <w:sz w:val="18"/>
                <w:szCs w:val="18"/>
              </w:rPr>
              <w:t>16</w:t>
            </w:r>
          </w:p>
        </w:tc>
        <w:tc>
          <w:tcPr>
            <w:tcW w:w="1354"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153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滑水</w:t>
            </w:r>
          </w:p>
        </w:tc>
        <w:tc>
          <w:tcPr>
            <w:tcW w:w="247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飞云湖、龙麒源</w:t>
            </w:r>
          </w:p>
        </w:tc>
        <w:tc>
          <w:tcPr>
            <w:tcW w:w="1353"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近、远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1" w:hRule="atLeast"/>
          <w:jc w:val="center"/>
        </w:trPr>
        <w:tc>
          <w:tcPr>
            <w:tcW w:w="958"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528" w:type="dxa"/>
            <w:vAlign w:val="center"/>
          </w:tcPr>
          <w:p>
            <w:pPr>
              <w:adjustRightInd w:val="0"/>
              <w:snapToGrid w:val="0"/>
              <w:spacing w:line="240" w:lineRule="auto"/>
              <w:ind w:firstLine="0" w:firstLineChars="0"/>
              <w:jc w:val="center"/>
              <w:rPr>
                <w:rFonts w:ascii="宋体" w:hAnsi="宋体"/>
                <w:sz w:val="18"/>
                <w:szCs w:val="18"/>
              </w:rPr>
            </w:pPr>
            <w:r>
              <w:rPr>
                <w:rFonts w:ascii="宋体" w:hAnsi="宋体"/>
                <w:sz w:val="18"/>
                <w:szCs w:val="18"/>
              </w:rPr>
              <w:t>17</w:t>
            </w:r>
          </w:p>
        </w:tc>
        <w:tc>
          <w:tcPr>
            <w:tcW w:w="1354"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153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潜水</w:t>
            </w:r>
          </w:p>
        </w:tc>
        <w:tc>
          <w:tcPr>
            <w:tcW w:w="247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飞云湖</w:t>
            </w:r>
          </w:p>
        </w:tc>
        <w:tc>
          <w:tcPr>
            <w:tcW w:w="1353"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1" w:hRule="atLeast"/>
          <w:jc w:val="center"/>
        </w:trPr>
        <w:tc>
          <w:tcPr>
            <w:tcW w:w="958"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528" w:type="dxa"/>
            <w:vAlign w:val="center"/>
          </w:tcPr>
          <w:p>
            <w:pPr>
              <w:adjustRightInd w:val="0"/>
              <w:snapToGrid w:val="0"/>
              <w:spacing w:line="240" w:lineRule="auto"/>
              <w:ind w:firstLine="0" w:firstLineChars="0"/>
              <w:jc w:val="center"/>
              <w:rPr>
                <w:rFonts w:ascii="宋体" w:hAnsi="宋体"/>
                <w:sz w:val="18"/>
                <w:szCs w:val="18"/>
              </w:rPr>
            </w:pPr>
            <w:r>
              <w:rPr>
                <w:rFonts w:ascii="宋体" w:hAnsi="宋体"/>
                <w:sz w:val="18"/>
                <w:szCs w:val="18"/>
              </w:rPr>
              <w:t>18</w:t>
            </w:r>
          </w:p>
        </w:tc>
        <w:tc>
          <w:tcPr>
            <w:tcW w:w="1354"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153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快艇拖曳跳伞</w:t>
            </w:r>
          </w:p>
        </w:tc>
        <w:tc>
          <w:tcPr>
            <w:tcW w:w="247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飞云湖</w:t>
            </w:r>
          </w:p>
        </w:tc>
        <w:tc>
          <w:tcPr>
            <w:tcW w:w="1353"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1" w:hRule="atLeast"/>
          <w:jc w:val="center"/>
        </w:trPr>
        <w:tc>
          <w:tcPr>
            <w:tcW w:w="958"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528" w:type="dxa"/>
            <w:vAlign w:val="center"/>
          </w:tcPr>
          <w:p>
            <w:pPr>
              <w:adjustRightInd w:val="0"/>
              <w:snapToGrid w:val="0"/>
              <w:spacing w:line="240" w:lineRule="auto"/>
              <w:ind w:firstLine="0" w:firstLineChars="0"/>
              <w:jc w:val="center"/>
              <w:rPr>
                <w:rFonts w:ascii="宋体" w:hAnsi="宋体"/>
                <w:sz w:val="18"/>
                <w:szCs w:val="18"/>
              </w:rPr>
            </w:pPr>
            <w:r>
              <w:rPr>
                <w:rFonts w:ascii="宋体" w:hAnsi="宋体"/>
                <w:sz w:val="18"/>
                <w:szCs w:val="18"/>
              </w:rPr>
              <w:t>19</w:t>
            </w:r>
          </w:p>
        </w:tc>
        <w:tc>
          <w:tcPr>
            <w:tcW w:w="1354" w:type="dxa"/>
            <w:vMerge w:val="restart"/>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体育健身</w:t>
            </w:r>
          </w:p>
        </w:tc>
        <w:tc>
          <w:tcPr>
            <w:tcW w:w="153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跑步</w:t>
            </w:r>
          </w:p>
        </w:tc>
        <w:tc>
          <w:tcPr>
            <w:tcW w:w="247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天顶湖</w:t>
            </w:r>
          </w:p>
        </w:tc>
        <w:tc>
          <w:tcPr>
            <w:tcW w:w="1353"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1" w:hRule="atLeast"/>
          <w:jc w:val="center"/>
        </w:trPr>
        <w:tc>
          <w:tcPr>
            <w:tcW w:w="958"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528" w:type="dxa"/>
            <w:vAlign w:val="center"/>
          </w:tcPr>
          <w:p>
            <w:pPr>
              <w:adjustRightInd w:val="0"/>
              <w:snapToGrid w:val="0"/>
              <w:spacing w:line="240" w:lineRule="auto"/>
              <w:ind w:firstLine="0" w:firstLineChars="0"/>
              <w:jc w:val="center"/>
              <w:rPr>
                <w:rFonts w:ascii="宋体" w:hAnsi="宋体"/>
                <w:sz w:val="18"/>
                <w:szCs w:val="18"/>
              </w:rPr>
            </w:pPr>
            <w:r>
              <w:rPr>
                <w:rFonts w:ascii="宋体" w:hAnsi="宋体"/>
                <w:sz w:val="18"/>
                <w:szCs w:val="18"/>
              </w:rPr>
              <w:t>20</w:t>
            </w:r>
          </w:p>
        </w:tc>
        <w:tc>
          <w:tcPr>
            <w:tcW w:w="1354"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153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射箭</w:t>
            </w:r>
          </w:p>
        </w:tc>
        <w:tc>
          <w:tcPr>
            <w:tcW w:w="247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飞云湖</w:t>
            </w:r>
          </w:p>
        </w:tc>
        <w:tc>
          <w:tcPr>
            <w:tcW w:w="1353"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1" w:hRule="atLeast"/>
          <w:jc w:val="center"/>
        </w:trPr>
        <w:tc>
          <w:tcPr>
            <w:tcW w:w="958"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528" w:type="dxa"/>
            <w:vAlign w:val="center"/>
          </w:tcPr>
          <w:p>
            <w:pPr>
              <w:adjustRightInd w:val="0"/>
              <w:snapToGrid w:val="0"/>
              <w:spacing w:line="240" w:lineRule="auto"/>
              <w:ind w:firstLine="0" w:firstLineChars="0"/>
              <w:jc w:val="center"/>
              <w:rPr>
                <w:rFonts w:ascii="宋体" w:hAnsi="宋体"/>
                <w:sz w:val="18"/>
                <w:szCs w:val="18"/>
              </w:rPr>
            </w:pPr>
            <w:r>
              <w:rPr>
                <w:rFonts w:ascii="宋体" w:hAnsi="宋体"/>
                <w:sz w:val="18"/>
                <w:szCs w:val="18"/>
              </w:rPr>
              <w:t>21</w:t>
            </w:r>
          </w:p>
        </w:tc>
        <w:tc>
          <w:tcPr>
            <w:tcW w:w="1354" w:type="dxa"/>
            <w:vMerge w:val="restart"/>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游戏娱乐</w:t>
            </w:r>
          </w:p>
        </w:tc>
        <w:tc>
          <w:tcPr>
            <w:tcW w:w="153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滑草</w:t>
            </w:r>
          </w:p>
        </w:tc>
        <w:tc>
          <w:tcPr>
            <w:tcW w:w="247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天顶湖</w:t>
            </w:r>
          </w:p>
        </w:tc>
        <w:tc>
          <w:tcPr>
            <w:tcW w:w="1353"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1" w:hRule="atLeast"/>
          <w:jc w:val="center"/>
        </w:trPr>
        <w:tc>
          <w:tcPr>
            <w:tcW w:w="958"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528" w:type="dxa"/>
            <w:vAlign w:val="center"/>
          </w:tcPr>
          <w:p>
            <w:pPr>
              <w:adjustRightInd w:val="0"/>
              <w:snapToGrid w:val="0"/>
              <w:spacing w:line="240" w:lineRule="auto"/>
              <w:ind w:firstLine="0" w:firstLineChars="0"/>
              <w:jc w:val="center"/>
              <w:rPr>
                <w:rFonts w:ascii="宋体" w:hAnsi="宋体"/>
                <w:sz w:val="18"/>
                <w:szCs w:val="18"/>
              </w:rPr>
            </w:pPr>
            <w:r>
              <w:rPr>
                <w:rFonts w:ascii="宋体" w:hAnsi="宋体"/>
                <w:sz w:val="18"/>
                <w:szCs w:val="18"/>
              </w:rPr>
              <w:t>22</w:t>
            </w:r>
          </w:p>
        </w:tc>
        <w:tc>
          <w:tcPr>
            <w:tcW w:w="1354"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153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热气球</w:t>
            </w:r>
          </w:p>
        </w:tc>
        <w:tc>
          <w:tcPr>
            <w:tcW w:w="247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天顶湖</w:t>
            </w:r>
          </w:p>
        </w:tc>
        <w:tc>
          <w:tcPr>
            <w:tcW w:w="1353"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1" w:hRule="atLeast"/>
          <w:jc w:val="center"/>
        </w:trPr>
        <w:tc>
          <w:tcPr>
            <w:tcW w:w="958"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528" w:type="dxa"/>
            <w:vAlign w:val="center"/>
          </w:tcPr>
          <w:p>
            <w:pPr>
              <w:adjustRightInd w:val="0"/>
              <w:snapToGrid w:val="0"/>
              <w:spacing w:line="240" w:lineRule="auto"/>
              <w:ind w:firstLine="0" w:firstLineChars="0"/>
              <w:jc w:val="center"/>
              <w:rPr>
                <w:rFonts w:ascii="宋体" w:hAnsi="宋体"/>
                <w:sz w:val="18"/>
                <w:szCs w:val="18"/>
              </w:rPr>
            </w:pPr>
            <w:r>
              <w:rPr>
                <w:rFonts w:ascii="宋体" w:hAnsi="宋体"/>
                <w:sz w:val="18"/>
                <w:szCs w:val="18"/>
              </w:rPr>
              <w:t>23</w:t>
            </w:r>
          </w:p>
        </w:tc>
        <w:tc>
          <w:tcPr>
            <w:tcW w:w="1354"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153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篝火晚会</w:t>
            </w:r>
          </w:p>
        </w:tc>
        <w:tc>
          <w:tcPr>
            <w:tcW w:w="247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天顶湖</w:t>
            </w:r>
          </w:p>
        </w:tc>
        <w:tc>
          <w:tcPr>
            <w:tcW w:w="1353"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0" w:hRule="atLeast"/>
          <w:jc w:val="center"/>
        </w:trPr>
        <w:tc>
          <w:tcPr>
            <w:tcW w:w="958" w:type="dxa"/>
            <w:vMerge w:val="restart"/>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休养</w:t>
            </w:r>
          </w:p>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保健</w:t>
            </w:r>
          </w:p>
        </w:tc>
        <w:tc>
          <w:tcPr>
            <w:tcW w:w="528" w:type="dxa"/>
            <w:vAlign w:val="center"/>
          </w:tcPr>
          <w:p>
            <w:pPr>
              <w:adjustRightInd w:val="0"/>
              <w:snapToGrid w:val="0"/>
              <w:spacing w:line="240" w:lineRule="auto"/>
              <w:ind w:firstLine="0" w:firstLineChars="0"/>
              <w:jc w:val="center"/>
              <w:rPr>
                <w:rFonts w:ascii="宋体" w:hAnsi="宋体"/>
                <w:sz w:val="18"/>
                <w:szCs w:val="18"/>
              </w:rPr>
            </w:pPr>
            <w:r>
              <w:rPr>
                <w:rFonts w:ascii="宋体" w:hAnsi="宋体"/>
                <w:sz w:val="18"/>
                <w:szCs w:val="18"/>
              </w:rPr>
              <w:t>24</w:t>
            </w:r>
          </w:p>
        </w:tc>
        <w:tc>
          <w:tcPr>
            <w:tcW w:w="1354"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避暑</w:t>
            </w:r>
          </w:p>
        </w:tc>
        <w:tc>
          <w:tcPr>
            <w:tcW w:w="153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避暑度假</w:t>
            </w:r>
          </w:p>
        </w:tc>
        <w:tc>
          <w:tcPr>
            <w:tcW w:w="247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天顶湖</w:t>
            </w:r>
          </w:p>
        </w:tc>
        <w:tc>
          <w:tcPr>
            <w:tcW w:w="1353"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1" w:hRule="atLeast"/>
          <w:jc w:val="center"/>
        </w:trPr>
        <w:tc>
          <w:tcPr>
            <w:tcW w:w="958"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528" w:type="dxa"/>
            <w:vAlign w:val="center"/>
          </w:tcPr>
          <w:p>
            <w:pPr>
              <w:adjustRightInd w:val="0"/>
              <w:snapToGrid w:val="0"/>
              <w:spacing w:line="240" w:lineRule="auto"/>
              <w:ind w:firstLine="0" w:firstLineChars="0"/>
              <w:jc w:val="center"/>
              <w:rPr>
                <w:rFonts w:ascii="宋体" w:hAnsi="宋体"/>
                <w:sz w:val="18"/>
                <w:szCs w:val="18"/>
              </w:rPr>
            </w:pPr>
            <w:r>
              <w:rPr>
                <w:rFonts w:ascii="宋体" w:hAnsi="宋体"/>
                <w:sz w:val="18"/>
                <w:szCs w:val="18"/>
              </w:rPr>
              <w:t>25</w:t>
            </w:r>
          </w:p>
        </w:tc>
        <w:tc>
          <w:tcPr>
            <w:tcW w:w="1354"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森林浴</w:t>
            </w:r>
          </w:p>
        </w:tc>
        <w:tc>
          <w:tcPr>
            <w:tcW w:w="153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天顶湖</w:t>
            </w:r>
          </w:p>
        </w:tc>
        <w:tc>
          <w:tcPr>
            <w:tcW w:w="247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岩门大峡谷</w:t>
            </w:r>
          </w:p>
        </w:tc>
        <w:tc>
          <w:tcPr>
            <w:tcW w:w="1353"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1" w:hRule="atLeast"/>
          <w:jc w:val="center"/>
        </w:trPr>
        <w:tc>
          <w:tcPr>
            <w:tcW w:w="958"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528" w:type="dxa"/>
            <w:vAlign w:val="center"/>
          </w:tcPr>
          <w:p>
            <w:pPr>
              <w:adjustRightInd w:val="0"/>
              <w:snapToGrid w:val="0"/>
              <w:spacing w:line="240" w:lineRule="auto"/>
              <w:ind w:firstLine="0" w:firstLineChars="0"/>
              <w:jc w:val="center"/>
              <w:rPr>
                <w:rFonts w:ascii="宋体" w:hAnsi="宋体"/>
                <w:sz w:val="18"/>
                <w:szCs w:val="18"/>
              </w:rPr>
            </w:pPr>
            <w:r>
              <w:rPr>
                <w:rFonts w:ascii="宋体" w:hAnsi="宋体"/>
                <w:sz w:val="18"/>
                <w:szCs w:val="18"/>
              </w:rPr>
              <w:t>26</w:t>
            </w:r>
          </w:p>
        </w:tc>
        <w:tc>
          <w:tcPr>
            <w:tcW w:w="1354"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野营露营</w:t>
            </w:r>
          </w:p>
        </w:tc>
        <w:tc>
          <w:tcPr>
            <w:tcW w:w="153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天顶湖</w:t>
            </w:r>
          </w:p>
        </w:tc>
        <w:tc>
          <w:tcPr>
            <w:tcW w:w="247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天顶湖</w:t>
            </w:r>
          </w:p>
        </w:tc>
        <w:tc>
          <w:tcPr>
            <w:tcW w:w="1353"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6" w:hRule="atLeast"/>
          <w:jc w:val="center"/>
        </w:trPr>
        <w:tc>
          <w:tcPr>
            <w:tcW w:w="958" w:type="dxa"/>
            <w:vMerge w:val="restart"/>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其它</w:t>
            </w:r>
          </w:p>
        </w:tc>
        <w:tc>
          <w:tcPr>
            <w:tcW w:w="528" w:type="dxa"/>
            <w:vAlign w:val="center"/>
          </w:tcPr>
          <w:p>
            <w:pPr>
              <w:adjustRightInd w:val="0"/>
              <w:snapToGrid w:val="0"/>
              <w:spacing w:line="240" w:lineRule="auto"/>
              <w:ind w:firstLine="0" w:firstLineChars="0"/>
              <w:jc w:val="center"/>
              <w:rPr>
                <w:rFonts w:ascii="宋体" w:hAnsi="宋体"/>
                <w:sz w:val="18"/>
                <w:szCs w:val="18"/>
              </w:rPr>
            </w:pPr>
            <w:r>
              <w:rPr>
                <w:rFonts w:ascii="宋体" w:hAnsi="宋体"/>
                <w:sz w:val="18"/>
                <w:szCs w:val="18"/>
              </w:rPr>
              <w:t>27</w:t>
            </w:r>
          </w:p>
        </w:tc>
        <w:tc>
          <w:tcPr>
            <w:tcW w:w="1354" w:type="dxa"/>
            <w:vMerge w:val="restart"/>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民俗节庆</w:t>
            </w:r>
          </w:p>
        </w:tc>
        <w:tc>
          <w:tcPr>
            <w:tcW w:w="153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畲族风情节</w:t>
            </w:r>
          </w:p>
        </w:tc>
        <w:tc>
          <w:tcPr>
            <w:tcW w:w="247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西坑</w:t>
            </w:r>
          </w:p>
        </w:tc>
        <w:tc>
          <w:tcPr>
            <w:tcW w:w="1353"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近、远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1" w:hRule="atLeast"/>
          <w:jc w:val="center"/>
        </w:trPr>
        <w:tc>
          <w:tcPr>
            <w:tcW w:w="958"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528" w:type="dxa"/>
            <w:vAlign w:val="center"/>
          </w:tcPr>
          <w:p>
            <w:pPr>
              <w:adjustRightInd w:val="0"/>
              <w:snapToGrid w:val="0"/>
              <w:spacing w:line="240" w:lineRule="auto"/>
              <w:ind w:firstLine="0" w:firstLineChars="0"/>
              <w:jc w:val="center"/>
              <w:rPr>
                <w:rFonts w:ascii="宋体" w:hAnsi="宋体"/>
                <w:sz w:val="18"/>
                <w:szCs w:val="18"/>
              </w:rPr>
            </w:pPr>
            <w:r>
              <w:rPr>
                <w:rFonts w:ascii="宋体" w:hAnsi="宋体"/>
                <w:sz w:val="18"/>
                <w:szCs w:val="18"/>
              </w:rPr>
              <w:t>28</w:t>
            </w:r>
          </w:p>
        </w:tc>
        <w:tc>
          <w:tcPr>
            <w:tcW w:w="1354"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153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智术文化节</w:t>
            </w:r>
          </w:p>
        </w:tc>
        <w:tc>
          <w:tcPr>
            <w:tcW w:w="247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刘基故里</w:t>
            </w:r>
          </w:p>
        </w:tc>
        <w:tc>
          <w:tcPr>
            <w:tcW w:w="1353"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1" w:hRule="atLeast"/>
          <w:jc w:val="center"/>
        </w:trPr>
        <w:tc>
          <w:tcPr>
            <w:tcW w:w="958"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528" w:type="dxa"/>
            <w:vAlign w:val="center"/>
          </w:tcPr>
          <w:p>
            <w:pPr>
              <w:adjustRightInd w:val="0"/>
              <w:snapToGrid w:val="0"/>
              <w:spacing w:line="240" w:lineRule="auto"/>
              <w:ind w:firstLine="0" w:firstLineChars="0"/>
              <w:jc w:val="center"/>
              <w:rPr>
                <w:rFonts w:ascii="宋体" w:hAnsi="宋体"/>
                <w:sz w:val="18"/>
                <w:szCs w:val="18"/>
              </w:rPr>
            </w:pPr>
            <w:r>
              <w:rPr>
                <w:rFonts w:ascii="宋体" w:hAnsi="宋体"/>
                <w:sz w:val="18"/>
                <w:szCs w:val="18"/>
              </w:rPr>
              <w:t>29</w:t>
            </w:r>
          </w:p>
        </w:tc>
        <w:tc>
          <w:tcPr>
            <w:tcW w:w="1354"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宗教礼仪</w:t>
            </w:r>
          </w:p>
        </w:tc>
        <w:tc>
          <w:tcPr>
            <w:tcW w:w="153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宗教礼仪</w:t>
            </w:r>
          </w:p>
        </w:tc>
        <w:tc>
          <w:tcPr>
            <w:tcW w:w="247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西坑、刘基故里、飞云湖</w:t>
            </w:r>
          </w:p>
        </w:tc>
        <w:tc>
          <w:tcPr>
            <w:tcW w:w="1353"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1" w:hRule="atLeast"/>
          <w:jc w:val="center"/>
        </w:trPr>
        <w:tc>
          <w:tcPr>
            <w:tcW w:w="958"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528" w:type="dxa"/>
            <w:vAlign w:val="center"/>
          </w:tcPr>
          <w:p>
            <w:pPr>
              <w:adjustRightInd w:val="0"/>
              <w:snapToGrid w:val="0"/>
              <w:spacing w:line="240" w:lineRule="auto"/>
              <w:ind w:firstLine="0" w:firstLineChars="0"/>
              <w:jc w:val="center"/>
              <w:rPr>
                <w:rFonts w:ascii="宋体" w:hAnsi="宋体"/>
                <w:sz w:val="18"/>
                <w:szCs w:val="18"/>
              </w:rPr>
            </w:pPr>
            <w:r>
              <w:rPr>
                <w:rFonts w:ascii="宋体" w:hAnsi="宋体"/>
                <w:sz w:val="18"/>
                <w:szCs w:val="18"/>
              </w:rPr>
              <w:t>30</w:t>
            </w:r>
          </w:p>
        </w:tc>
        <w:tc>
          <w:tcPr>
            <w:tcW w:w="1354"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购物商贸</w:t>
            </w:r>
          </w:p>
        </w:tc>
        <w:tc>
          <w:tcPr>
            <w:tcW w:w="153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民俗购物</w:t>
            </w:r>
          </w:p>
        </w:tc>
        <w:tc>
          <w:tcPr>
            <w:tcW w:w="2477"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西坑</w:t>
            </w:r>
          </w:p>
        </w:tc>
        <w:tc>
          <w:tcPr>
            <w:tcW w:w="1353"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近</w:t>
            </w:r>
          </w:p>
        </w:tc>
      </w:tr>
    </w:tbl>
    <w:p>
      <w:pPr>
        <w:pStyle w:val="4"/>
        <w:spacing w:before="163"/>
        <w:ind w:firstLine="360"/>
      </w:pPr>
      <w:r>
        <w:rPr>
          <w:rFonts w:hint="eastAsia"/>
        </w:rPr>
        <w:t>（一）特色游线组织</w:t>
      </w:r>
    </w:p>
    <w:p>
      <w:pPr>
        <w:spacing w:before="97" w:beforeLines="30"/>
        <w:ind w:firstLine="480"/>
        <w:rPr>
          <w:rFonts w:ascii="Calibri" w:hAnsi="宋体"/>
          <w:szCs w:val="22"/>
        </w:rPr>
      </w:pPr>
      <w:r>
        <w:rPr>
          <w:rFonts w:hint="eastAsia" w:ascii="Calibri" w:hAnsi="宋体"/>
          <w:szCs w:val="22"/>
        </w:rPr>
        <w:t>规划根据百丈漈－飞云湖的风景特色和分别状况，推出三条特色游线。</w:t>
      </w:r>
    </w:p>
    <w:p>
      <w:pPr>
        <w:spacing w:before="97" w:beforeLines="30"/>
        <w:ind w:firstLine="482"/>
        <w:rPr>
          <w:rFonts w:ascii="Calibri" w:hAnsi="宋体"/>
          <w:b/>
          <w:szCs w:val="22"/>
        </w:rPr>
      </w:pPr>
      <w:r>
        <w:rPr>
          <w:rFonts w:ascii="Calibri" w:hAnsi="宋体"/>
          <w:b/>
          <w:szCs w:val="22"/>
        </w:rPr>
        <w:t>1、飞瀑奇峰观光游</w:t>
      </w:r>
    </w:p>
    <w:p>
      <w:pPr>
        <w:spacing w:before="97" w:beforeLines="30"/>
        <w:ind w:firstLine="480"/>
        <w:rPr>
          <w:rFonts w:ascii="Calibri" w:hAnsi="宋体"/>
          <w:szCs w:val="22"/>
        </w:rPr>
      </w:pPr>
      <w:r>
        <w:rPr>
          <w:rFonts w:hint="eastAsia" w:ascii="Calibri" w:hAnsi="宋体"/>
          <w:szCs w:val="22"/>
        </w:rPr>
        <w:t>以峡谷景廊—百丈飞瀑—天顶湖—朱阳九峰等自然景观为主脉，以观瀑布、赏奇峰、游平湖为主要内容的游览路线。</w:t>
      </w:r>
    </w:p>
    <w:p>
      <w:pPr>
        <w:spacing w:before="97" w:beforeLines="30"/>
        <w:ind w:firstLine="482"/>
        <w:rPr>
          <w:rFonts w:ascii="Calibri" w:hAnsi="宋体"/>
          <w:b/>
          <w:szCs w:val="22"/>
        </w:rPr>
      </w:pPr>
      <w:r>
        <w:rPr>
          <w:rFonts w:ascii="Calibri" w:hAnsi="宋体"/>
          <w:b/>
          <w:szCs w:val="22"/>
        </w:rPr>
        <w:t>2、刘基文化体验游</w:t>
      </w:r>
    </w:p>
    <w:p>
      <w:pPr>
        <w:spacing w:before="97" w:beforeLines="30"/>
        <w:ind w:firstLine="480"/>
        <w:rPr>
          <w:rFonts w:ascii="Calibri" w:hAnsi="宋体"/>
          <w:szCs w:val="22"/>
        </w:rPr>
      </w:pPr>
      <w:r>
        <w:rPr>
          <w:rFonts w:hint="eastAsia" w:ascii="Calibri" w:hAnsi="宋体"/>
          <w:szCs w:val="22"/>
        </w:rPr>
        <w:t>以伯温故里—刘基庙墓—龙麒源—富相国祠—安福寺等人文景观为主脉，以开展刘基智慧文化活动为主要内容的游览路线。</w:t>
      </w:r>
    </w:p>
    <w:p>
      <w:pPr>
        <w:spacing w:before="97" w:beforeLines="30"/>
        <w:ind w:firstLine="482"/>
        <w:rPr>
          <w:rFonts w:ascii="Calibri" w:hAnsi="宋体"/>
          <w:b/>
          <w:szCs w:val="22"/>
        </w:rPr>
      </w:pPr>
      <w:r>
        <w:rPr>
          <w:rFonts w:ascii="Calibri" w:hAnsi="宋体"/>
          <w:b/>
          <w:szCs w:val="22"/>
        </w:rPr>
        <w:t>3、平湖奇峡观光游</w:t>
      </w:r>
    </w:p>
    <w:p>
      <w:pPr>
        <w:spacing w:before="97" w:beforeLines="30"/>
        <w:ind w:firstLine="480"/>
        <w:rPr>
          <w:rFonts w:ascii="Calibri" w:hAnsi="宋体"/>
          <w:szCs w:val="22"/>
        </w:rPr>
      </w:pPr>
      <w:r>
        <w:rPr>
          <w:rFonts w:hint="eastAsia" w:ascii="Calibri" w:hAnsi="宋体"/>
          <w:szCs w:val="22"/>
        </w:rPr>
        <w:t>以飞云湖—双龙—岩门大峡谷—铜铃山森林公园等自然景观为主脉，以游碧湖、观穴潭、探峡谷为主要内容的游览路线。</w:t>
      </w:r>
    </w:p>
    <w:p>
      <w:pPr>
        <w:spacing w:before="97" w:beforeLines="30"/>
        <w:ind w:firstLine="482"/>
        <w:rPr>
          <w:rFonts w:ascii="Calibri" w:hAnsi="宋体"/>
          <w:b/>
          <w:szCs w:val="22"/>
        </w:rPr>
      </w:pPr>
      <w:r>
        <w:rPr>
          <w:rFonts w:ascii="Calibri" w:hAnsi="宋体"/>
          <w:b/>
          <w:szCs w:val="22"/>
        </w:rPr>
        <w:t>4、森林公园康养游</w:t>
      </w:r>
    </w:p>
    <w:p>
      <w:pPr>
        <w:snapToGrid w:val="0"/>
        <w:spacing w:before="97" w:beforeLines="30"/>
        <w:ind w:firstLine="480"/>
        <w:rPr>
          <w:rFonts w:cs="宋体"/>
        </w:rPr>
      </w:pPr>
      <w:r>
        <w:rPr>
          <w:rFonts w:hint="eastAsia" w:cs="宋体"/>
        </w:rPr>
        <w:t>分两块区域，西北部以石垟森林公园和叶胜森林公园为主脉，南部以牛湾栏森林公园为主，形成一南一北两大游线。</w:t>
      </w:r>
    </w:p>
    <w:p>
      <w:pPr>
        <w:pStyle w:val="4"/>
        <w:snapToGrid/>
        <w:spacing w:before="163"/>
        <w:ind w:firstLine="360"/>
      </w:pPr>
      <w:r>
        <w:rPr>
          <w:rFonts w:hint="eastAsia"/>
        </w:rPr>
        <w:t>（二）游程安排</w:t>
      </w:r>
    </w:p>
    <w:p>
      <w:pPr>
        <w:snapToGrid w:val="0"/>
        <w:spacing w:before="97" w:beforeLines="30" w:line="360" w:lineRule="auto"/>
        <w:ind w:firstLine="482"/>
        <w:rPr>
          <w:rFonts w:ascii="Times New Roman" w:hAnsi="Times New Roman" w:cs="宋体"/>
          <w:b/>
          <w:szCs w:val="24"/>
        </w:rPr>
      </w:pPr>
      <w:r>
        <w:rPr>
          <w:rFonts w:ascii="Times New Roman" w:hAnsi="Times New Roman" w:cs="宋体"/>
          <w:b/>
          <w:szCs w:val="24"/>
        </w:rPr>
        <w:t>1、一日游线路</w:t>
      </w:r>
    </w:p>
    <w:p>
      <w:pPr>
        <w:snapToGrid w:val="0"/>
        <w:spacing w:before="97" w:beforeLines="30"/>
        <w:ind w:firstLine="480"/>
        <w:rPr>
          <w:rFonts w:cs="宋体"/>
        </w:rPr>
      </w:pPr>
      <w:r>
        <w:rPr>
          <w:rFonts w:hint="eastAsia" w:cs="宋体"/>
        </w:rPr>
        <w:t>百丈飞瀑—天顶湖—伯温故里—龙麒源—安福寺；</w:t>
      </w:r>
    </w:p>
    <w:p>
      <w:pPr>
        <w:snapToGrid w:val="0"/>
        <w:spacing w:before="97" w:beforeLines="30"/>
        <w:ind w:firstLine="480"/>
        <w:rPr>
          <w:rFonts w:cs="宋体"/>
        </w:rPr>
      </w:pPr>
      <w:r>
        <w:rPr>
          <w:rFonts w:hint="eastAsia" w:cs="宋体"/>
        </w:rPr>
        <w:t>百丈飞瀑—伯温故里—</w:t>
      </w:r>
      <w:r>
        <w:rPr>
          <w:rFonts w:hint="eastAsia" w:ascii="Calibri" w:hAnsi="宋体"/>
          <w:szCs w:val="22"/>
        </w:rPr>
        <w:t>铜铃山森林公园</w:t>
      </w:r>
      <w:r>
        <w:rPr>
          <w:rFonts w:hint="eastAsia" w:cs="宋体"/>
        </w:rPr>
        <w:t>—飞云湖；</w:t>
      </w:r>
    </w:p>
    <w:p>
      <w:pPr>
        <w:snapToGrid w:val="0"/>
        <w:spacing w:before="97" w:beforeLines="30"/>
        <w:ind w:firstLine="480"/>
        <w:rPr>
          <w:rFonts w:cs="宋体"/>
        </w:rPr>
      </w:pPr>
      <w:r>
        <w:rPr>
          <w:rFonts w:hint="eastAsia" w:cs="宋体"/>
        </w:rPr>
        <w:t>飞云湖—岩门大峡谷—</w:t>
      </w:r>
      <w:r>
        <w:rPr>
          <w:rFonts w:hint="eastAsia" w:ascii="Calibri" w:hAnsi="宋体"/>
          <w:szCs w:val="22"/>
        </w:rPr>
        <w:t>铜铃山森林公园</w:t>
      </w:r>
      <w:r>
        <w:rPr>
          <w:rFonts w:cs="宋体"/>
        </w:rPr>
        <w:t>—</w:t>
      </w:r>
      <w:r>
        <w:rPr>
          <w:rFonts w:hint="eastAsia" w:cs="宋体"/>
        </w:rPr>
        <w:t>安福寺。</w:t>
      </w:r>
    </w:p>
    <w:p>
      <w:pPr>
        <w:snapToGrid w:val="0"/>
        <w:spacing w:before="97" w:beforeLines="30" w:line="360" w:lineRule="auto"/>
        <w:ind w:firstLine="482"/>
        <w:rPr>
          <w:rFonts w:ascii="Times New Roman" w:hAnsi="Times New Roman" w:cs="宋体"/>
          <w:b/>
          <w:szCs w:val="24"/>
        </w:rPr>
      </w:pPr>
      <w:r>
        <w:rPr>
          <w:rFonts w:ascii="Times New Roman" w:hAnsi="Times New Roman" w:cs="宋体"/>
          <w:b/>
          <w:szCs w:val="24"/>
        </w:rPr>
        <w:t>2、二日游线路</w:t>
      </w:r>
    </w:p>
    <w:p>
      <w:pPr>
        <w:snapToGrid w:val="0"/>
        <w:spacing w:before="97" w:beforeLines="30"/>
        <w:ind w:firstLine="480"/>
        <w:rPr>
          <w:rFonts w:cs="宋体"/>
        </w:rPr>
      </w:pPr>
      <w:r>
        <w:rPr>
          <w:rFonts w:hint="eastAsia" w:cs="宋体"/>
        </w:rPr>
        <w:t>峡谷景廊—百丈飞瀑—天顶湖—朱阳九峰—伯温故里—龙麒源—安福寺。</w:t>
      </w:r>
    </w:p>
    <w:p>
      <w:pPr>
        <w:snapToGrid w:val="0"/>
        <w:spacing w:before="97" w:beforeLines="30"/>
        <w:ind w:firstLine="480"/>
        <w:rPr>
          <w:rFonts w:cs="宋体"/>
        </w:rPr>
      </w:pPr>
      <w:r>
        <w:rPr>
          <w:rFonts w:hint="eastAsia" w:cs="宋体"/>
        </w:rPr>
        <w:t>飞云湖—双龙—岩门大峡谷—铜铃山—安福寺—龙麒源—伯温故里。</w:t>
      </w:r>
    </w:p>
    <w:p>
      <w:pPr>
        <w:snapToGrid w:val="0"/>
        <w:spacing w:before="97" w:beforeLines="30"/>
        <w:ind w:firstLine="480"/>
        <w:rPr>
          <w:rFonts w:cs="宋体"/>
        </w:rPr>
      </w:pPr>
      <w:r>
        <w:rPr>
          <w:rFonts w:hint="eastAsia" w:cs="宋体"/>
        </w:rPr>
        <w:t>百丈飞瀑—天顶湖—伯温故里—龙麒源—安福寺—飞云湖—双龙—</w:t>
      </w:r>
      <w:r>
        <w:rPr>
          <w:rFonts w:hint="eastAsia" w:ascii="Calibri" w:hAnsi="宋体"/>
          <w:szCs w:val="22"/>
        </w:rPr>
        <w:t>铜铃山森林公园</w:t>
      </w:r>
      <w:r>
        <w:rPr>
          <w:rFonts w:hint="eastAsia" w:cs="宋体"/>
        </w:rPr>
        <w:t>。</w:t>
      </w:r>
    </w:p>
    <w:p>
      <w:pPr>
        <w:snapToGrid w:val="0"/>
        <w:spacing w:before="97" w:beforeLines="30" w:line="360" w:lineRule="auto"/>
        <w:ind w:firstLine="482"/>
        <w:rPr>
          <w:rFonts w:ascii="Times New Roman" w:hAnsi="Times New Roman" w:cs="宋体"/>
          <w:b/>
          <w:szCs w:val="24"/>
        </w:rPr>
      </w:pPr>
      <w:r>
        <w:rPr>
          <w:rFonts w:ascii="Times New Roman" w:hAnsi="Times New Roman" w:cs="宋体"/>
          <w:b/>
          <w:szCs w:val="24"/>
        </w:rPr>
        <w:t>3、多日游线路</w:t>
      </w:r>
    </w:p>
    <w:p>
      <w:pPr>
        <w:snapToGrid w:val="0"/>
        <w:spacing w:before="97" w:beforeLines="30"/>
        <w:ind w:firstLine="480"/>
        <w:rPr>
          <w:rFonts w:cs="宋体"/>
        </w:rPr>
      </w:pPr>
      <w:r>
        <w:rPr>
          <w:rFonts w:hint="eastAsia" w:cs="宋体"/>
        </w:rPr>
        <w:t>根据景点分布和游览里程，以二日游、三日游较佳，亦可选取精华景点一日游。</w:t>
      </w:r>
    </w:p>
    <w:p>
      <w:pPr>
        <w:spacing w:before="97" w:beforeLines="30"/>
        <w:ind w:firstLine="0" w:firstLineChars="0"/>
        <w:rPr>
          <w:rFonts w:ascii="宋体"/>
          <w:kern w:val="0"/>
          <w:szCs w:val="30"/>
        </w:rPr>
        <w:sectPr>
          <w:footerReference r:id="rId10" w:type="default"/>
          <w:pgSz w:w="11906" w:h="16838"/>
          <w:pgMar w:top="1440" w:right="1800" w:bottom="1440" w:left="1800" w:header="851" w:footer="992" w:gutter="0"/>
          <w:pgNumType w:start="1"/>
          <w:cols w:space="425" w:num="1"/>
          <w:docGrid w:type="lines" w:linePitch="326" w:charSpace="0"/>
        </w:sectPr>
      </w:pPr>
    </w:p>
    <w:p>
      <w:pPr>
        <w:pStyle w:val="2"/>
        <w:spacing w:before="93"/>
      </w:pPr>
      <w:bookmarkStart w:id="43" w:name="_Toc176456010"/>
      <w:r>
        <w:rPr>
          <w:rFonts w:hint="eastAsia"/>
        </w:rPr>
        <w:t>第四章 关于设施规划的说明</w:t>
      </w:r>
      <w:bookmarkEnd w:id="43"/>
    </w:p>
    <w:p>
      <w:pPr>
        <w:pStyle w:val="3"/>
        <w:numPr>
          <w:ilvl w:val="1"/>
          <w:numId w:val="7"/>
        </w:numPr>
        <w:spacing w:before="93" w:beforeLines="30"/>
        <w:ind w:rightChars="0"/>
        <w:jc w:val="both"/>
        <w:rPr>
          <w:rFonts w:ascii="Times New Roman" w:hAnsi="Times New Roman"/>
          <w:color w:val="000000"/>
        </w:rPr>
      </w:pPr>
      <w:bookmarkStart w:id="44" w:name="_Toc440981328"/>
      <w:bookmarkStart w:id="45" w:name="_Toc176456011"/>
      <w:r>
        <w:rPr>
          <w:rFonts w:hint="eastAsia" w:ascii="Times New Roman" w:hAnsi="Times New Roman"/>
          <w:color w:val="000000"/>
        </w:rPr>
        <w:t>一、道路交通规划</w:t>
      </w:r>
      <w:bookmarkEnd w:id="44"/>
      <w:bookmarkEnd w:id="45"/>
    </w:p>
    <w:p>
      <w:pPr>
        <w:pStyle w:val="4"/>
        <w:spacing w:before="156"/>
        <w:ind w:firstLine="360"/>
      </w:pPr>
      <w:r>
        <w:rPr>
          <w:rFonts w:hint="eastAsia"/>
        </w:rPr>
        <w:t>（一）风景名胜区交通现状</w:t>
      </w:r>
    </w:p>
    <w:p>
      <w:pPr>
        <w:spacing w:before="93" w:beforeLines="30"/>
        <w:ind w:firstLine="480"/>
        <w:rPr>
          <w:rFonts w:cs="宋体"/>
        </w:rPr>
      </w:pPr>
      <w:r>
        <w:rPr>
          <w:rFonts w:hint="eastAsia" w:cs="宋体"/>
        </w:rPr>
        <w:t>百丈漈—飞云湖风景名胜区位于山地环境中，对外缺乏快速通道，内部综合交通网络未形成且高等级公路比例较低，省道与县道体系有待完善。另外，由于受到地形限制，现状道路狭窄、多弯，通行能力不高，加上各景区分布较散，通达性体验较差。因此，在旅游高峰期易形成拥堵，同时在各景区入口由于用地空间有限，停车场均不能满足需要。这样的情况造成了风景区淡季游客稀少、旺季游客有所增长但又陷入交通拥堵的困局。</w:t>
      </w:r>
    </w:p>
    <w:p>
      <w:pPr>
        <w:pStyle w:val="4"/>
        <w:spacing w:before="156"/>
        <w:ind w:firstLine="360"/>
      </w:pPr>
      <w:r>
        <w:rPr>
          <w:rFonts w:hint="eastAsia"/>
        </w:rPr>
        <w:t>（二）对外交通规划</w:t>
      </w:r>
    </w:p>
    <w:p>
      <w:pPr>
        <w:spacing w:before="93" w:beforeLines="30"/>
        <w:ind w:firstLine="482"/>
        <w:rPr>
          <w:rFonts w:cs="宋体"/>
          <w:b/>
        </w:rPr>
      </w:pPr>
      <w:r>
        <w:rPr>
          <w:rFonts w:hint="eastAsia" w:cs="宋体"/>
          <w:b/>
        </w:rPr>
        <w:t>1、铁路</w:t>
      </w:r>
    </w:p>
    <w:p>
      <w:pPr>
        <w:widowControl/>
        <w:spacing w:before="93" w:beforeLines="30"/>
        <w:ind w:firstLine="480"/>
        <w:jc w:val="left"/>
        <w:rPr>
          <w:rFonts w:cs="宋体"/>
        </w:rPr>
      </w:pPr>
      <w:r>
        <w:rPr>
          <w:rFonts w:cs="宋体"/>
          <w:lang w:bidi="ar"/>
        </w:rPr>
        <w:t>规划建设温武吉铁路，远期谋划温衡桂高铁通道预留，</w:t>
      </w:r>
      <w:r>
        <w:rPr>
          <w:rFonts w:hint="eastAsia" w:cs="宋体"/>
        </w:rPr>
        <w:t>填补铁路交通空白，有利于</w:t>
      </w:r>
      <w:r>
        <w:rPr>
          <w:rFonts w:hint="eastAsia" w:cs="宋体"/>
          <w:lang w:bidi="ar"/>
        </w:rPr>
        <w:t>提升文成旅游资源通达性与整体竞争力。</w:t>
      </w:r>
      <w:r>
        <w:rPr>
          <w:rFonts w:hint="eastAsia" w:cs="宋体"/>
        </w:rPr>
        <w:t>温武吉铁路全程经过温州、文成、泰顺、景宁、云和、龙泉、蒲城、武夷山、邵武、光泽等地，拟连接浙、闽、赣三省，全长691公里，设计时速200公里/小时，目前处于方案研究论证阶段。</w:t>
      </w:r>
    </w:p>
    <w:p>
      <w:pPr>
        <w:spacing w:before="93" w:beforeLines="30"/>
        <w:ind w:firstLine="482"/>
        <w:rPr>
          <w:rFonts w:cs="宋体"/>
          <w:b/>
        </w:rPr>
      </w:pPr>
      <w:r>
        <w:rPr>
          <w:rFonts w:hint="eastAsia" w:cs="宋体"/>
          <w:b/>
        </w:rPr>
        <w:t>2、通用机场</w:t>
      </w:r>
    </w:p>
    <w:p>
      <w:pPr>
        <w:spacing w:before="93" w:beforeLines="30"/>
        <w:ind w:firstLine="480"/>
        <w:rPr>
          <w:rFonts w:cs="宋体"/>
        </w:rPr>
      </w:pPr>
      <w:r>
        <w:rPr>
          <w:rFonts w:hint="eastAsia" w:cs="宋体"/>
        </w:rPr>
        <w:t>文成通用机场选址于文成县百丈漈镇西里村附近，用地规模约91.42公顷，按照一类通用机场标准建设，飞行等级为2B，跑道长800米，配套修建滑行道、停机坪、航站楼、机库、控制塔台及其他配套设施，整体功能定位为飞行培训、应急救援、医疗救治等社会公共性航空服务，统筹环境监测、农林作业、地质矿产勘察等生产性航空服务。未来建成后将大力发展低空旅游、航空科普、短途运输等消费性航空服务等。</w:t>
      </w:r>
    </w:p>
    <w:p>
      <w:pPr>
        <w:spacing w:before="93" w:beforeLines="30"/>
        <w:ind w:firstLine="482"/>
        <w:rPr>
          <w:rFonts w:cs="宋体"/>
          <w:b/>
        </w:rPr>
      </w:pPr>
      <w:r>
        <w:rPr>
          <w:rFonts w:hint="eastAsia" w:cs="宋体"/>
          <w:b/>
        </w:rPr>
        <w:t>3、高速公路</w:t>
      </w:r>
    </w:p>
    <w:p>
      <w:pPr>
        <w:spacing w:before="93" w:beforeLines="30"/>
        <w:ind w:firstLine="480"/>
        <w:rPr>
          <w:rFonts w:cs="宋体"/>
        </w:rPr>
      </w:pPr>
      <w:r>
        <w:rPr>
          <w:rFonts w:hint="eastAsia" w:cs="宋体"/>
        </w:rPr>
        <w:t>文成县高速公路规划格局可以概括为“十”字型，包括龙丽温高速瑞文段、溧宁高速文泰段、溧宁高速文景段、青文高速文成段，远期谋划玉壶-瑞安高速连接线，高速公路网整体交汇于大峃镇，向东、西、南、北四个方向延伸，连接瑞安、景宁、泰顺和青田，形成文成县交通格局的骨架。文成县境内共设</w:t>
      </w:r>
      <w:r>
        <w:rPr>
          <w:rFonts w:cs="宋体"/>
        </w:rPr>
        <w:t>6</w:t>
      </w:r>
      <w:r>
        <w:rPr>
          <w:rFonts w:hint="eastAsia" w:cs="宋体"/>
        </w:rPr>
        <w:t>个高速互通，青文高速文成段规划双龙互通、玉壶互通；龙丽温高速瑞文段规划文成互通；溧宁高速文景段规划西坑互通、文成南互通；溧宁高速文泰段规划珊溪互通。不断完善对外交通快速通道布局，完善风景区国境主干交通体系。</w:t>
      </w:r>
    </w:p>
    <w:p>
      <w:pPr>
        <w:spacing w:before="93" w:beforeLines="30"/>
        <w:ind w:firstLine="482"/>
        <w:rPr>
          <w:rFonts w:cs="宋体"/>
          <w:b/>
        </w:rPr>
      </w:pPr>
      <w:r>
        <w:rPr>
          <w:rFonts w:hint="eastAsia" w:cs="宋体"/>
          <w:b/>
        </w:rPr>
        <w:t>4、国、省道</w:t>
      </w:r>
    </w:p>
    <w:p>
      <w:pPr>
        <w:spacing w:before="93" w:beforeLines="30"/>
        <w:ind w:firstLine="480"/>
        <w:rPr>
          <w:rFonts w:cs="宋体"/>
        </w:rPr>
      </w:pPr>
      <w:r>
        <w:rPr>
          <w:rFonts w:hint="eastAsia" w:cs="宋体"/>
        </w:rPr>
        <w:t>文成县普通国省道布局呈现“一横两纵”。其中“一横”：322国道。“两纵”：219省道、220省道。</w:t>
      </w:r>
      <w:r>
        <w:rPr>
          <w:rFonts w:cs="宋体"/>
        </w:rPr>
        <w:t>G322</w:t>
      </w:r>
      <w:r>
        <w:rPr>
          <w:rFonts w:hint="eastAsia" w:cs="宋体"/>
        </w:rPr>
        <w:t>为文成县境内国道，向东连接瑞安市，向西抵达静宁县，主要经过大峃镇和西坑畲族镇，东西向贯穿全县。</w:t>
      </w:r>
      <w:r>
        <w:rPr>
          <w:rFonts w:cs="宋体"/>
        </w:rPr>
        <w:t>S219</w:t>
      </w:r>
      <w:r>
        <w:rPr>
          <w:rFonts w:hint="eastAsia" w:cs="宋体"/>
        </w:rPr>
        <w:t>位于西部，向北连接青田，经南田、西坑、黄坦、珊溪，向东连接平阳。</w:t>
      </w:r>
      <w:r>
        <w:rPr>
          <w:rFonts w:cs="宋体"/>
        </w:rPr>
        <w:t>S220</w:t>
      </w:r>
      <w:r>
        <w:rPr>
          <w:rFonts w:hint="eastAsia" w:cs="宋体"/>
        </w:rPr>
        <w:t>位于东部，为南北向公路，向北连接青田，经玉壶、大峃、珊溪，向南至泰顺。</w:t>
      </w:r>
    </w:p>
    <w:p>
      <w:pPr>
        <w:spacing w:before="93" w:beforeLines="30"/>
        <w:ind w:firstLine="482"/>
        <w:rPr>
          <w:rFonts w:cs="宋体"/>
          <w:b/>
        </w:rPr>
      </w:pPr>
      <w:r>
        <w:rPr>
          <w:rFonts w:cs="宋体"/>
          <w:b/>
        </w:rPr>
        <w:t>5</w:t>
      </w:r>
      <w:r>
        <w:rPr>
          <w:rFonts w:hint="eastAsia" w:cs="宋体"/>
          <w:b/>
        </w:rPr>
        <w:t>、其他公路</w:t>
      </w:r>
    </w:p>
    <w:p>
      <w:pPr>
        <w:spacing w:before="93" w:beforeLines="30"/>
        <w:ind w:firstLine="480"/>
        <w:rPr>
          <w:rFonts w:cs="宋体"/>
        </w:rPr>
      </w:pPr>
      <w:r>
        <w:rPr>
          <w:rFonts w:hint="eastAsia" w:cs="宋体"/>
        </w:rPr>
        <w:t>依托游客集散中心，组织对外交通及风景名胜区旅游交通。</w:t>
      </w:r>
    </w:p>
    <w:p>
      <w:pPr>
        <w:pStyle w:val="4"/>
        <w:spacing w:before="156"/>
        <w:ind w:firstLine="360"/>
      </w:pPr>
      <w:r>
        <w:rPr>
          <w:rFonts w:hint="eastAsia"/>
        </w:rPr>
        <w:t>（三）出入口规划</w:t>
      </w:r>
    </w:p>
    <w:p>
      <w:pPr>
        <w:spacing w:before="93" w:beforeLines="30"/>
        <w:ind w:firstLine="482"/>
        <w:rPr>
          <w:rFonts w:cs="宋体"/>
          <w:b/>
        </w:rPr>
      </w:pPr>
      <w:r>
        <w:rPr>
          <w:rFonts w:hint="eastAsia" w:cs="宋体"/>
          <w:b/>
        </w:rPr>
        <w:t>1、一级出入口（风景区级）</w:t>
      </w:r>
    </w:p>
    <w:p>
      <w:pPr>
        <w:spacing w:before="93" w:beforeLines="30"/>
        <w:ind w:firstLine="480"/>
        <w:rPr>
          <w:rFonts w:cs="宋体"/>
        </w:rPr>
      </w:pPr>
      <w:r>
        <w:rPr>
          <w:rFonts w:hint="eastAsia" w:cs="宋体"/>
        </w:rPr>
        <w:t>一级出入口承担风景名胜区总体旅游交通集散功能，应设置一定规模的停车、换乘场地。根据百丈漈—飞云湖风景名胜区以龙丽温高速、溧宁高速为骨架的对外交通条件、风景游览序列，规划在大峃镇、西坑畲族镇、珊溪镇、玉壶镇设置4处一级出入口。</w:t>
      </w:r>
    </w:p>
    <w:p>
      <w:pPr>
        <w:spacing w:before="93" w:beforeLines="30"/>
        <w:ind w:firstLine="480"/>
        <w:rPr>
          <w:rFonts w:cs="宋体"/>
        </w:rPr>
      </w:pPr>
      <w:r>
        <w:rPr>
          <w:rFonts w:hint="eastAsia" w:cs="宋体"/>
        </w:rPr>
        <w:t>大峃镇出入口未来是文成高铁站、三处高速互通的交汇点，将承接全域的游客；玉壶镇出入口未来依托青文高速和玉壶互通，承接从北部丽水青田进入文成游览的游客，南侧与大峃镇联通；西坑畲族镇出入口承接自西侧铜铃山镇进入的游客；珊溪镇出入口主要承接自泰顺或温州市区进入飞云湖片区游览的游客。</w:t>
      </w:r>
    </w:p>
    <w:p>
      <w:pPr>
        <w:spacing w:before="93" w:beforeLines="30"/>
        <w:ind w:firstLine="482"/>
        <w:rPr>
          <w:rFonts w:cs="宋体"/>
          <w:b/>
        </w:rPr>
      </w:pPr>
      <w:r>
        <w:rPr>
          <w:rFonts w:hint="eastAsia" w:cs="宋体"/>
          <w:b/>
        </w:rPr>
        <w:t>2、二级出入口（片区级）</w:t>
      </w:r>
    </w:p>
    <w:p>
      <w:pPr>
        <w:spacing w:before="93" w:beforeLines="30"/>
        <w:ind w:firstLine="480"/>
        <w:rPr>
          <w:rFonts w:cs="宋体"/>
        </w:rPr>
      </w:pPr>
      <w:r>
        <w:rPr>
          <w:rFonts w:hint="eastAsia" w:cs="宋体"/>
        </w:rPr>
        <w:t>二级出入口承担各片区的旅游交通集散功能。根据G</w:t>
      </w:r>
      <w:r>
        <w:rPr>
          <w:rFonts w:cs="宋体"/>
        </w:rPr>
        <w:t>322</w:t>
      </w:r>
      <w:r>
        <w:rPr>
          <w:rFonts w:hint="eastAsia" w:cs="宋体"/>
        </w:rPr>
        <w:t>、S</w:t>
      </w:r>
      <w:r>
        <w:rPr>
          <w:rFonts w:cs="宋体"/>
        </w:rPr>
        <w:t>219</w:t>
      </w:r>
      <w:r>
        <w:rPr>
          <w:rFonts w:hint="eastAsia" w:cs="宋体"/>
        </w:rPr>
        <w:t>、</w:t>
      </w:r>
      <w:r>
        <w:rPr>
          <w:rFonts w:cs="宋体"/>
        </w:rPr>
        <w:t>S220</w:t>
      </w:r>
      <w:r>
        <w:rPr>
          <w:rFonts w:hint="eastAsia" w:cs="宋体"/>
        </w:rPr>
        <w:t>等连接各景区的交通条件、风景游览序列，规划在百丈漈镇、南田镇、黄坦镇、铜铃山镇设置4处二级出入口，分别服务于天顶湖—百丈漈—朱阳九峰片区、伯温故里—龙麒源片区、石垟—岩门大峡谷片区和飞云湖片区。</w:t>
      </w:r>
    </w:p>
    <w:p>
      <w:pPr>
        <w:spacing w:before="93" w:beforeLines="30"/>
        <w:ind w:firstLine="482"/>
        <w:rPr>
          <w:rFonts w:cs="宋体"/>
          <w:b/>
        </w:rPr>
      </w:pPr>
      <w:r>
        <w:rPr>
          <w:rFonts w:hint="eastAsia" w:cs="宋体"/>
          <w:b/>
        </w:rPr>
        <w:t>3、三级出入口（景区级）</w:t>
      </w:r>
    </w:p>
    <w:p>
      <w:pPr>
        <w:spacing w:before="93" w:beforeLines="30"/>
        <w:ind w:firstLine="480"/>
        <w:rPr>
          <w:rFonts w:cs="宋体"/>
        </w:rPr>
      </w:pPr>
      <w:r>
        <w:rPr>
          <w:rFonts w:hint="eastAsia" w:cs="宋体"/>
        </w:rPr>
        <w:t>三级出入口主要承担景区的交通换乘功能。根据各景区的入口交通条件，铜铃山片区规划在龙麒源、月老山、猴王谷设置3处三级出入口，百丈漈片区规划在武阳村、西段村、吴垟村、金朱林场、谈阳村、碧坑村设置6处三级出入口，飞云湖片区规划在岗山村、胜坑村、岩门村、云湖社区、塘垄民族村、珊瑚村、五新村设置7处三级出入口。</w:t>
      </w:r>
    </w:p>
    <w:p>
      <w:pPr>
        <w:pStyle w:val="4"/>
        <w:spacing w:before="156"/>
        <w:ind w:firstLine="360"/>
      </w:pPr>
      <w:r>
        <w:rPr>
          <w:rFonts w:hint="eastAsia"/>
        </w:rPr>
        <w:t>（四）车行道路规划</w:t>
      </w:r>
    </w:p>
    <w:p>
      <w:pPr>
        <w:spacing w:before="93" w:beforeLines="30"/>
        <w:ind w:firstLine="482"/>
        <w:rPr>
          <w:rFonts w:cs="宋体"/>
          <w:b/>
        </w:rPr>
      </w:pPr>
      <w:r>
        <w:rPr>
          <w:rFonts w:hint="eastAsia" w:cs="宋体"/>
          <w:b/>
        </w:rPr>
        <w:t>1、主要旅游公路</w:t>
      </w:r>
    </w:p>
    <w:p>
      <w:pPr>
        <w:spacing w:before="93" w:beforeLines="30"/>
        <w:ind w:firstLine="480"/>
        <w:rPr>
          <w:rFonts w:cs="宋体"/>
        </w:rPr>
      </w:pPr>
      <w:r>
        <w:rPr>
          <w:rFonts w:hint="eastAsia" w:cs="宋体"/>
        </w:rPr>
        <w:t>风景名胜区旅游服务公路主要公路和次要公路两级规划。</w:t>
      </w:r>
    </w:p>
    <w:p>
      <w:pPr>
        <w:spacing w:before="93" w:beforeLines="30"/>
        <w:ind w:firstLine="480"/>
        <w:rPr>
          <w:rFonts w:cs="宋体"/>
        </w:rPr>
      </w:pPr>
      <w:r>
        <w:rPr>
          <w:rFonts w:hint="eastAsia" w:cs="宋体"/>
        </w:rPr>
        <w:t>主要公路是组织风景名胜区与对外公路、接待中心、接待站点及县城之间交通联系的骨干公路。规划以对外交通主要通道“一横”——G322、“两纵”——S219、S220为轴线，依托文成县县乡道工程建设，主要完成西北部百丈漈、南田镇、玉壶镇、铜铃山镇之间的公路、中部玉壶至朱阳九峰景区公路、南部珊溪至牛栏湾景区公路等，提升X601、X604、X608、X609的通行能力，形成主要的车行道路旅游网络。主要公路等级不应低于二级公路，路面材料为水泥或沥青，并根据相关规范设置道路绿化。</w:t>
      </w:r>
    </w:p>
    <w:p>
      <w:pPr>
        <w:spacing w:before="93" w:beforeLines="30"/>
        <w:ind w:firstLine="482"/>
        <w:rPr>
          <w:rFonts w:cs="宋体"/>
          <w:b/>
        </w:rPr>
      </w:pPr>
      <w:r>
        <w:rPr>
          <w:rFonts w:hint="eastAsia" w:cs="宋体"/>
          <w:b/>
        </w:rPr>
        <w:t>2、风景区内游览车道规划</w:t>
      </w:r>
    </w:p>
    <w:p>
      <w:pPr>
        <w:spacing w:before="93" w:beforeLines="30"/>
        <w:ind w:firstLine="480"/>
        <w:rPr>
          <w:rFonts w:cs="宋体"/>
        </w:rPr>
      </w:pPr>
      <w:r>
        <w:rPr>
          <w:rFonts w:hint="eastAsia" w:cs="宋体"/>
        </w:rPr>
        <w:t>规划建设飞云湖—岩门大峡谷</w:t>
      </w:r>
      <w:r>
        <w:rPr>
          <w:rFonts w:cs="宋体"/>
        </w:rPr>
        <w:t>—</w:t>
      </w:r>
      <w:r>
        <w:rPr>
          <w:rFonts w:hint="eastAsia" w:cs="宋体"/>
        </w:rPr>
        <w:t>铜铃山、峡谷景廊—百丈漈—天顶湖、伯温故里的景区游览车道。</w:t>
      </w:r>
    </w:p>
    <w:p>
      <w:pPr>
        <w:spacing w:after="240" w:line="540" w:lineRule="atLeast"/>
        <w:ind w:firstLine="570" w:firstLineChars="0"/>
        <w:jc w:val="center"/>
        <w:rPr>
          <w:rFonts w:ascii="宋体" w:hAnsi="宋体" w:cs="宋体"/>
          <w:b/>
          <w:sz w:val="21"/>
        </w:rPr>
      </w:pPr>
      <w:r>
        <w:rPr>
          <w:rFonts w:hint="eastAsia" w:ascii="宋体" w:hAnsi="宋体" w:cs="宋体"/>
          <w:b/>
          <w:sz w:val="21"/>
        </w:rPr>
        <w:t>表4</w:t>
      </w:r>
      <w:r>
        <w:rPr>
          <w:rFonts w:ascii="宋体" w:hAnsi="宋体" w:cs="宋体"/>
          <w:b/>
          <w:sz w:val="21"/>
        </w:rPr>
        <w:t xml:space="preserve">-1 </w:t>
      </w:r>
      <w:r>
        <w:rPr>
          <w:rFonts w:hint="eastAsia" w:ascii="宋体" w:hAnsi="宋体" w:cs="宋体"/>
          <w:b/>
          <w:sz w:val="21"/>
        </w:rPr>
        <w:t>风景区车行游览道路规划一览表</w:t>
      </w:r>
    </w:p>
    <w:tbl>
      <w:tblPr>
        <w:tblStyle w:val="42"/>
        <w:tblW w:w="88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3604"/>
        <w:gridCol w:w="1068"/>
        <w:gridCol w:w="954"/>
        <w:gridCol w:w="821"/>
        <w:gridCol w:w="1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096" w:type="dxa"/>
            <w:shd w:val="clear" w:color="auto" w:fill="E2E2E2"/>
            <w:vAlign w:val="center"/>
          </w:tcPr>
          <w:p>
            <w:pPr>
              <w:spacing w:line="240" w:lineRule="auto"/>
              <w:ind w:firstLine="0" w:firstLineChars="0"/>
              <w:jc w:val="center"/>
              <w:rPr>
                <w:rFonts w:ascii="宋体" w:hAnsi="宋体"/>
                <w:b/>
                <w:sz w:val="18"/>
                <w:szCs w:val="18"/>
              </w:rPr>
            </w:pPr>
            <w:r>
              <w:rPr>
                <w:rFonts w:hint="eastAsia" w:ascii="宋体" w:hAnsi="宋体"/>
                <w:b/>
                <w:sz w:val="18"/>
                <w:szCs w:val="18"/>
              </w:rPr>
              <w:t>公路名称</w:t>
            </w:r>
          </w:p>
        </w:tc>
        <w:tc>
          <w:tcPr>
            <w:tcW w:w="3604" w:type="dxa"/>
            <w:shd w:val="clear" w:color="auto" w:fill="E2E2E2"/>
            <w:vAlign w:val="center"/>
          </w:tcPr>
          <w:p>
            <w:pPr>
              <w:spacing w:line="240" w:lineRule="auto"/>
              <w:ind w:firstLine="0" w:firstLineChars="0"/>
              <w:jc w:val="center"/>
              <w:rPr>
                <w:rFonts w:ascii="宋体" w:hAnsi="宋体"/>
                <w:b/>
                <w:sz w:val="18"/>
                <w:szCs w:val="18"/>
              </w:rPr>
            </w:pPr>
            <w:r>
              <w:rPr>
                <w:rFonts w:hint="eastAsia" w:ascii="宋体" w:hAnsi="宋体"/>
                <w:b/>
                <w:sz w:val="18"/>
                <w:szCs w:val="18"/>
              </w:rPr>
              <w:t>起讫点</w:t>
            </w:r>
          </w:p>
        </w:tc>
        <w:tc>
          <w:tcPr>
            <w:tcW w:w="1068" w:type="dxa"/>
            <w:shd w:val="clear" w:color="auto" w:fill="E2E2E2"/>
            <w:vAlign w:val="center"/>
          </w:tcPr>
          <w:p>
            <w:pPr>
              <w:spacing w:line="240" w:lineRule="auto"/>
              <w:ind w:firstLine="0" w:firstLineChars="0"/>
              <w:jc w:val="center"/>
              <w:rPr>
                <w:rFonts w:ascii="宋体" w:hAnsi="宋体"/>
                <w:b/>
                <w:sz w:val="18"/>
                <w:szCs w:val="18"/>
              </w:rPr>
            </w:pPr>
            <w:r>
              <w:rPr>
                <w:rFonts w:hint="eastAsia" w:ascii="宋体" w:hAnsi="宋体"/>
                <w:b/>
                <w:sz w:val="18"/>
                <w:szCs w:val="18"/>
              </w:rPr>
              <w:t>里程（公里）</w:t>
            </w:r>
          </w:p>
        </w:tc>
        <w:tc>
          <w:tcPr>
            <w:tcW w:w="954" w:type="dxa"/>
            <w:shd w:val="clear" w:color="auto" w:fill="E2E2E2"/>
            <w:vAlign w:val="center"/>
          </w:tcPr>
          <w:p>
            <w:pPr>
              <w:spacing w:line="240" w:lineRule="auto"/>
              <w:ind w:firstLine="0" w:firstLineChars="0"/>
              <w:jc w:val="center"/>
              <w:rPr>
                <w:rFonts w:ascii="宋体" w:hAnsi="宋体"/>
                <w:b/>
                <w:sz w:val="18"/>
                <w:szCs w:val="18"/>
              </w:rPr>
            </w:pPr>
            <w:r>
              <w:rPr>
                <w:rFonts w:hint="eastAsia" w:ascii="宋体" w:hAnsi="宋体"/>
                <w:b/>
                <w:sz w:val="18"/>
                <w:szCs w:val="18"/>
              </w:rPr>
              <w:t>路面宽度（米）</w:t>
            </w:r>
          </w:p>
        </w:tc>
        <w:tc>
          <w:tcPr>
            <w:tcW w:w="821" w:type="dxa"/>
            <w:shd w:val="clear" w:color="auto" w:fill="E2E2E2"/>
            <w:vAlign w:val="center"/>
          </w:tcPr>
          <w:p>
            <w:pPr>
              <w:spacing w:line="240" w:lineRule="auto"/>
              <w:ind w:firstLine="0" w:firstLineChars="0"/>
              <w:jc w:val="center"/>
              <w:rPr>
                <w:rFonts w:ascii="宋体" w:hAnsi="宋体"/>
                <w:b/>
                <w:sz w:val="18"/>
                <w:szCs w:val="18"/>
              </w:rPr>
            </w:pPr>
            <w:r>
              <w:rPr>
                <w:rFonts w:hint="eastAsia" w:ascii="宋体" w:hAnsi="宋体"/>
                <w:b/>
                <w:sz w:val="18"/>
                <w:szCs w:val="18"/>
              </w:rPr>
              <w:t>公路等级</w:t>
            </w:r>
          </w:p>
        </w:tc>
        <w:tc>
          <w:tcPr>
            <w:tcW w:w="1287" w:type="dxa"/>
            <w:shd w:val="clear" w:color="auto" w:fill="E2E2E2"/>
            <w:vAlign w:val="center"/>
          </w:tcPr>
          <w:p>
            <w:pPr>
              <w:spacing w:line="240" w:lineRule="auto"/>
              <w:ind w:firstLine="0" w:firstLineChars="0"/>
              <w:jc w:val="center"/>
              <w:rPr>
                <w:rFonts w:ascii="宋体" w:hAnsi="宋体"/>
                <w:b/>
                <w:sz w:val="18"/>
                <w:szCs w:val="18"/>
              </w:rPr>
            </w:pPr>
            <w:r>
              <w:rPr>
                <w:rFonts w:hint="eastAsia" w:ascii="宋体" w:hAnsi="宋体"/>
                <w:b/>
                <w:sz w:val="18"/>
                <w:szCs w:val="18"/>
              </w:rPr>
              <w:t>路面材料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6" w:type="dxa"/>
            <w:vMerge w:val="restart"/>
            <w:vAlign w:val="center"/>
          </w:tcPr>
          <w:p>
            <w:pPr>
              <w:spacing w:line="240" w:lineRule="auto"/>
              <w:ind w:firstLine="0" w:firstLineChars="0"/>
              <w:jc w:val="center"/>
              <w:rPr>
                <w:rFonts w:ascii="宋体" w:hAnsi="宋体"/>
                <w:sz w:val="18"/>
                <w:szCs w:val="18"/>
              </w:rPr>
            </w:pPr>
            <w:r>
              <w:rPr>
                <w:rFonts w:hint="eastAsia" w:ascii="宋体" w:hAnsi="宋体"/>
                <w:sz w:val="18"/>
                <w:szCs w:val="18"/>
              </w:rPr>
              <w:t>百</w:t>
            </w:r>
            <w:r>
              <w:rPr>
                <w:rFonts w:ascii="宋体" w:hAnsi="宋体"/>
                <w:sz w:val="18"/>
                <w:szCs w:val="18"/>
              </w:rPr>
              <w:t>丈漈通景公路</w:t>
            </w:r>
          </w:p>
        </w:tc>
        <w:tc>
          <w:tcPr>
            <w:tcW w:w="3604"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文成县旅游集散中心—百丈漈南入口</w:t>
            </w:r>
          </w:p>
        </w:tc>
        <w:tc>
          <w:tcPr>
            <w:tcW w:w="1068" w:type="dxa"/>
            <w:vAlign w:val="center"/>
          </w:tcPr>
          <w:p>
            <w:pPr>
              <w:spacing w:line="240" w:lineRule="auto"/>
              <w:ind w:firstLine="0" w:firstLineChars="0"/>
              <w:jc w:val="center"/>
              <w:rPr>
                <w:rFonts w:ascii="宋体" w:hAnsi="宋体"/>
                <w:sz w:val="18"/>
                <w:szCs w:val="18"/>
              </w:rPr>
            </w:pPr>
            <w:r>
              <w:rPr>
                <w:rFonts w:ascii="宋体" w:hAnsi="宋体"/>
                <w:sz w:val="18"/>
                <w:szCs w:val="18"/>
              </w:rPr>
              <w:t>9</w:t>
            </w:r>
          </w:p>
        </w:tc>
        <w:tc>
          <w:tcPr>
            <w:tcW w:w="954" w:type="dxa"/>
            <w:vAlign w:val="center"/>
          </w:tcPr>
          <w:p>
            <w:pPr>
              <w:spacing w:line="240" w:lineRule="auto"/>
              <w:ind w:firstLine="0" w:firstLineChars="0"/>
              <w:jc w:val="center"/>
              <w:rPr>
                <w:rFonts w:ascii="宋体" w:hAnsi="宋体"/>
                <w:sz w:val="18"/>
                <w:szCs w:val="18"/>
              </w:rPr>
            </w:pPr>
            <w:r>
              <w:rPr>
                <w:rFonts w:ascii="宋体" w:hAnsi="宋体"/>
                <w:sz w:val="18"/>
                <w:szCs w:val="18"/>
              </w:rPr>
              <w:t>4.5</w:t>
            </w:r>
          </w:p>
        </w:tc>
        <w:tc>
          <w:tcPr>
            <w:tcW w:w="821"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四级</w:t>
            </w:r>
          </w:p>
        </w:tc>
        <w:tc>
          <w:tcPr>
            <w:tcW w:w="1287"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沥青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6" w:type="dxa"/>
            <w:vMerge w:val="continue"/>
            <w:vAlign w:val="center"/>
          </w:tcPr>
          <w:p>
            <w:pPr>
              <w:spacing w:line="240" w:lineRule="auto"/>
              <w:ind w:firstLine="0" w:firstLineChars="0"/>
              <w:jc w:val="center"/>
              <w:rPr>
                <w:rFonts w:ascii="宋体" w:hAnsi="宋体"/>
                <w:sz w:val="18"/>
                <w:szCs w:val="18"/>
              </w:rPr>
            </w:pPr>
          </w:p>
        </w:tc>
        <w:tc>
          <w:tcPr>
            <w:tcW w:w="3604"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百丈漈南入口—百丈漈北入口</w:t>
            </w:r>
          </w:p>
        </w:tc>
        <w:tc>
          <w:tcPr>
            <w:tcW w:w="1068" w:type="dxa"/>
            <w:vAlign w:val="center"/>
          </w:tcPr>
          <w:p>
            <w:pPr>
              <w:spacing w:line="240" w:lineRule="auto"/>
              <w:ind w:firstLine="0" w:firstLineChars="0"/>
              <w:jc w:val="center"/>
              <w:rPr>
                <w:rFonts w:ascii="宋体" w:hAnsi="宋体"/>
                <w:sz w:val="18"/>
                <w:szCs w:val="18"/>
              </w:rPr>
            </w:pPr>
            <w:r>
              <w:rPr>
                <w:rFonts w:ascii="宋体" w:hAnsi="宋体"/>
                <w:sz w:val="18"/>
                <w:szCs w:val="18"/>
              </w:rPr>
              <w:t>6.5</w:t>
            </w:r>
          </w:p>
        </w:tc>
        <w:tc>
          <w:tcPr>
            <w:tcW w:w="954" w:type="dxa"/>
            <w:vAlign w:val="center"/>
          </w:tcPr>
          <w:p>
            <w:pPr>
              <w:spacing w:line="240" w:lineRule="auto"/>
              <w:ind w:firstLine="0" w:firstLineChars="0"/>
              <w:jc w:val="center"/>
              <w:rPr>
                <w:rFonts w:ascii="宋体" w:hAnsi="宋体"/>
                <w:sz w:val="18"/>
                <w:szCs w:val="18"/>
              </w:rPr>
            </w:pPr>
            <w:r>
              <w:rPr>
                <w:rFonts w:ascii="宋体" w:hAnsi="宋体"/>
                <w:sz w:val="18"/>
                <w:szCs w:val="18"/>
              </w:rPr>
              <w:t>4.5</w:t>
            </w:r>
          </w:p>
        </w:tc>
        <w:tc>
          <w:tcPr>
            <w:tcW w:w="821"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四级</w:t>
            </w:r>
          </w:p>
        </w:tc>
        <w:tc>
          <w:tcPr>
            <w:tcW w:w="1287"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沥青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1096" w:type="dxa"/>
            <w:vMerge w:val="continue"/>
            <w:vAlign w:val="center"/>
          </w:tcPr>
          <w:p>
            <w:pPr>
              <w:spacing w:line="240" w:lineRule="auto"/>
              <w:ind w:firstLine="0" w:firstLineChars="0"/>
              <w:jc w:val="center"/>
              <w:rPr>
                <w:rFonts w:ascii="宋体" w:hAnsi="宋体"/>
                <w:sz w:val="18"/>
                <w:szCs w:val="18"/>
              </w:rPr>
            </w:pPr>
          </w:p>
        </w:tc>
        <w:tc>
          <w:tcPr>
            <w:tcW w:w="3604"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红枫古道—</w:t>
            </w:r>
            <w:r>
              <w:rPr>
                <w:rFonts w:ascii="宋体" w:hAnsi="宋体"/>
                <w:sz w:val="18"/>
                <w:szCs w:val="18"/>
              </w:rPr>
              <w:t>天顶湖</w:t>
            </w:r>
          </w:p>
        </w:tc>
        <w:tc>
          <w:tcPr>
            <w:tcW w:w="1068" w:type="dxa"/>
            <w:vAlign w:val="center"/>
          </w:tcPr>
          <w:p>
            <w:pPr>
              <w:spacing w:line="240" w:lineRule="auto"/>
              <w:ind w:firstLine="0" w:firstLineChars="0"/>
              <w:jc w:val="center"/>
              <w:rPr>
                <w:rFonts w:ascii="宋体" w:hAnsi="宋体"/>
                <w:sz w:val="18"/>
                <w:szCs w:val="18"/>
              </w:rPr>
            </w:pPr>
            <w:r>
              <w:rPr>
                <w:rFonts w:ascii="宋体" w:hAnsi="宋体"/>
                <w:sz w:val="18"/>
                <w:szCs w:val="18"/>
              </w:rPr>
              <w:t>11.8</w:t>
            </w:r>
          </w:p>
        </w:tc>
        <w:tc>
          <w:tcPr>
            <w:tcW w:w="954" w:type="dxa"/>
            <w:vAlign w:val="center"/>
          </w:tcPr>
          <w:p>
            <w:pPr>
              <w:spacing w:line="240" w:lineRule="auto"/>
              <w:ind w:firstLine="0" w:firstLineChars="0"/>
              <w:jc w:val="center"/>
              <w:rPr>
                <w:rFonts w:ascii="宋体" w:hAnsi="宋体"/>
                <w:sz w:val="18"/>
                <w:szCs w:val="18"/>
              </w:rPr>
            </w:pPr>
            <w:r>
              <w:rPr>
                <w:rFonts w:ascii="宋体" w:hAnsi="宋体"/>
                <w:sz w:val="18"/>
                <w:szCs w:val="18"/>
              </w:rPr>
              <w:t>4.5</w:t>
            </w:r>
          </w:p>
        </w:tc>
        <w:tc>
          <w:tcPr>
            <w:tcW w:w="821"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四级</w:t>
            </w:r>
          </w:p>
        </w:tc>
        <w:tc>
          <w:tcPr>
            <w:tcW w:w="1287"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沥青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6"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朱阳九峰</w:t>
            </w:r>
            <w:r>
              <w:rPr>
                <w:rFonts w:ascii="宋体" w:hAnsi="宋体"/>
                <w:sz w:val="18"/>
                <w:szCs w:val="18"/>
              </w:rPr>
              <w:t>通景公路</w:t>
            </w:r>
          </w:p>
        </w:tc>
        <w:tc>
          <w:tcPr>
            <w:tcW w:w="3604"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二源镇—谈阳村</w:t>
            </w:r>
          </w:p>
        </w:tc>
        <w:tc>
          <w:tcPr>
            <w:tcW w:w="1068" w:type="dxa"/>
            <w:vAlign w:val="center"/>
          </w:tcPr>
          <w:p>
            <w:pPr>
              <w:spacing w:line="240" w:lineRule="auto"/>
              <w:ind w:firstLine="0" w:firstLineChars="0"/>
              <w:jc w:val="center"/>
              <w:rPr>
                <w:rFonts w:ascii="宋体" w:hAnsi="宋体"/>
                <w:sz w:val="18"/>
                <w:szCs w:val="18"/>
              </w:rPr>
            </w:pPr>
            <w:r>
              <w:rPr>
                <w:rFonts w:ascii="宋体" w:hAnsi="宋体"/>
                <w:sz w:val="18"/>
                <w:szCs w:val="18"/>
              </w:rPr>
              <w:t>6</w:t>
            </w:r>
          </w:p>
        </w:tc>
        <w:tc>
          <w:tcPr>
            <w:tcW w:w="954" w:type="dxa"/>
            <w:vAlign w:val="center"/>
          </w:tcPr>
          <w:p>
            <w:pPr>
              <w:spacing w:line="240" w:lineRule="auto"/>
              <w:ind w:firstLine="0" w:firstLineChars="0"/>
              <w:jc w:val="center"/>
              <w:rPr>
                <w:rFonts w:ascii="宋体" w:hAnsi="宋体"/>
                <w:sz w:val="18"/>
                <w:szCs w:val="18"/>
              </w:rPr>
            </w:pPr>
            <w:r>
              <w:rPr>
                <w:rFonts w:ascii="宋体" w:hAnsi="宋体"/>
                <w:sz w:val="18"/>
                <w:szCs w:val="18"/>
              </w:rPr>
              <w:t>4.5</w:t>
            </w:r>
          </w:p>
        </w:tc>
        <w:tc>
          <w:tcPr>
            <w:tcW w:w="821"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四级</w:t>
            </w:r>
          </w:p>
        </w:tc>
        <w:tc>
          <w:tcPr>
            <w:tcW w:w="1287" w:type="dxa"/>
            <w:vAlign w:val="center"/>
          </w:tcPr>
          <w:p>
            <w:pPr>
              <w:spacing w:line="240" w:lineRule="auto"/>
              <w:ind w:firstLine="0" w:firstLineChars="0"/>
              <w:jc w:val="center"/>
              <w:rPr>
                <w:rFonts w:ascii="Calibri" w:hAnsi="Calibri"/>
                <w:sz w:val="18"/>
                <w:szCs w:val="18"/>
              </w:rPr>
            </w:pPr>
            <w:r>
              <w:rPr>
                <w:rFonts w:hint="eastAsia" w:ascii="宋体" w:hAnsi="宋体"/>
                <w:sz w:val="18"/>
                <w:szCs w:val="18"/>
              </w:rPr>
              <w:t>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6" w:type="dxa"/>
            <w:vMerge w:val="restart"/>
            <w:vAlign w:val="center"/>
          </w:tcPr>
          <w:p>
            <w:pPr>
              <w:spacing w:line="240" w:lineRule="auto"/>
              <w:ind w:firstLine="0" w:firstLineChars="0"/>
              <w:jc w:val="center"/>
              <w:rPr>
                <w:rFonts w:ascii="宋体" w:hAnsi="宋体"/>
                <w:sz w:val="18"/>
                <w:szCs w:val="18"/>
              </w:rPr>
            </w:pPr>
            <w:r>
              <w:rPr>
                <w:rFonts w:hint="eastAsia" w:ascii="宋体" w:hAnsi="宋体"/>
                <w:sz w:val="18"/>
                <w:szCs w:val="18"/>
              </w:rPr>
              <w:t>铜铃山森林公园</w:t>
            </w:r>
            <w:r>
              <w:rPr>
                <w:rFonts w:ascii="宋体" w:hAnsi="宋体"/>
                <w:sz w:val="18"/>
                <w:szCs w:val="18"/>
              </w:rPr>
              <w:t>-飞云湖通景公路</w:t>
            </w:r>
          </w:p>
        </w:tc>
        <w:tc>
          <w:tcPr>
            <w:tcW w:w="3604"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铜铃山镇—杜山村</w:t>
            </w:r>
          </w:p>
        </w:tc>
        <w:tc>
          <w:tcPr>
            <w:tcW w:w="1068" w:type="dxa"/>
            <w:vAlign w:val="center"/>
          </w:tcPr>
          <w:p>
            <w:pPr>
              <w:spacing w:line="240" w:lineRule="auto"/>
              <w:ind w:firstLine="0" w:firstLineChars="0"/>
              <w:jc w:val="center"/>
              <w:rPr>
                <w:rFonts w:ascii="宋体" w:hAnsi="宋体"/>
                <w:sz w:val="18"/>
                <w:szCs w:val="18"/>
              </w:rPr>
            </w:pPr>
            <w:r>
              <w:rPr>
                <w:rFonts w:ascii="宋体" w:hAnsi="宋体"/>
                <w:sz w:val="18"/>
                <w:szCs w:val="18"/>
              </w:rPr>
              <w:t>36</w:t>
            </w:r>
          </w:p>
        </w:tc>
        <w:tc>
          <w:tcPr>
            <w:tcW w:w="954" w:type="dxa"/>
            <w:vAlign w:val="center"/>
          </w:tcPr>
          <w:p>
            <w:pPr>
              <w:spacing w:line="240" w:lineRule="auto"/>
              <w:ind w:firstLine="0" w:firstLineChars="0"/>
              <w:jc w:val="center"/>
              <w:rPr>
                <w:rFonts w:ascii="宋体" w:hAnsi="宋体"/>
                <w:sz w:val="18"/>
                <w:szCs w:val="18"/>
              </w:rPr>
            </w:pPr>
            <w:r>
              <w:rPr>
                <w:rFonts w:ascii="宋体" w:hAnsi="宋体"/>
                <w:sz w:val="18"/>
                <w:szCs w:val="18"/>
              </w:rPr>
              <w:t>6</w:t>
            </w:r>
          </w:p>
        </w:tc>
        <w:tc>
          <w:tcPr>
            <w:tcW w:w="821" w:type="dxa"/>
            <w:vAlign w:val="center"/>
          </w:tcPr>
          <w:p>
            <w:pPr>
              <w:spacing w:line="240" w:lineRule="auto"/>
              <w:ind w:firstLine="0" w:firstLineChars="0"/>
              <w:jc w:val="center"/>
              <w:rPr>
                <w:rFonts w:ascii="Calibri" w:hAnsi="Calibri"/>
                <w:sz w:val="18"/>
                <w:szCs w:val="18"/>
              </w:rPr>
            </w:pPr>
            <w:r>
              <w:rPr>
                <w:rFonts w:hint="eastAsia" w:ascii="宋体" w:hAnsi="宋体"/>
                <w:sz w:val="18"/>
                <w:szCs w:val="18"/>
              </w:rPr>
              <w:t>四级</w:t>
            </w:r>
          </w:p>
        </w:tc>
        <w:tc>
          <w:tcPr>
            <w:tcW w:w="1287"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沥青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6" w:type="dxa"/>
            <w:vMerge w:val="continue"/>
            <w:vAlign w:val="center"/>
          </w:tcPr>
          <w:p>
            <w:pPr>
              <w:spacing w:line="240" w:lineRule="auto"/>
              <w:ind w:firstLine="0" w:firstLineChars="0"/>
              <w:jc w:val="center"/>
              <w:rPr>
                <w:rFonts w:ascii="宋体" w:hAnsi="宋体"/>
                <w:sz w:val="18"/>
                <w:szCs w:val="18"/>
              </w:rPr>
            </w:pPr>
          </w:p>
        </w:tc>
        <w:tc>
          <w:tcPr>
            <w:tcW w:w="3604"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珊溪镇—杜山村</w:t>
            </w:r>
          </w:p>
        </w:tc>
        <w:tc>
          <w:tcPr>
            <w:tcW w:w="1068" w:type="dxa"/>
            <w:vAlign w:val="center"/>
          </w:tcPr>
          <w:p>
            <w:pPr>
              <w:spacing w:line="240" w:lineRule="auto"/>
              <w:ind w:firstLine="0" w:firstLineChars="0"/>
              <w:jc w:val="center"/>
              <w:rPr>
                <w:rFonts w:ascii="宋体" w:hAnsi="宋体"/>
                <w:sz w:val="18"/>
                <w:szCs w:val="18"/>
              </w:rPr>
            </w:pPr>
            <w:r>
              <w:rPr>
                <w:rFonts w:ascii="宋体" w:hAnsi="宋体"/>
                <w:sz w:val="18"/>
                <w:szCs w:val="18"/>
              </w:rPr>
              <w:t>35</w:t>
            </w:r>
          </w:p>
        </w:tc>
        <w:tc>
          <w:tcPr>
            <w:tcW w:w="954" w:type="dxa"/>
            <w:vAlign w:val="center"/>
          </w:tcPr>
          <w:p>
            <w:pPr>
              <w:spacing w:line="240" w:lineRule="auto"/>
              <w:ind w:firstLine="0" w:firstLineChars="0"/>
              <w:jc w:val="center"/>
              <w:rPr>
                <w:rFonts w:ascii="宋体" w:hAnsi="宋体"/>
                <w:sz w:val="18"/>
                <w:szCs w:val="18"/>
              </w:rPr>
            </w:pPr>
            <w:r>
              <w:rPr>
                <w:rFonts w:ascii="宋体" w:hAnsi="宋体"/>
                <w:sz w:val="18"/>
                <w:szCs w:val="18"/>
              </w:rPr>
              <w:t>6</w:t>
            </w:r>
          </w:p>
        </w:tc>
        <w:tc>
          <w:tcPr>
            <w:tcW w:w="821" w:type="dxa"/>
            <w:vAlign w:val="center"/>
          </w:tcPr>
          <w:p>
            <w:pPr>
              <w:spacing w:line="240" w:lineRule="auto"/>
              <w:ind w:firstLine="0" w:firstLineChars="0"/>
              <w:jc w:val="center"/>
              <w:rPr>
                <w:rFonts w:ascii="Calibri" w:hAnsi="Calibri"/>
                <w:sz w:val="18"/>
                <w:szCs w:val="18"/>
              </w:rPr>
            </w:pPr>
            <w:r>
              <w:rPr>
                <w:rFonts w:hint="eastAsia" w:ascii="宋体" w:hAnsi="宋体"/>
                <w:sz w:val="18"/>
                <w:szCs w:val="18"/>
              </w:rPr>
              <w:t>四级</w:t>
            </w:r>
          </w:p>
        </w:tc>
        <w:tc>
          <w:tcPr>
            <w:tcW w:w="1287"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沥青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6" w:type="dxa"/>
            <w:vMerge w:val="continue"/>
            <w:vAlign w:val="center"/>
          </w:tcPr>
          <w:p>
            <w:pPr>
              <w:spacing w:line="240" w:lineRule="auto"/>
              <w:ind w:firstLine="0" w:firstLineChars="0"/>
              <w:jc w:val="center"/>
              <w:rPr>
                <w:rFonts w:ascii="宋体" w:hAnsi="宋体"/>
                <w:sz w:val="18"/>
                <w:szCs w:val="18"/>
              </w:rPr>
            </w:pPr>
          </w:p>
        </w:tc>
        <w:tc>
          <w:tcPr>
            <w:tcW w:w="3604"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西坑畲族镇—杜山村</w:t>
            </w:r>
          </w:p>
        </w:tc>
        <w:tc>
          <w:tcPr>
            <w:tcW w:w="1068" w:type="dxa"/>
            <w:vAlign w:val="center"/>
          </w:tcPr>
          <w:p>
            <w:pPr>
              <w:spacing w:line="240" w:lineRule="auto"/>
              <w:ind w:firstLine="0" w:firstLineChars="0"/>
              <w:jc w:val="center"/>
              <w:rPr>
                <w:rFonts w:ascii="宋体" w:hAnsi="宋体"/>
                <w:sz w:val="18"/>
                <w:szCs w:val="18"/>
              </w:rPr>
            </w:pPr>
            <w:r>
              <w:rPr>
                <w:rFonts w:ascii="宋体" w:hAnsi="宋体"/>
                <w:sz w:val="18"/>
                <w:szCs w:val="18"/>
              </w:rPr>
              <w:t>30</w:t>
            </w:r>
          </w:p>
        </w:tc>
        <w:tc>
          <w:tcPr>
            <w:tcW w:w="954" w:type="dxa"/>
            <w:vAlign w:val="center"/>
          </w:tcPr>
          <w:p>
            <w:pPr>
              <w:spacing w:line="240" w:lineRule="auto"/>
              <w:ind w:firstLine="0" w:firstLineChars="0"/>
              <w:jc w:val="center"/>
              <w:rPr>
                <w:rFonts w:ascii="宋体" w:hAnsi="宋体"/>
                <w:sz w:val="18"/>
                <w:szCs w:val="18"/>
              </w:rPr>
            </w:pPr>
            <w:r>
              <w:rPr>
                <w:rFonts w:ascii="宋体" w:hAnsi="宋体"/>
                <w:sz w:val="18"/>
                <w:szCs w:val="18"/>
              </w:rPr>
              <w:t>6</w:t>
            </w:r>
          </w:p>
        </w:tc>
        <w:tc>
          <w:tcPr>
            <w:tcW w:w="821" w:type="dxa"/>
            <w:vAlign w:val="center"/>
          </w:tcPr>
          <w:p>
            <w:pPr>
              <w:spacing w:line="240" w:lineRule="auto"/>
              <w:ind w:firstLine="0" w:firstLineChars="0"/>
              <w:jc w:val="center"/>
              <w:rPr>
                <w:rFonts w:ascii="Calibri" w:hAnsi="Calibri"/>
                <w:sz w:val="18"/>
                <w:szCs w:val="18"/>
              </w:rPr>
            </w:pPr>
            <w:r>
              <w:rPr>
                <w:rFonts w:hint="eastAsia" w:ascii="宋体" w:hAnsi="宋体"/>
                <w:sz w:val="18"/>
                <w:szCs w:val="18"/>
              </w:rPr>
              <w:t>四级</w:t>
            </w:r>
          </w:p>
        </w:tc>
        <w:tc>
          <w:tcPr>
            <w:tcW w:w="1287"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沥青</w:t>
            </w:r>
          </w:p>
        </w:tc>
      </w:tr>
    </w:tbl>
    <w:p>
      <w:pPr>
        <w:pStyle w:val="4"/>
        <w:spacing w:before="156"/>
        <w:ind w:firstLine="360"/>
      </w:pPr>
      <w:r>
        <w:rPr>
          <w:rFonts w:hint="eastAsia"/>
        </w:rPr>
        <w:t>（五）步行游览交通规划</w:t>
      </w:r>
    </w:p>
    <w:p>
      <w:pPr>
        <w:spacing w:before="93" w:beforeLines="30"/>
        <w:ind w:firstLine="480"/>
        <w:rPr>
          <w:rFonts w:cs="宋体"/>
        </w:rPr>
      </w:pPr>
      <w:r>
        <w:rPr>
          <w:rFonts w:hint="eastAsia" w:cs="宋体"/>
        </w:rPr>
        <w:t>完善百丈漈、峡谷景廊、天顶湖、朱阳九峰、刘基庙、龙麒源已有步道系统，新建天顶湖环湖绿道、岩门大峡谷步道、双龙及飞云湖环湖步道系统、牛栏湾森林步道、金朱林场游步道。游步道路面可由水泥、石板、石块、卵石、水泥、素土等铺筑，可筑成梯道或坡道形式，路面宽1.2-2.5米，局部游人集中路段宽可达4-5米。</w:t>
      </w:r>
    </w:p>
    <w:p>
      <w:pPr>
        <w:spacing w:before="156" w:beforeLines="50" w:after="156" w:afterLines="50" w:line="440" w:lineRule="exact"/>
        <w:ind w:left="480" w:firstLine="0" w:firstLineChars="0"/>
        <w:jc w:val="center"/>
        <w:rPr>
          <w:rFonts w:ascii="宋体" w:hAnsi="宋体" w:cs="仿宋_GB2312"/>
          <w:b/>
          <w:sz w:val="21"/>
          <w:szCs w:val="21"/>
          <w:lang w:val="zh-CN"/>
        </w:rPr>
      </w:pPr>
      <w:r>
        <w:rPr>
          <w:rFonts w:hint="eastAsia" w:ascii="宋体" w:hAnsi="宋体" w:cs="仿宋_GB2312"/>
          <w:b/>
          <w:sz w:val="21"/>
          <w:szCs w:val="21"/>
          <w:lang w:val="zh-CN"/>
        </w:rPr>
        <w:t>表4</w:t>
      </w:r>
      <w:r>
        <w:rPr>
          <w:rFonts w:ascii="宋体" w:hAnsi="宋体" w:cs="仿宋_GB2312"/>
          <w:b/>
          <w:sz w:val="21"/>
          <w:szCs w:val="21"/>
          <w:lang w:val="zh-CN"/>
        </w:rPr>
        <w:t xml:space="preserve">-2 </w:t>
      </w:r>
      <w:r>
        <w:rPr>
          <w:rFonts w:hint="eastAsia" w:ascii="宋体" w:hAnsi="宋体" w:cs="仿宋_GB2312"/>
          <w:b/>
          <w:sz w:val="21"/>
          <w:szCs w:val="21"/>
          <w:lang w:val="zh-CN"/>
        </w:rPr>
        <w:t>游步道建设规划一览表</w:t>
      </w:r>
    </w:p>
    <w:tbl>
      <w:tblPr>
        <w:tblStyle w:val="42"/>
        <w:tblW w:w="88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2307"/>
        <w:gridCol w:w="1883"/>
        <w:gridCol w:w="1439"/>
        <w:gridCol w:w="2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03" w:type="dxa"/>
            <w:shd w:val="clear" w:color="auto" w:fill="E2E2E2"/>
            <w:vAlign w:val="center"/>
          </w:tcPr>
          <w:p>
            <w:pPr>
              <w:spacing w:line="240" w:lineRule="auto"/>
              <w:ind w:firstLine="0" w:firstLineChars="0"/>
              <w:jc w:val="center"/>
              <w:rPr>
                <w:rFonts w:ascii="Calibri" w:hAnsi="Calibri"/>
                <w:b/>
                <w:sz w:val="18"/>
                <w:szCs w:val="18"/>
              </w:rPr>
            </w:pPr>
            <w:r>
              <w:rPr>
                <w:rFonts w:hint="eastAsia" w:ascii="Calibri" w:hAnsi="Calibri"/>
                <w:b/>
                <w:sz w:val="18"/>
                <w:szCs w:val="18"/>
              </w:rPr>
              <w:t>序号</w:t>
            </w:r>
          </w:p>
        </w:tc>
        <w:tc>
          <w:tcPr>
            <w:tcW w:w="2307" w:type="dxa"/>
            <w:shd w:val="clear" w:color="auto" w:fill="E2E2E2"/>
            <w:vAlign w:val="center"/>
          </w:tcPr>
          <w:p>
            <w:pPr>
              <w:spacing w:line="240" w:lineRule="auto"/>
              <w:ind w:firstLine="0" w:firstLineChars="0"/>
              <w:jc w:val="center"/>
              <w:rPr>
                <w:rFonts w:ascii="Calibri" w:hAnsi="Calibri"/>
                <w:b/>
                <w:sz w:val="18"/>
                <w:szCs w:val="18"/>
              </w:rPr>
            </w:pPr>
            <w:r>
              <w:rPr>
                <w:rFonts w:hint="eastAsia" w:ascii="Calibri" w:hAnsi="Calibri"/>
                <w:b/>
                <w:sz w:val="18"/>
                <w:szCs w:val="18"/>
              </w:rPr>
              <w:t>规划位置</w:t>
            </w:r>
          </w:p>
        </w:tc>
        <w:tc>
          <w:tcPr>
            <w:tcW w:w="1883" w:type="dxa"/>
            <w:shd w:val="clear" w:color="auto" w:fill="E2E2E2"/>
            <w:vAlign w:val="center"/>
          </w:tcPr>
          <w:p>
            <w:pPr>
              <w:spacing w:line="240" w:lineRule="auto"/>
              <w:ind w:firstLine="0" w:firstLineChars="0"/>
              <w:jc w:val="center"/>
              <w:rPr>
                <w:rFonts w:ascii="宋体" w:hAnsi="宋体"/>
                <w:b/>
                <w:sz w:val="18"/>
                <w:szCs w:val="18"/>
              </w:rPr>
            </w:pPr>
            <w:r>
              <w:rPr>
                <w:rFonts w:hint="eastAsia" w:ascii="宋体" w:hAnsi="宋体"/>
                <w:b/>
                <w:sz w:val="18"/>
                <w:szCs w:val="18"/>
              </w:rPr>
              <w:t>游步道长（</w:t>
            </w:r>
            <w:r>
              <w:rPr>
                <w:rFonts w:ascii="宋体" w:hAnsi="宋体"/>
                <w:b/>
                <w:sz w:val="18"/>
                <w:szCs w:val="18"/>
              </w:rPr>
              <w:t>m）</w:t>
            </w:r>
          </w:p>
        </w:tc>
        <w:tc>
          <w:tcPr>
            <w:tcW w:w="1439" w:type="dxa"/>
            <w:shd w:val="clear" w:color="auto" w:fill="E2E2E2"/>
            <w:vAlign w:val="center"/>
          </w:tcPr>
          <w:p>
            <w:pPr>
              <w:spacing w:line="240" w:lineRule="auto"/>
              <w:ind w:firstLine="0" w:firstLineChars="0"/>
              <w:jc w:val="center"/>
              <w:rPr>
                <w:rFonts w:ascii="宋体" w:hAnsi="宋体"/>
                <w:b/>
                <w:sz w:val="18"/>
                <w:szCs w:val="18"/>
              </w:rPr>
            </w:pPr>
            <w:r>
              <w:rPr>
                <w:rFonts w:hint="eastAsia" w:ascii="宋体" w:hAnsi="宋体"/>
                <w:b/>
                <w:sz w:val="18"/>
                <w:szCs w:val="18"/>
              </w:rPr>
              <w:t>宽度（</w:t>
            </w:r>
            <w:r>
              <w:rPr>
                <w:rFonts w:ascii="宋体" w:hAnsi="宋体"/>
                <w:b/>
                <w:sz w:val="18"/>
                <w:szCs w:val="18"/>
              </w:rPr>
              <w:t>m）</w:t>
            </w:r>
          </w:p>
        </w:tc>
        <w:tc>
          <w:tcPr>
            <w:tcW w:w="2232" w:type="dxa"/>
            <w:shd w:val="clear" w:color="auto" w:fill="E2E2E2"/>
            <w:vAlign w:val="center"/>
          </w:tcPr>
          <w:p>
            <w:pPr>
              <w:spacing w:line="240" w:lineRule="auto"/>
              <w:ind w:firstLine="0" w:firstLineChars="0"/>
              <w:jc w:val="center"/>
              <w:rPr>
                <w:rFonts w:ascii="宋体" w:hAnsi="宋体"/>
                <w:b/>
                <w:sz w:val="18"/>
                <w:szCs w:val="18"/>
              </w:rPr>
            </w:pPr>
            <w:r>
              <w:rPr>
                <w:rFonts w:hint="eastAsia" w:ascii="宋体" w:hAnsi="宋体"/>
                <w:b/>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03" w:type="dxa"/>
            <w:vAlign w:val="center"/>
          </w:tcPr>
          <w:p>
            <w:pPr>
              <w:spacing w:line="240" w:lineRule="auto"/>
              <w:ind w:firstLine="0" w:firstLineChars="0"/>
              <w:jc w:val="center"/>
              <w:rPr>
                <w:rFonts w:ascii="Calibri" w:hAnsi="Calibri"/>
                <w:sz w:val="18"/>
                <w:szCs w:val="18"/>
              </w:rPr>
            </w:pPr>
            <w:r>
              <w:rPr>
                <w:rFonts w:ascii="Calibri" w:hAnsi="Calibri"/>
                <w:sz w:val="18"/>
                <w:szCs w:val="18"/>
              </w:rPr>
              <w:t>1</w:t>
            </w:r>
          </w:p>
        </w:tc>
        <w:tc>
          <w:tcPr>
            <w:tcW w:w="2307"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百丈漈游步道</w:t>
            </w:r>
          </w:p>
        </w:tc>
        <w:tc>
          <w:tcPr>
            <w:tcW w:w="1883" w:type="dxa"/>
            <w:vAlign w:val="center"/>
          </w:tcPr>
          <w:p>
            <w:pPr>
              <w:spacing w:line="240" w:lineRule="auto"/>
              <w:ind w:firstLine="0" w:firstLineChars="0"/>
              <w:jc w:val="center"/>
              <w:rPr>
                <w:rFonts w:ascii="宋体" w:hAnsi="宋体"/>
                <w:sz w:val="18"/>
                <w:szCs w:val="18"/>
              </w:rPr>
            </w:pPr>
            <w:r>
              <w:rPr>
                <w:rFonts w:ascii="宋体" w:hAnsi="宋体"/>
                <w:sz w:val="18"/>
                <w:szCs w:val="18"/>
              </w:rPr>
              <w:t>3400</w:t>
            </w:r>
          </w:p>
        </w:tc>
        <w:tc>
          <w:tcPr>
            <w:tcW w:w="1439" w:type="dxa"/>
            <w:vAlign w:val="center"/>
          </w:tcPr>
          <w:p>
            <w:pPr>
              <w:spacing w:line="240" w:lineRule="auto"/>
              <w:ind w:firstLine="0" w:firstLineChars="0"/>
              <w:jc w:val="center"/>
              <w:rPr>
                <w:rFonts w:ascii="宋体" w:hAnsi="宋体"/>
                <w:sz w:val="18"/>
                <w:szCs w:val="18"/>
              </w:rPr>
            </w:pPr>
            <w:r>
              <w:rPr>
                <w:rFonts w:ascii="宋体" w:hAnsi="宋体"/>
                <w:sz w:val="18"/>
                <w:szCs w:val="18"/>
              </w:rPr>
              <w:t xml:space="preserve">1.5-4.0 </w:t>
            </w:r>
          </w:p>
        </w:tc>
        <w:tc>
          <w:tcPr>
            <w:tcW w:w="2232"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维护、新建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03" w:type="dxa"/>
            <w:vAlign w:val="center"/>
          </w:tcPr>
          <w:p>
            <w:pPr>
              <w:spacing w:line="240" w:lineRule="auto"/>
              <w:ind w:firstLine="0" w:firstLineChars="0"/>
              <w:jc w:val="center"/>
              <w:rPr>
                <w:rFonts w:ascii="Calibri" w:hAnsi="Calibri"/>
                <w:sz w:val="18"/>
                <w:szCs w:val="18"/>
              </w:rPr>
            </w:pPr>
            <w:r>
              <w:rPr>
                <w:rFonts w:ascii="Calibri" w:hAnsi="Calibri"/>
                <w:sz w:val="18"/>
                <w:szCs w:val="18"/>
              </w:rPr>
              <w:t>2</w:t>
            </w:r>
          </w:p>
        </w:tc>
        <w:tc>
          <w:tcPr>
            <w:tcW w:w="2307"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天顶湖环湖绿道</w:t>
            </w:r>
          </w:p>
        </w:tc>
        <w:tc>
          <w:tcPr>
            <w:tcW w:w="1883" w:type="dxa"/>
            <w:vAlign w:val="center"/>
          </w:tcPr>
          <w:p>
            <w:pPr>
              <w:spacing w:line="240" w:lineRule="auto"/>
              <w:ind w:firstLine="0" w:firstLineChars="0"/>
              <w:jc w:val="center"/>
              <w:rPr>
                <w:rFonts w:ascii="宋体" w:hAnsi="宋体"/>
                <w:sz w:val="18"/>
                <w:szCs w:val="18"/>
              </w:rPr>
            </w:pPr>
            <w:r>
              <w:rPr>
                <w:rFonts w:ascii="宋体" w:hAnsi="宋体"/>
                <w:sz w:val="18"/>
                <w:szCs w:val="18"/>
              </w:rPr>
              <w:t>20000</w:t>
            </w:r>
          </w:p>
        </w:tc>
        <w:tc>
          <w:tcPr>
            <w:tcW w:w="1439" w:type="dxa"/>
            <w:vAlign w:val="center"/>
          </w:tcPr>
          <w:p>
            <w:pPr>
              <w:spacing w:line="240" w:lineRule="auto"/>
              <w:ind w:firstLine="0" w:firstLineChars="0"/>
              <w:jc w:val="center"/>
              <w:rPr>
                <w:rFonts w:ascii="宋体" w:hAnsi="宋体"/>
                <w:sz w:val="18"/>
                <w:szCs w:val="18"/>
              </w:rPr>
            </w:pPr>
            <w:r>
              <w:rPr>
                <w:rFonts w:ascii="宋体" w:hAnsi="宋体"/>
                <w:sz w:val="18"/>
                <w:szCs w:val="18"/>
              </w:rPr>
              <w:t>4.5-6.0</w:t>
            </w:r>
          </w:p>
        </w:tc>
        <w:tc>
          <w:tcPr>
            <w:tcW w:w="2232"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03" w:type="dxa"/>
            <w:vAlign w:val="center"/>
          </w:tcPr>
          <w:p>
            <w:pPr>
              <w:spacing w:line="240" w:lineRule="auto"/>
              <w:ind w:firstLine="0" w:firstLineChars="0"/>
              <w:jc w:val="center"/>
              <w:rPr>
                <w:rFonts w:ascii="Calibri" w:hAnsi="Calibri"/>
                <w:sz w:val="18"/>
                <w:szCs w:val="18"/>
              </w:rPr>
            </w:pPr>
            <w:r>
              <w:rPr>
                <w:rFonts w:ascii="Calibri" w:hAnsi="Calibri"/>
                <w:sz w:val="18"/>
                <w:szCs w:val="18"/>
              </w:rPr>
              <w:t>3</w:t>
            </w:r>
          </w:p>
        </w:tc>
        <w:tc>
          <w:tcPr>
            <w:tcW w:w="2307"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峡谷景廊游步道</w:t>
            </w:r>
          </w:p>
        </w:tc>
        <w:tc>
          <w:tcPr>
            <w:tcW w:w="1883" w:type="dxa"/>
            <w:vAlign w:val="center"/>
          </w:tcPr>
          <w:p>
            <w:pPr>
              <w:spacing w:line="240" w:lineRule="auto"/>
              <w:ind w:firstLine="0" w:firstLineChars="0"/>
              <w:jc w:val="center"/>
              <w:rPr>
                <w:rFonts w:ascii="宋体" w:hAnsi="宋体"/>
                <w:sz w:val="18"/>
                <w:szCs w:val="18"/>
              </w:rPr>
            </w:pPr>
            <w:r>
              <w:rPr>
                <w:rFonts w:ascii="宋体" w:hAnsi="宋体"/>
                <w:sz w:val="18"/>
                <w:szCs w:val="18"/>
              </w:rPr>
              <w:t>4360</w:t>
            </w:r>
          </w:p>
        </w:tc>
        <w:tc>
          <w:tcPr>
            <w:tcW w:w="1439" w:type="dxa"/>
            <w:vAlign w:val="center"/>
          </w:tcPr>
          <w:p>
            <w:pPr>
              <w:spacing w:line="240" w:lineRule="auto"/>
              <w:ind w:firstLine="0" w:firstLineChars="0"/>
              <w:jc w:val="center"/>
              <w:rPr>
                <w:rFonts w:ascii="宋体" w:hAnsi="宋体"/>
                <w:sz w:val="18"/>
                <w:szCs w:val="18"/>
              </w:rPr>
            </w:pPr>
            <w:r>
              <w:rPr>
                <w:rFonts w:ascii="宋体" w:hAnsi="宋体"/>
                <w:sz w:val="18"/>
                <w:szCs w:val="18"/>
              </w:rPr>
              <w:t>1.5-2.0</w:t>
            </w:r>
          </w:p>
        </w:tc>
        <w:tc>
          <w:tcPr>
            <w:tcW w:w="2232"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03" w:type="dxa"/>
            <w:vAlign w:val="center"/>
          </w:tcPr>
          <w:p>
            <w:pPr>
              <w:spacing w:line="240" w:lineRule="auto"/>
              <w:ind w:firstLine="0" w:firstLineChars="0"/>
              <w:jc w:val="center"/>
              <w:rPr>
                <w:rFonts w:ascii="Calibri" w:hAnsi="Calibri"/>
                <w:sz w:val="18"/>
                <w:szCs w:val="18"/>
              </w:rPr>
            </w:pPr>
            <w:r>
              <w:rPr>
                <w:rFonts w:ascii="Calibri" w:hAnsi="Calibri"/>
                <w:sz w:val="18"/>
                <w:szCs w:val="18"/>
              </w:rPr>
              <w:t>4</w:t>
            </w:r>
          </w:p>
        </w:tc>
        <w:tc>
          <w:tcPr>
            <w:tcW w:w="2307"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刘基庙游步道</w:t>
            </w:r>
          </w:p>
        </w:tc>
        <w:tc>
          <w:tcPr>
            <w:tcW w:w="1883" w:type="dxa"/>
            <w:vAlign w:val="center"/>
          </w:tcPr>
          <w:p>
            <w:pPr>
              <w:spacing w:line="240" w:lineRule="auto"/>
              <w:ind w:firstLine="0" w:firstLineChars="0"/>
              <w:jc w:val="center"/>
              <w:rPr>
                <w:rFonts w:ascii="宋体" w:hAnsi="宋体"/>
                <w:sz w:val="18"/>
                <w:szCs w:val="18"/>
              </w:rPr>
            </w:pPr>
            <w:r>
              <w:rPr>
                <w:rFonts w:ascii="宋体" w:hAnsi="宋体"/>
                <w:sz w:val="18"/>
                <w:szCs w:val="18"/>
              </w:rPr>
              <w:t>6795</w:t>
            </w:r>
          </w:p>
        </w:tc>
        <w:tc>
          <w:tcPr>
            <w:tcW w:w="1439" w:type="dxa"/>
            <w:vAlign w:val="center"/>
          </w:tcPr>
          <w:p>
            <w:pPr>
              <w:spacing w:line="240" w:lineRule="auto"/>
              <w:ind w:firstLine="0" w:firstLineChars="0"/>
              <w:jc w:val="center"/>
              <w:rPr>
                <w:rFonts w:ascii="宋体" w:hAnsi="宋体"/>
                <w:sz w:val="18"/>
                <w:szCs w:val="18"/>
              </w:rPr>
            </w:pPr>
            <w:r>
              <w:rPr>
                <w:rFonts w:ascii="宋体" w:hAnsi="宋体"/>
                <w:sz w:val="18"/>
                <w:szCs w:val="18"/>
              </w:rPr>
              <w:t>1.5-2.0</w:t>
            </w:r>
          </w:p>
        </w:tc>
        <w:tc>
          <w:tcPr>
            <w:tcW w:w="2232"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维护、新建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03" w:type="dxa"/>
            <w:vAlign w:val="center"/>
          </w:tcPr>
          <w:p>
            <w:pPr>
              <w:spacing w:line="240" w:lineRule="auto"/>
              <w:ind w:firstLine="0" w:firstLineChars="0"/>
              <w:jc w:val="center"/>
              <w:rPr>
                <w:rFonts w:ascii="宋体" w:hAnsi="宋体"/>
                <w:sz w:val="18"/>
                <w:szCs w:val="18"/>
              </w:rPr>
            </w:pPr>
            <w:r>
              <w:rPr>
                <w:rFonts w:ascii="宋体" w:hAnsi="宋体"/>
                <w:sz w:val="18"/>
                <w:szCs w:val="18"/>
              </w:rPr>
              <w:t>5</w:t>
            </w:r>
          </w:p>
        </w:tc>
        <w:tc>
          <w:tcPr>
            <w:tcW w:w="2307"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朱阳九峰游步道</w:t>
            </w:r>
          </w:p>
        </w:tc>
        <w:tc>
          <w:tcPr>
            <w:tcW w:w="1883" w:type="dxa"/>
            <w:vAlign w:val="center"/>
          </w:tcPr>
          <w:p>
            <w:pPr>
              <w:spacing w:line="240" w:lineRule="auto"/>
              <w:ind w:firstLine="0" w:firstLineChars="0"/>
              <w:jc w:val="center"/>
              <w:rPr>
                <w:rFonts w:ascii="宋体" w:hAnsi="宋体"/>
                <w:sz w:val="18"/>
                <w:szCs w:val="18"/>
              </w:rPr>
            </w:pPr>
            <w:r>
              <w:rPr>
                <w:rFonts w:ascii="宋体" w:hAnsi="宋体"/>
                <w:sz w:val="18"/>
                <w:szCs w:val="18"/>
              </w:rPr>
              <w:t>4700</w:t>
            </w:r>
          </w:p>
        </w:tc>
        <w:tc>
          <w:tcPr>
            <w:tcW w:w="1439" w:type="dxa"/>
            <w:vAlign w:val="center"/>
          </w:tcPr>
          <w:p>
            <w:pPr>
              <w:spacing w:line="240" w:lineRule="auto"/>
              <w:ind w:firstLine="0" w:firstLineChars="0"/>
              <w:jc w:val="center"/>
              <w:rPr>
                <w:rFonts w:ascii="宋体" w:hAnsi="宋体"/>
                <w:sz w:val="18"/>
                <w:szCs w:val="18"/>
              </w:rPr>
            </w:pPr>
            <w:r>
              <w:rPr>
                <w:rFonts w:ascii="宋体" w:hAnsi="宋体"/>
                <w:sz w:val="18"/>
                <w:szCs w:val="18"/>
              </w:rPr>
              <w:t xml:space="preserve">1.5-2.0 </w:t>
            </w:r>
          </w:p>
        </w:tc>
        <w:tc>
          <w:tcPr>
            <w:tcW w:w="2232"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维护、新建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03"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6</w:t>
            </w:r>
          </w:p>
        </w:tc>
        <w:tc>
          <w:tcPr>
            <w:tcW w:w="2307"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龙麒源游步道</w:t>
            </w:r>
          </w:p>
        </w:tc>
        <w:tc>
          <w:tcPr>
            <w:tcW w:w="1883"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7970</w:t>
            </w:r>
          </w:p>
        </w:tc>
        <w:tc>
          <w:tcPr>
            <w:tcW w:w="1439"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 xml:space="preserve">1.5-2.0 </w:t>
            </w:r>
          </w:p>
        </w:tc>
        <w:tc>
          <w:tcPr>
            <w:tcW w:w="2232"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维护、新建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03"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7</w:t>
            </w:r>
          </w:p>
        </w:tc>
        <w:tc>
          <w:tcPr>
            <w:tcW w:w="2307"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岩门游步道</w:t>
            </w:r>
          </w:p>
        </w:tc>
        <w:tc>
          <w:tcPr>
            <w:tcW w:w="1883"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8100</w:t>
            </w:r>
          </w:p>
        </w:tc>
        <w:tc>
          <w:tcPr>
            <w:tcW w:w="1439"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1.5-2.0</w:t>
            </w:r>
          </w:p>
        </w:tc>
        <w:tc>
          <w:tcPr>
            <w:tcW w:w="2232"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03"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8</w:t>
            </w:r>
          </w:p>
        </w:tc>
        <w:tc>
          <w:tcPr>
            <w:tcW w:w="2307"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飞云湖环湖绿道</w:t>
            </w:r>
          </w:p>
        </w:tc>
        <w:tc>
          <w:tcPr>
            <w:tcW w:w="1883"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63600</w:t>
            </w:r>
          </w:p>
        </w:tc>
        <w:tc>
          <w:tcPr>
            <w:tcW w:w="1439"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1.5-2.0</w:t>
            </w:r>
          </w:p>
        </w:tc>
        <w:tc>
          <w:tcPr>
            <w:tcW w:w="2232"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维护、新建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03" w:type="dxa"/>
            <w:vAlign w:val="center"/>
          </w:tcPr>
          <w:p>
            <w:pPr>
              <w:spacing w:line="240" w:lineRule="auto"/>
              <w:ind w:firstLine="0" w:firstLineChars="0"/>
              <w:jc w:val="center"/>
              <w:rPr>
                <w:rFonts w:ascii="宋体" w:hAnsi="宋体"/>
                <w:sz w:val="18"/>
                <w:szCs w:val="18"/>
              </w:rPr>
            </w:pPr>
            <w:r>
              <w:rPr>
                <w:rFonts w:ascii="宋体" w:hAnsi="宋体"/>
                <w:sz w:val="18"/>
                <w:szCs w:val="18"/>
              </w:rPr>
              <w:t>9</w:t>
            </w:r>
          </w:p>
        </w:tc>
        <w:tc>
          <w:tcPr>
            <w:tcW w:w="2307"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双龙游步道</w:t>
            </w:r>
          </w:p>
        </w:tc>
        <w:tc>
          <w:tcPr>
            <w:tcW w:w="1883" w:type="dxa"/>
            <w:vAlign w:val="center"/>
          </w:tcPr>
          <w:p>
            <w:pPr>
              <w:spacing w:line="240" w:lineRule="auto"/>
              <w:ind w:firstLine="0" w:firstLineChars="0"/>
              <w:jc w:val="center"/>
              <w:rPr>
                <w:rFonts w:ascii="宋体" w:hAnsi="宋体"/>
                <w:sz w:val="18"/>
                <w:szCs w:val="18"/>
              </w:rPr>
            </w:pPr>
            <w:r>
              <w:rPr>
                <w:rFonts w:ascii="宋体" w:hAnsi="宋体"/>
                <w:sz w:val="18"/>
                <w:szCs w:val="18"/>
              </w:rPr>
              <w:t>3860</w:t>
            </w:r>
          </w:p>
        </w:tc>
        <w:tc>
          <w:tcPr>
            <w:tcW w:w="1439" w:type="dxa"/>
            <w:vAlign w:val="center"/>
          </w:tcPr>
          <w:p>
            <w:pPr>
              <w:spacing w:line="240" w:lineRule="auto"/>
              <w:ind w:firstLine="0" w:firstLineChars="0"/>
              <w:jc w:val="center"/>
              <w:rPr>
                <w:rFonts w:ascii="宋体" w:hAnsi="宋体"/>
                <w:sz w:val="18"/>
                <w:szCs w:val="18"/>
              </w:rPr>
            </w:pPr>
            <w:r>
              <w:rPr>
                <w:rFonts w:ascii="宋体" w:hAnsi="宋体"/>
                <w:sz w:val="18"/>
                <w:szCs w:val="18"/>
              </w:rPr>
              <w:t>1.5-2.0</w:t>
            </w:r>
          </w:p>
        </w:tc>
        <w:tc>
          <w:tcPr>
            <w:tcW w:w="2232"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03" w:type="dxa"/>
            <w:vAlign w:val="center"/>
          </w:tcPr>
          <w:p>
            <w:pPr>
              <w:spacing w:line="240" w:lineRule="auto"/>
              <w:ind w:firstLine="0" w:firstLineChars="0"/>
              <w:jc w:val="center"/>
              <w:rPr>
                <w:rFonts w:ascii="宋体" w:hAnsi="宋体"/>
                <w:sz w:val="18"/>
                <w:szCs w:val="18"/>
              </w:rPr>
            </w:pPr>
            <w:r>
              <w:rPr>
                <w:rFonts w:ascii="宋体" w:hAnsi="宋体"/>
                <w:sz w:val="18"/>
                <w:szCs w:val="18"/>
              </w:rPr>
              <w:t>10</w:t>
            </w:r>
          </w:p>
        </w:tc>
        <w:tc>
          <w:tcPr>
            <w:tcW w:w="2307"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铜铃山畲乡古道</w:t>
            </w:r>
          </w:p>
        </w:tc>
        <w:tc>
          <w:tcPr>
            <w:tcW w:w="1883" w:type="dxa"/>
            <w:vAlign w:val="center"/>
          </w:tcPr>
          <w:p>
            <w:pPr>
              <w:spacing w:line="240" w:lineRule="auto"/>
              <w:ind w:firstLine="0" w:firstLineChars="0"/>
              <w:jc w:val="center"/>
              <w:rPr>
                <w:rFonts w:ascii="宋体" w:hAnsi="宋体"/>
                <w:sz w:val="18"/>
                <w:szCs w:val="18"/>
              </w:rPr>
            </w:pPr>
            <w:r>
              <w:rPr>
                <w:rFonts w:ascii="宋体" w:hAnsi="宋体"/>
                <w:sz w:val="18"/>
                <w:szCs w:val="18"/>
              </w:rPr>
              <w:t>5000</w:t>
            </w:r>
          </w:p>
        </w:tc>
        <w:tc>
          <w:tcPr>
            <w:tcW w:w="1439" w:type="dxa"/>
            <w:vAlign w:val="center"/>
          </w:tcPr>
          <w:p>
            <w:pPr>
              <w:spacing w:line="240" w:lineRule="auto"/>
              <w:ind w:firstLine="0" w:firstLineChars="0"/>
              <w:jc w:val="center"/>
              <w:rPr>
                <w:rFonts w:ascii="宋体" w:hAnsi="宋体"/>
                <w:sz w:val="18"/>
                <w:szCs w:val="18"/>
              </w:rPr>
            </w:pPr>
            <w:r>
              <w:rPr>
                <w:rFonts w:ascii="宋体" w:hAnsi="宋体"/>
                <w:sz w:val="18"/>
                <w:szCs w:val="18"/>
              </w:rPr>
              <w:t xml:space="preserve">1.5-2.0 </w:t>
            </w:r>
          </w:p>
        </w:tc>
        <w:tc>
          <w:tcPr>
            <w:tcW w:w="2232"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03" w:type="dxa"/>
            <w:vAlign w:val="center"/>
          </w:tcPr>
          <w:p>
            <w:pPr>
              <w:spacing w:line="240" w:lineRule="auto"/>
              <w:ind w:firstLine="0" w:firstLineChars="0"/>
              <w:jc w:val="center"/>
              <w:rPr>
                <w:rFonts w:ascii="宋体" w:hAnsi="宋体"/>
                <w:sz w:val="18"/>
                <w:szCs w:val="18"/>
              </w:rPr>
            </w:pPr>
            <w:r>
              <w:rPr>
                <w:rFonts w:ascii="宋体" w:hAnsi="宋体"/>
                <w:sz w:val="18"/>
                <w:szCs w:val="18"/>
              </w:rPr>
              <w:t>11</w:t>
            </w:r>
          </w:p>
        </w:tc>
        <w:tc>
          <w:tcPr>
            <w:tcW w:w="2307"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红枫古道</w:t>
            </w:r>
          </w:p>
        </w:tc>
        <w:tc>
          <w:tcPr>
            <w:tcW w:w="1883" w:type="dxa"/>
            <w:vAlign w:val="center"/>
          </w:tcPr>
          <w:p>
            <w:pPr>
              <w:spacing w:line="240" w:lineRule="auto"/>
              <w:ind w:firstLine="0" w:firstLineChars="0"/>
              <w:jc w:val="center"/>
              <w:rPr>
                <w:rFonts w:ascii="宋体" w:hAnsi="宋体"/>
                <w:sz w:val="18"/>
                <w:szCs w:val="18"/>
              </w:rPr>
            </w:pPr>
            <w:r>
              <w:rPr>
                <w:rFonts w:ascii="宋体" w:hAnsi="宋体"/>
                <w:sz w:val="18"/>
                <w:szCs w:val="18"/>
              </w:rPr>
              <w:t>1650</w:t>
            </w:r>
          </w:p>
        </w:tc>
        <w:tc>
          <w:tcPr>
            <w:tcW w:w="1439" w:type="dxa"/>
            <w:vAlign w:val="center"/>
          </w:tcPr>
          <w:p>
            <w:pPr>
              <w:spacing w:line="240" w:lineRule="auto"/>
              <w:ind w:firstLine="0" w:firstLineChars="0"/>
              <w:jc w:val="center"/>
              <w:rPr>
                <w:rFonts w:ascii="宋体" w:hAnsi="宋体"/>
                <w:sz w:val="18"/>
                <w:szCs w:val="18"/>
              </w:rPr>
            </w:pPr>
            <w:r>
              <w:rPr>
                <w:rFonts w:ascii="宋体" w:hAnsi="宋体"/>
                <w:sz w:val="18"/>
                <w:szCs w:val="18"/>
              </w:rPr>
              <w:t>1.5-2.0</w:t>
            </w:r>
          </w:p>
        </w:tc>
        <w:tc>
          <w:tcPr>
            <w:tcW w:w="2232"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03" w:type="dxa"/>
            <w:vAlign w:val="center"/>
          </w:tcPr>
          <w:p>
            <w:pPr>
              <w:spacing w:line="240" w:lineRule="auto"/>
              <w:ind w:firstLine="0" w:firstLineChars="0"/>
              <w:jc w:val="center"/>
              <w:rPr>
                <w:rFonts w:ascii="宋体" w:hAnsi="宋体"/>
                <w:sz w:val="18"/>
                <w:szCs w:val="18"/>
              </w:rPr>
            </w:pPr>
            <w:r>
              <w:rPr>
                <w:rFonts w:ascii="宋体" w:hAnsi="宋体"/>
                <w:sz w:val="18"/>
                <w:szCs w:val="18"/>
              </w:rPr>
              <w:t>12</w:t>
            </w:r>
          </w:p>
        </w:tc>
        <w:tc>
          <w:tcPr>
            <w:tcW w:w="2307"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牛栏湾森林步道</w:t>
            </w:r>
          </w:p>
        </w:tc>
        <w:tc>
          <w:tcPr>
            <w:tcW w:w="1883" w:type="dxa"/>
            <w:vAlign w:val="center"/>
          </w:tcPr>
          <w:p>
            <w:pPr>
              <w:spacing w:line="240" w:lineRule="auto"/>
              <w:ind w:firstLine="0" w:firstLineChars="0"/>
              <w:jc w:val="center"/>
              <w:rPr>
                <w:rFonts w:ascii="宋体" w:hAnsi="宋体"/>
                <w:sz w:val="18"/>
                <w:szCs w:val="18"/>
              </w:rPr>
            </w:pPr>
            <w:r>
              <w:rPr>
                <w:rFonts w:ascii="宋体" w:hAnsi="宋体"/>
                <w:sz w:val="18"/>
                <w:szCs w:val="18"/>
              </w:rPr>
              <w:t>7730</w:t>
            </w:r>
          </w:p>
        </w:tc>
        <w:tc>
          <w:tcPr>
            <w:tcW w:w="1439" w:type="dxa"/>
            <w:vAlign w:val="center"/>
          </w:tcPr>
          <w:p>
            <w:pPr>
              <w:spacing w:line="240" w:lineRule="auto"/>
              <w:ind w:firstLine="0" w:firstLineChars="0"/>
              <w:jc w:val="center"/>
              <w:rPr>
                <w:rFonts w:ascii="宋体" w:hAnsi="宋体"/>
                <w:sz w:val="18"/>
                <w:szCs w:val="18"/>
              </w:rPr>
            </w:pPr>
            <w:r>
              <w:rPr>
                <w:rFonts w:ascii="宋体" w:hAnsi="宋体"/>
                <w:sz w:val="18"/>
                <w:szCs w:val="18"/>
              </w:rPr>
              <w:t>1.5-2.0</w:t>
            </w:r>
          </w:p>
        </w:tc>
        <w:tc>
          <w:tcPr>
            <w:tcW w:w="2232"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03" w:type="dxa"/>
            <w:vAlign w:val="center"/>
          </w:tcPr>
          <w:p>
            <w:pPr>
              <w:spacing w:line="240" w:lineRule="auto"/>
              <w:ind w:firstLine="0" w:firstLineChars="0"/>
              <w:jc w:val="center"/>
              <w:rPr>
                <w:rFonts w:ascii="宋体" w:hAnsi="宋体"/>
                <w:sz w:val="18"/>
                <w:szCs w:val="18"/>
              </w:rPr>
            </w:pPr>
            <w:r>
              <w:rPr>
                <w:rFonts w:ascii="宋体" w:hAnsi="宋体"/>
                <w:sz w:val="18"/>
                <w:szCs w:val="18"/>
              </w:rPr>
              <w:t>13</w:t>
            </w:r>
          </w:p>
        </w:tc>
        <w:tc>
          <w:tcPr>
            <w:tcW w:w="2307"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金朱林场游步道</w:t>
            </w:r>
          </w:p>
        </w:tc>
        <w:tc>
          <w:tcPr>
            <w:tcW w:w="1883" w:type="dxa"/>
            <w:vAlign w:val="center"/>
          </w:tcPr>
          <w:p>
            <w:pPr>
              <w:spacing w:line="240" w:lineRule="auto"/>
              <w:ind w:firstLine="0" w:firstLineChars="0"/>
              <w:jc w:val="center"/>
              <w:rPr>
                <w:rFonts w:ascii="宋体" w:hAnsi="宋体"/>
                <w:sz w:val="18"/>
                <w:szCs w:val="18"/>
              </w:rPr>
            </w:pPr>
            <w:r>
              <w:rPr>
                <w:rFonts w:ascii="宋体" w:hAnsi="宋体"/>
                <w:sz w:val="18"/>
                <w:szCs w:val="18"/>
              </w:rPr>
              <w:t>4500</w:t>
            </w:r>
          </w:p>
        </w:tc>
        <w:tc>
          <w:tcPr>
            <w:tcW w:w="1439" w:type="dxa"/>
            <w:vAlign w:val="center"/>
          </w:tcPr>
          <w:p>
            <w:pPr>
              <w:spacing w:line="240" w:lineRule="auto"/>
              <w:ind w:firstLine="0" w:firstLineChars="0"/>
              <w:jc w:val="center"/>
              <w:rPr>
                <w:rFonts w:ascii="宋体" w:hAnsi="宋体"/>
                <w:sz w:val="18"/>
                <w:szCs w:val="18"/>
              </w:rPr>
            </w:pPr>
            <w:r>
              <w:rPr>
                <w:rFonts w:ascii="宋体" w:hAnsi="宋体"/>
                <w:sz w:val="18"/>
                <w:szCs w:val="18"/>
              </w:rPr>
              <w:t>1.5-2.0</w:t>
            </w:r>
          </w:p>
        </w:tc>
        <w:tc>
          <w:tcPr>
            <w:tcW w:w="2232"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新建</w:t>
            </w:r>
          </w:p>
        </w:tc>
      </w:tr>
    </w:tbl>
    <w:p>
      <w:pPr>
        <w:pStyle w:val="4"/>
        <w:spacing w:before="156"/>
        <w:ind w:firstLine="360"/>
      </w:pPr>
      <w:r>
        <w:rPr>
          <w:rFonts w:hint="eastAsia"/>
        </w:rPr>
        <w:t>（六）换乘体系规划</w:t>
      </w:r>
    </w:p>
    <w:p>
      <w:pPr>
        <w:spacing w:before="93" w:beforeLines="30"/>
        <w:ind w:firstLine="482"/>
        <w:rPr>
          <w:rFonts w:cs="宋体"/>
          <w:b/>
        </w:rPr>
      </w:pPr>
      <w:r>
        <w:rPr>
          <w:rFonts w:hint="eastAsia" w:cs="宋体"/>
          <w:b/>
        </w:rPr>
        <w:t>1、换乘体系构成</w:t>
      </w:r>
    </w:p>
    <w:p>
      <w:pPr>
        <w:spacing w:before="93" w:beforeLines="30"/>
        <w:ind w:firstLine="480"/>
        <w:rPr>
          <w:rFonts w:cs="宋体"/>
        </w:rPr>
      </w:pPr>
      <w:r>
        <w:rPr>
          <w:rFonts w:hint="eastAsia" w:cs="宋体"/>
        </w:rPr>
        <w:t>根据景区景点分布和游览组织序列，结合对外交通的衔接情况，建立百丈漈、铜铃山、飞云湖三大片的交通换乘体系，并共同构成区域换乘体系。</w:t>
      </w:r>
    </w:p>
    <w:p>
      <w:pPr>
        <w:spacing w:before="93" w:beforeLines="30"/>
        <w:ind w:firstLine="482"/>
        <w:rPr>
          <w:rFonts w:cs="宋体"/>
          <w:b/>
        </w:rPr>
      </w:pPr>
      <w:r>
        <w:rPr>
          <w:rFonts w:hint="eastAsia" w:cs="宋体"/>
          <w:b/>
        </w:rPr>
        <w:t>2、百丈漈片区换乘体系</w:t>
      </w:r>
    </w:p>
    <w:p>
      <w:pPr>
        <w:spacing w:before="93" w:beforeLines="30"/>
        <w:ind w:firstLine="480"/>
        <w:rPr>
          <w:rFonts w:cs="宋体"/>
        </w:rPr>
      </w:pPr>
      <w:r>
        <w:rPr>
          <w:rFonts w:hint="eastAsia" w:cs="宋体"/>
        </w:rPr>
        <w:t>百丈漈片区换乘体系以大峃镇、玉壶镇为换乘中心，外来车辆可停放在县城和玉壶镇，游客通过换乘旅游巴士到达百丈飞瀑、天顶湖、朱阳九峰、伯温故里景区，在二级、三级出入口换乘景区观光车或徒步进入景区游览。需要建设大型停车场（库）、换乘中心、加油站、汽车清洗维修站等设施。</w:t>
      </w:r>
    </w:p>
    <w:p>
      <w:pPr>
        <w:spacing w:before="93" w:beforeLines="30"/>
        <w:ind w:firstLine="482"/>
        <w:rPr>
          <w:rFonts w:cs="宋体"/>
          <w:b/>
        </w:rPr>
      </w:pPr>
      <w:r>
        <w:rPr>
          <w:rFonts w:hint="eastAsia" w:cs="宋体"/>
          <w:b/>
        </w:rPr>
        <w:t>3、飞云湖片区换乘体系</w:t>
      </w:r>
    </w:p>
    <w:p>
      <w:pPr>
        <w:spacing w:before="93" w:beforeLines="30"/>
        <w:ind w:firstLine="480"/>
        <w:rPr>
          <w:rFonts w:cs="宋体"/>
        </w:rPr>
      </w:pPr>
      <w:r>
        <w:rPr>
          <w:rFonts w:hint="eastAsia" w:cs="宋体"/>
        </w:rPr>
        <w:t>飞云湖片区换乘体系以珊溪镇为换乘中心，外来车辆停放在珊溪镇，游客通过换乘旅游巴士到达飞云湖景区、岩门大峡谷景区以及铜铃山森林公园，需要建设大型停车场（库）、换乘中心、加油站、汽车清洗维修站等设施。</w:t>
      </w:r>
    </w:p>
    <w:p>
      <w:pPr>
        <w:spacing w:before="93" w:beforeLines="30"/>
        <w:ind w:firstLine="482"/>
        <w:rPr>
          <w:rFonts w:cs="宋体"/>
          <w:b/>
        </w:rPr>
      </w:pPr>
      <w:r>
        <w:rPr>
          <w:rFonts w:hint="eastAsia" w:cs="宋体"/>
          <w:b/>
        </w:rPr>
        <w:t>4、铜铃山片区换乘体系</w:t>
      </w:r>
    </w:p>
    <w:p>
      <w:pPr>
        <w:spacing w:before="93" w:beforeLines="30"/>
        <w:ind w:firstLine="480"/>
        <w:rPr>
          <w:rFonts w:cs="宋体"/>
        </w:rPr>
      </w:pPr>
      <w:r>
        <w:rPr>
          <w:rFonts w:hint="eastAsia" w:cs="宋体"/>
        </w:rPr>
        <w:t>铜铃山片区换乘体系以西坑镇为换乘中心，向北辐射伯温故里、龙麒源，向西至石垟景区、铜铃山森林公园，向南辐射岩门大峡谷景区。主要设施包括换乘站、加油站等。承接从北部、东部、西部进入铜铃山森林公园，通至岩门大峡谷和飞云湖景区的车辆换乘，以及经铜铃山镇进入月老山和猴王谷在内的石垟景区的车辆换乘。</w:t>
      </w:r>
    </w:p>
    <w:p>
      <w:pPr>
        <w:spacing w:before="93" w:beforeLines="30"/>
        <w:ind w:left="480" w:firstLine="0" w:firstLineChars="0"/>
        <w:rPr>
          <w:rFonts w:cs="宋体"/>
          <w:b/>
        </w:rPr>
      </w:pPr>
      <w:r>
        <w:rPr>
          <w:rFonts w:hint="eastAsia" w:cs="宋体"/>
          <w:b/>
        </w:rPr>
        <w:t>5、换乘点</w:t>
      </w:r>
    </w:p>
    <w:p>
      <w:pPr>
        <w:numPr>
          <w:ilvl w:val="255"/>
          <w:numId w:val="0"/>
        </w:numPr>
        <w:spacing w:before="93" w:beforeLines="30"/>
        <w:ind w:firstLine="480" w:firstLineChars="200"/>
        <w:rPr>
          <w:rFonts w:cs="宋体"/>
        </w:rPr>
      </w:pPr>
      <w:r>
        <w:rPr>
          <w:rFonts w:hint="eastAsia" w:cs="宋体"/>
        </w:rPr>
        <w:t>根据旅游巴士组织需要，规划在二级、三级出入口建设停靠点。</w:t>
      </w:r>
    </w:p>
    <w:p>
      <w:pPr>
        <w:pStyle w:val="4"/>
        <w:spacing w:before="156"/>
        <w:ind w:firstLine="360"/>
      </w:pPr>
      <w:r>
        <w:rPr>
          <w:rFonts w:hint="eastAsia"/>
        </w:rPr>
        <w:t>（七）公交专线规划</w:t>
      </w:r>
    </w:p>
    <w:p>
      <w:pPr>
        <w:numPr>
          <w:ilvl w:val="255"/>
          <w:numId w:val="0"/>
        </w:numPr>
        <w:spacing w:before="93" w:beforeLines="30"/>
        <w:ind w:firstLine="480"/>
        <w:rPr>
          <w:rFonts w:cs="宋体"/>
        </w:rPr>
      </w:pPr>
      <w:r>
        <w:rPr>
          <w:rFonts w:hint="eastAsia" w:cs="宋体"/>
        </w:rPr>
        <w:t>规划“巴士+轨道”的公共交通体系，倡导风景区内绿色低碳的出行方式，并实现景城融合、景景畅游联通。公交巴士线路包含“快线+专线”两类，其中“快线”为旅游公交巴士快线，服务于四个交通换乘中心之间的往返公共交通，而“专线”为景区公交巴士公交线，服务于交通换乘中心至景区的往返公共交通，共规划9条公交巴士线路，可根据旅游季节调节旅游巴士发车班次。旅游轨道交通线路推荐米轨与齿轨系统组合的制式，丰富游客高品质、多样化的出行需求。</w:t>
      </w:r>
    </w:p>
    <w:p>
      <w:pPr>
        <w:numPr>
          <w:ilvl w:val="255"/>
          <w:numId w:val="0"/>
        </w:numPr>
        <w:spacing w:before="93" w:beforeLines="30"/>
        <w:ind w:firstLine="480"/>
        <w:rPr>
          <w:rFonts w:cs="宋体"/>
          <w:b/>
          <w:bCs/>
        </w:rPr>
      </w:pPr>
      <w:r>
        <w:rPr>
          <w:rFonts w:cs="宋体"/>
          <w:b/>
          <w:bCs/>
        </w:rPr>
        <w:t>1</w:t>
      </w:r>
      <w:r>
        <w:rPr>
          <w:rFonts w:hint="eastAsia" w:cs="宋体"/>
          <w:b/>
          <w:bCs/>
        </w:rPr>
        <w:t>、旅游公交巴士快线（</w:t>
      </w:r>
      <w:r>
        <w:rPr>
          <w:rFonts w:cs="宋体"/>
          <w:b/>
          <w:bCs/>
        </w:rPr>
        <w:t>K</w:t>
      </w:r>
      <w:r>
        <w:rPr>
          <w:rFonts w:hint="eastAsia" w:cs="宋体"/>
          <w:b/>
          <w:bCs/>
        </w:rPr>
        <w:t>）</w:t>
      </w:r>
    </w:p>
    <w:p>
      <w:pPr>
        <w:numPr>
          <w:ilvl w:val="255"/>
          <w:numId w:val="0"/>
        </w:numPr>
        <w:spacing w:before="93" w:beforeLines="30"/>
        <w:ind w:firstLine="480"/>
        <w:rPr>
          <w:rFonts w:cs="宋体"/>
        </w:rPr>
      </w:pPr>
      <w:r>
        <w:rPr>
          <w:rFonts w:hint="eastAsia" w:cs="宋体"/>
        </w:rPr>
        <w:t>（1）K1线：大峃镇交通换乘中心—西坑镇交通换乘中心。</w:t>
      </w:r>
    </w:p>
    <w:p>
      <w:pPr>
        <w:numPr>
          <w:ilvl w:val="255"/>
          <w:numId w:val="0"/>
        </w:numPr>
        <w:spacing w:before="93" w:beforeLines="30"/>
        <w:ind w:firstLine="480"/>
        <w:rPr>
          <w:rFonts w:cs="宋体"/>
        </w:rPr>
      </w:pPr>
      <w:r>
        <w:rPr>
          <w:rFonts w:hint="eastAsia" w:cs="宋体"/>
        </w:rPr>
        <w:t>（2）K2线：大峃镇交通换乘中心—珊溪镇交通换乘中心。</w:t>
      </w:r>
    </w:p>
    <w:p>
      <w:pPr>
        <w:numPr>
          <w:ilvl w:val="255"/>
          <w:numId w:val="0"/>
        </w:numPr>
        <w:spacing w:before="93" w:beforeLines="30"/>
        <w:ind w:firstLine="480"/>
        <w:rPr>
          <w:rFonts w:cs="宋体"/>
        </w:rPr>
      </w:pPr>
      <w:r>
        <w:rPr>
          <w:rFonts w:hint="eastAsia" w:cs="宋体"/>
        </w:rPr>
        <w:t>（3）K3线：大峃镇交通换乘中心—玉壶镇交通换乘中心。</w:t>
      </w:r>
    </w:p>
    <w:p>
      <w:pPr>
        <w:numPr>
          <w:ilvl w:val="255"/>
          <w:numId w:val="0"/>
        </w:numPr>
        <w:spacing w:before="93" w:beforeLines="30"/>
        <w:ind w:firstLine="480"/>
        <w:rPr>
          <w:rFonts w:cs="宋体"/>
          <w:b/>
          <w:bCs/>
        </w:rPr>
      </w:pPr>
      <w:r>
        <w:rPr>
          <w:rFonts w:cs="宋体"/>
          <w:b/>
          <w:bCs/>
        </w:rPr>
        <w:t>2</w:t>
      </w:r>
      <w:r>
        <w:rPr>
          <w:rFonts w:hint="eastAsia" w:cs="宋体"/>
          <w:b/>
          <w:bCs/>
        </w:rPr>
        <w:t>、景区公交巴士专线（</w:t>
      </w:r>
      <w:r>
        <w:rPr>
          <w:rFonts w:cs="宋体"/>
          <w:b/>
          <w:bCs/>
        </w:rPr>
        <w:t>Z</w:t>
      </w:r>
      <w:r>
        <w:rPr>
          <w:rFonts w:hint="eastAsia" w:cs="宋体"/>
          <w:b/>
          <w:bCs/>
        </w:rPr>
        <w:t>）</w:t>
      </w:r>
    </w:p>
    <w:p>
      <w:pPr>
        <w:numPr>
          <w:ilvl w:val="255"/>
          <w:numId w:val="0"/>
        </w:numPr>
        <w:spacing w:before="93" w:beforeLines="30"/>
        <w:ind w:firstLine="480"/>
        <w:rPr>
          <w:rFonts w:cs="宋体"/>
        </w:rPr>
      </w:pPr>
      <w:r>
        <w:rPr>
          <w:rFonts w:hint="eastAsia" w:cs="宋体"/>
        </w:rPr>
        <w:t>（1）Z1线：百丈漈景区专线</w:t>
      </w:r>
    </w:p>
    <w:p>
      <w:pPr>
        <w:numPr>
          <w:ilvl w:val="255"/>
          <w:numId w:val="0"/>
        </w:numPr>
        <w:spacing w:before="93" w:beforeLines="30"/>
        <w:ind w:firstLine="480"/>
        <w:rPr>
          <w:rFonts w:cs="宋体"/>
        </w:rPr>
      </w:pPr>
      <w:r>
        <w:rPr>
          <w:rFonts w:hint="eastAsia" w:cs="宋体"/>
        </w:rPr>
        <w:t>大峃镇交通换乘中心—峡谷景廊—百丈漈—大峃镇交通换乘中心。</w:t>
      </w:r>
    </w:p>
    <w:p>
      <w:pPr>
        <w:numPr>
          <w:ilvl w:val="255"/>
          <w:numId w:val="0"/>
        </w:numPr>
        <w:spacing w:before="93" w:beforeLines="30"/>
        <w:ind w:firstLine="480"/>
        <w:rPr>
          <w:rFonts w:cs="宋体"/>
        </w:rPr>
      </w:pPr>
      <w:r>
        <w:rPr>
          <w:rFonts w:hint="eastAsia" w:cs="宋体"/>
        </w:rPr>
        <w:t>（2）Z2线：伯温故里景区专线</w:t>
      </w:r>
    </w:p>
    <w:p>
      <w:pPr>
        <w:numPr>
          <w:ilvl w:val="255"/>
          <w:numId w:val="0"/>
        </w:numPr>
        <w:spacing w:before="93" w:beforeLines="30"/>
        <w:ind w:firstLine="480"/>
        <w:rPr>
          <w:rFonts w:cs="宋体"/>
        </w:rPr>
      </w:pPr>
      <w:r>
        <w:rPr>
          <w:rFonts w:hint="eastAsia" w:cs="宋体"/>
        </w:rPr>
        <w:t>大峃镇交通换乘中心—伯温故里景区。</w:t>
      </w:r>
    </w:p>
    <w:p>
      <w:pPr>
        <w:numPr>
          <w:ilvl w:val="255"/>
          <w:numId w:val="0"/>
        </w:numPr>
        <w:spacing w:before="93" w:beforeLines="30"/>
        <w:ind w:firstLine="480"/>
        <w:rPr>
          <w:rFonts w:cs="宋体"/>
        </w:rPr>
      </w:pPr>
      <w:r>
        <w:rPr>
          <w:rFonts w:hint="eastAsia" w:cs="宋体"/>
        </w:rPr>
        <w:t>（3）Z3线：朱阳九峰景区专线</w:t>
      </w:r>
    </w:p>
    <w:p>
      <w:pPr>
        <w:numPr>
          <w:ilvl w:val="255"/>
          <w:numId w:val="0"/>
        </w:numPr>
        <w:spacing w:before="93" w:beforeLines="30"/>
        <w:ind w:firstLine="480"/>
        <w:rPr>
          <w:rFonts w:cs="宋体"/>
        </w:rPr>
      </w:pPr>
      <w:r>
        <w:rPr>
          <w:rFonts w:hint="eastAsia" w:cs="宋体"/>
        </w:rPr>
        <w:t>玉壶镇交通换乘中心—朱阳九峰景区—大峃镇交通换乘中心。</w:t>
      </w:r>
    </w:p>
    <w:p>
      <w:pPr>
        <w:numPr>
          <w:ilvl w:val="255"/>
          <w:numId w:val="0"/>
        </w:numPr>
        <w:spacing w:before="93" w:beforeLines="30"/>
        <w:ind w:firstLine="480"/>
        <w:rPr>
          <w:rFonts w:cs="宋体"/>
        </w:rPr>
      </w:pPr>
      <w:r>
        <w:rPr>
          <w:rFonts w:hint="eastAsia" w:cs="宋体"/>
        </w:rPr>
        <w:t>（4）Z4线：龙麒源景区专线</w:t>
      </w:r>
    </w:p>
    <w:p>
      <w:pPr>
        <w:numPr>
          <w:ilvl w:val="255"/>
          <w:numId w:val="0"/>
        </w:numPr>
        <w:spacing w:before="93" w:beforeLines="30"/>
        <w:ind w:firstLine="480"/>
        <w:rPr>
          <w:rFonts w:cs="宋体"/>
        </w:rPr>
      </w:pPr>
      <w:r>
        <w:rPr>
          <w:rFonts w:hint="eastAsia" w:cs="宋体"/>
        </w:rPr>
        <w:t>西坑镇交通换乘中心—龙麒源景区伯温故里景区。</w:t>
      </w:r>
    </w:p>
    <w:p>
      <w:pPr>
        <w:numPr>
          <w:ilvl w:val="255"/>
          <w:numId w:val="0"/>
        </w:numPr>
        <w:spacing w:before="93" w:beforeLines="30"/>
        <w:ind w:firstLine="480"/>
        <w:rPr>
          <w:rFonts w:cs="宋体"/>
        </w:rPr>
      </w:pPr>
      <w:r>
        <w:rPr>
          <w:rFonts w:hint="eastAsia" w:cs="宋体"/>
        </w:rPr>
        <w:t>（5）Z5线：石垟景区、岩门大峡谷景区专线</w:t>
      </w:r>
    </w:p>
    <w:p>
      <w:pPr>
        <w:numPr>
          <w:ilvl w:val="255"/>
          <w:numId w:val="0"/>
        </w:numPr>
        <w:spacing w:before="93" w:beforeLines="30"/>
        <w:ind w:firstLine="480"/>
        <w:rPr>
          <w:rFonts w:cs="宋体"/>
        </w:rPr>
      </w:pPr>
      <w:r>
        <w:rPr>
          <w:rFonts w:hint="eastAsia" w:cs="宋体"/>
        </w:rPr>
        <w:t>西坑镇交通换乘中心—月老山—猴王谷—铜铃山森林公园—岩门大峡谷—西坑镇交通换乘中心。</w:t>
      </w:r>
    </w:p>
    <w:p>
      <w:pPr>
        <w:numPr>
          <w:ilvl w:val="255"/>
          <w:numId w:val="0"/>
        </w:numPr>
        <w:spacing w:before="93" w:beforeLines="30"/>
        <w:ind w:firstLine="480"/>
        <w:rPr>
          <w:rFonts w:cs="宋体"/>
        </w:rPr>
      </w:pPr>
      <w:r>
        <w:rPr>
          <w:rFonts w:hint="eastAsia" w:cs="宋体"/>
        </w:rPr>
        <w:t>（6）Z6线：飞云湖景区专线</w:t>
      </w:r>
    </w:p>
    <w:p>
      <w:pPr>
        <w:numPr>
          <w:ilvl w:val="255"/>
          <w:numId w:val="0"/>
        </w:numPr>
        <w:spacing w:before="93" w:beforeLines="30"/>
        <w:ind w:firstLine="480"/>
        <w:rPr>
          <w:rFonts w:cs="宋体"/>
        </w:rPr>
      </w:pPr>
      <w:r>
        <w:rPr>
          <w:rFonts w:hint="eastAsia" w:cs="宋体"/>
        </w:rPr>
        <w:t>珊溪镇交通换乘中心—飞云湖景区—西坑镇交通换乘中心。</w:t>
      </w:r>
    </w:p>
    <w:p>
      <w:pPr>
        <w:numPr>
          <w:ilvl w:val="255"/>
          <w:numId w:val="0"/>
        </w:numPr>
        <w:spacing w:before="93" w:beforeLines="30"/>
        <w:ind w:firstLine="480"/>
        <w:rPr>
          <w:rFonts w:cs="宋体"/>
          <w:b/>
          <w:bCs/>
        </w:rPr>
      </w:pPr>
      <w:r>
        <w:rPr>
          <w:rFonts w:cs="宋体"/>
          <w:b/>
          <w:bCs/>
        </w:rPr>
        <w:t>3</w:t>
      </w:r>
      <w:r>
        <w:rPr>
          <w:rFonts w:hint="eastAsia" w:cs="宋体"/>
          <w:b/>
          <w:bCs/>
        </w:rPr>
        <w:t>、旅游轨道交通线路（G）</w:t>
      </w:r>
    </w:p>
    <w:p>
      <w:pPr>
        <w:numPr>
          <w:ilvl w:val="255"/>
          <w:numId w:val="0"/>
        </w:numPr>
        <w:spacing w:before="93" w:beforeLines="30"/>
        <w:ind w:firstLine="480"/>
        <w:rPr>
          <w:rFonts w:cs="宋体"/>
        </w:rPr>
      </w:pPr>
      <w:r>
        <w:rPr>
          <w:rFonts w:hint="eastAsia" w:cs="宋体"/>
        </w:rPr>
        <w:t>（1）G1线：文成火车站-文成县城-红枫古道-峡谷景廊-百丈漈-天湖游客中心-仙人谷-刘基庙-武阳村。</w:t>
      </w:r>
    </w:p>
    <w:p>
      <w:pPr>
        <w:numPr>
          <w:ilvl w:val="255"/>
          <w:numId w:val="0"/>
        </w:numPr>
        <w:spacing w:before="93" w:beforeLines="30"/>
        <w:ind w:firstLine="480"/>
        <w:rPr>
          <w:rFonts w:cs="宋体"/>
        </w:rPr>
      </w:pPr>
      <w:r>
        <w:rPr>
          <w:rFonts w:hint="eastAsia" w:cs="宋体"/>
        </w:rPr>
        <w:t>（2）远期预留：G2百丈漈-朱阳九峰支线、G3百丈漈-泰顺支线、G4刘基庙-青田支线、G5大峃-泰顺支线。</w:t>
      </w:r>
    </w:p>
    <w:p>
      <w:pPr>
        <w:pStyle w:val="4"/>
        <w:spacing w:before="156"/>
        <w:ind w:firstLine="360"/>
      </w:pPr>
      <w:r>
        <w:rPr>
          <w:rFonts w:hint="eastAsia"/>
        </w:rPr>
        <w:t>（八）索道规划</w:t>
      </w:r>
    </w:p>
    <w:p>
      <w:pPr>
        <w:widowControl/>
        <w:ind w:firstLine="480"/>
        <w:jc w:val="left"/>
        <w:rPr>
          <w:rFonts w:ascii="宋体" w:hAnsi="宋体"/>
          <w:color w:val="000000"/>
          <w:szCs w:val="21"/>
        </w:rPr>
      </w:pPr>
      <w:r>
        <w:rPr>
          <w:rFonts w:hint="eastAsia" w:ascii="宋体" w:hAnsi="宋体"/>
          <w:color w:val="000000"/>
          <w:szCs w:val="21"/>
        </w:rPr>
        <w:t>文成县域属浙南山地，山势高峻陡峭，坡度</w:t>
      </w:r>
      <w:r>
        <w:rPr>
          <w:rFonts w:ascii="宋体" w:hAnsi="宋体"/>
          <w:color w:val="000000"/>
          <w:szCs w:val="21"/>
        </w:rPr>
        <w:t>25°以上用地占全县面积的40%左右，自然地理使得各景区空间分散，景区间联系较弱</w:t>
      </w:r>
      <w:r>
        <w:rPr>
          <w:rFonts w:hint="eastAsia" w:ascii="宋体" w:hAnsi="宋体"/>
          <w:color w:val="000000"/>
          <w:szCs w:val="21"/>
        </w:rPr>
        <w:t>；</w:t>
      </w:r>
      <w:r>
        <w:rPr>
          <w:rFonts w:ascii="宋体" w:hAnsi="宋体"/>
          <w:color w:val="000000"/>
          <w:szCs w:val="21"/>
        </w:rPr>
        <w:t>山地环境特征使得境内道路狭窄、多弯，通行能力不高，高峰期易形成拥堵</w:t>
      </w:r>
      <w:r>
        <w:rPr>
          <w:rFonts w:hint="eastAsia" w:ascii="宋体" w:hAnsi="宋体"/>
          <w:color w:val="000000"/>
          <w:szCs w:val="21"/>
        </w:rPr>
        <w:t>；</w:t>
      </w:r>
      <w:r>
        <w:rPr>
          <w:rFonts w:ascii="宋体" w:hAnsi="宋体"/>
          <w:color w:val="000000"/>
          <w:szCs w:val="21"/>
        </w:rPr>
        <w:t>同时各景区用地空间有限，道路</w:t>
      </w:r>
      <w:r>
        <w:rPr>
          <w:rFonts w:hint="eastAsia" w:ascii="宋体" w:hAnsi="宋体"/>
          <w:color w:val="000000"/>
          <w:szCs w:val="21"/>
        </w:rPr>
        <w:t>建设</w:t>
      </w:r>
      <w:r>
        <w:rPr>
          <w:rFonts w:ascii="宋体" w:hAnsi="宋体"/>
          <w:color w:val="000000"/>
          <w:szCs w:val="21"/>
        </w:rPr>
        <w:t>条件不足。正因如此，使得各景区之间发展不平衡，风景资源的游赏与利用受到限制</w:t>
      </w:r>
      <w:r>
        <w:rPr>
          <w:rFonts w:hint="eastAsia" w:ascii="宋体" w:hAnsi="宋体"/>
          <w:color w:val="000000"/>
          <w:szCs w:val="21"/>
        </w:rPr>
        <w:t>。</w:t>
      </w:r>
    </w:p>
    <w:p>
      <w:pPr>
        <w:widowControl/>
        <w:ind w:firstLine="480"/>
        <w:jc w:val="left"/>
        <w:rPr>
          <w:rFonts w:ascii="宋体" w:hAnsi="宋体"/>
          <w:color w:val="000000"/>
          <w:szCs w:val="21"/>
        </w:rPr>
      </w:pPr>
      <w:r>
        <w:rPr>
          <w:rFonts w:hint="eastAsia" w:ascii="宋体" w:hAnsi="宋体"/>
          <w:color w:val="000000"/>
          <w:szCs w:val="21"/>
        </w:rPr>
        <w:t>为了打破交通困局，除了县域道路交通网络建设外，风景区也在积极谋求解决方案，如百丈漈景区北入口经省级风景名胜区主管部门选址核准后建成洞式垂直电梯，以期便捷连接天顶湖与百丈漈景区。因此，从打破地理阻隔、完善游赏体系，展示景源价值、丰富游赏体验，提升服务水平、促进可持续发展三方面判断，未来百丈漈</w:t>
      </w:r>
      <w:r>
        <w:rPr>
          <w:rFonts w:ascii="宋体" w:hAnsi="宋体"/>
          <w:color w:val="000000"/>
          <w:szCs w:val="21"/>
        </w:rPr>
        <w:t>-飞云湖风景名胜区有进一步规划建设索道的必要性。</w:t>
      </w:r>
    </w:p>
    <w:p>
      <w:pPr>
        <w:widowControl/>
        <w:ind w:firstLine="480"/>
        <w:jc w:val="left"/>
        <w:rPr>
          <w:rFonts w:ascii="宋体" w:hAnsi="宋体"/>
          <w:color w:val="000000"/>
          <w:szCs w:val="21"/>
        </w:rPr>
      </w:pPr>
      <w:r>
        <w:rPr>
          <w:rFonts w:hint="eastAsia" w:ascii="宋体" w:hAnsi="宋体"/>
          <w:color w:val="000000"/>
          <w:szCs w:val="21"/>
        </w:rPr>
        <w:t>本次规划分别在朱阳九峰、铜铃山森林公园</w:t>
      </w:r>
      <w:r>
        <w:rPr>
          <w:rFonts w:ascii="宋体" w:hAnsi="宋体"/>
          <w:color w:val="000000"/>
          <w:szCs w:val="21"/>
        </w:rPr>
        <w:t>-飞云湖、牛栏湾三个</w:t>
      </w:r>
      <w:r>
        <w:rPr>
          <w:rFonts w:hint="eastAsia" w:ascii="宋体" w:hAnsi="宋体"/>
          <w:color w:val="000000"/>
          <w:szCs w:val="21"/>
        </w:rPr>
        <w:t>区域</w:t>
      </w:r>
      <w:r>
        <w:rPr>
          <w:rFonts w:ascii="宋体" w:hAnsi="宋体"/>
          <w:color w:val="000000"/>
          <w:szCs w:val="21"/>
        </w:rPr>
        <w:t>选择建设索道。</w:t>
      </w:r>
    </w:p>
    <w:p>
      <w:pPr>
        <w:widowControl/>
        <w:ind w:firstLine="480"/>
        <w:jc w:val="left"/>
        <w:rPr>
          <w:rFonts w:ascii="宋体" w:hAnsi="宋体"/>
          <w:color w:val="000000"/>
          <w:szCs w:val="21"/>
        </w:rPr>
      </w:pPr>
      <w:r>
        <w:rPr>
          <w:rFonts w:hint="eastAsia" w:ascii="宋体" w:hAnsi="宋体"/>
          <w:color w:val="000000"/>
          <w:szCs w:val="21"/>
        </w:rPr>
        <w:t>①朱阳九峰</w:t>
      </w:r>
      <w:r>
        <w:rPr>
          <w:rFonts w:ascii="宋体" w:hAnsi="宋体"/>
          <w:color w:val="000000"/>
          <w:szCs w:val="21"/>
        </w:rPr>
        <w:t>2条索道将改变原有单一的徒步游览线路，拓展景区景点活动组织，形成从二源镇和玉壶镇两大方向进入景区的整体交通游线组织，激活朱阳九峰景区的旅游发展。</w:t>
      </w:r>
    </w:p>
    <w:p>
      <w:pPr>
        <w:widowControl/>
        <w:ind w:firstLine="480"/>
        <w:jc w:val="left"/>
        <w:rPr>
          <w:rFonts w:ascii="宋体" w:hAnsi="宋体"/>
          <w:color w:val="000000"/>
          <w:szCs w:val="21"/>
        </w:rPr>
      </w:pPr>
      <w:r>
        <w:rPr>
          <w:rFonts w:hint="eastAsia" w:ascii="宋体" w:hAnsi="宋体"/>
          <w:color w:val="000000"/>
          <w:szCs w:val="21"/>
        </w:rPr>
        <w:t>②铜铃山森林公园</w:t>
      </w:r>
      <w:r>
        <w:rPr>
          <w:rFonts w:ascii="宋体" w:hAnsi="宋体"/>
          <w:color w:val="000000"/>
          <w:szCs w:val="21"/>
        </w:rPr>
        <w:t>-飞云湖索道将串联铜铃山</w:t>
      </w:r>
      <w:r>
        <w:rPr>
          <w:rFonts w:hint="eastAsia" w:ascii="宋体" w:hAnsi="宋体"/>
          <w:color w:val="000000"/>
          <w:szCs w:val="21"/>
        </w:rPr>
        <w:t>森林公园、飞云湖景区、岩门大峡谷景区，衔接环飞云湖公路，有效解决铜铃山和飞云湖之间车行交通不便、慢行交通无法高效组织等问题，并形成区域交通游览环线。</w:t>
      </w:r>
    </w:p>
    <w:p>
      <w:pPr>
        <w:widowControl/>
        <w:ind w:firstLine="480"/>
        <w:jc w:val="left"/>
        <w:rPr>
          <w:rFonts w:ascii="宋体" w:hAnsi="宋体"/>
          <w:color w:val="000000"/>
          <w:szCs w:val="21"/>
        </w:rPr>
      </w:pPr>
      <w:r>
        <w:rPr>
          <w:rFonts w:hint="eastAsia" w:ascii="宋体" w:hAnsi="宋体"/>
          <w:color w:val="000000"/>
          <w:szCs w:val="21"/>
        </w:rPr>
        <w:t>③牛栏湾景区索道依托起伏山地地形和白水沄坑流瀑景色而建设，连通北部入口至中部觧板岩游赏区的游览交通。</w:t>
      </w:r>
    </w:p>
    <w:p>
      <w:pPr>
        <w:widowControl/>
        <w:ind w:firstLine="480"/>
        <w:jc w:val="left"/>
        <w:rPr>
          <w:rFonts w:ascii="宋体" w:hAnsi="宋体"/>
          <w:color w:val="000000"/>
          <w:szCs w:val="21"/>
        </w:rPr>
      </w:pPr>
      <w:r>
        <w:rPr>
          <w:rFonts w:hint="eastAsia" w:ascii="宋体" w:hAnsi="宋体"/>
          <w:color w:val="000000"/>
          <w:szCs w:val="21"/>
        </w:rPr>
        <w:t>规划通过论证索道建设的必要性与可行性，按照地形地貌条件、建设用地条件、交通组织条件对索道进行初步选址后，分析索道的风景资源影响、环境影响与社会影响等，最终通过多方案对比得出结论与对策建议。</w:t>
      </w:r>
    </w:p>
    <w:p>
      <w:pPr>
        <w:pStyle w:val="4"/>
        <w:spacing w:before="156"/>
        <w:ind w:firstLine="360"/>
      </w:pPr>
      <w:r>
        <w:rPr>
          <w:rFonts w:hint="eastAsia"/>
        </w:rPr>
        <w:t>（九）停车场规划</w:t>
      </w:r>
    </w:p>
    <w:p>
      <w:pPr>
        <w:spacing w:before="93" w:beforeLines="30"/>
        <w:ind w:firstLine="480"/>
        <w:rPr>
          <w:rFonts w:cs="宋体"/>
        </w:rPr>
      </w:pPr>
      <w:r>
        <w:rPr>
          <w:rFonts w:hint="eastAsia" w:cs="宋体"/>
        </w:rPr>
        <w:t>依据出入口规划，一级、二级、三级出入口分别设置停车场，一级、二级出入口的停车场与综合性旅游集散中心相结合，三级停车场主要提供旅游换乘功能。</w:t>
      </w:r>
    </w:p>
    <w:p>
      <w:pPr>
        <w:spacing w:after="240" w:line="540" w:lineRule="atLeast"/>
        <w:ind w:left="420" w:firstLine="0" w:firstLineChars="0"/>
        <w:jc w:val="center"/>
        <w:rPr>
          <w:rFonts w:ascii="宋体" w:hAnsi="宋体" w:cs="宋体"/>
          <w:b/>
          <w:sz w:val="21"/>
        </w:rPr>
      </w:pPr>
      <w:r>
        <w:rPr>
          <w:rFonts w:hint="eastAsia" w:ascii="宋体" w:hAnsi="宋体" w:cs="宋体"/>
          <w:b/>
          <w:sz w:val="21"/>
        </w:rPr>
        <w:t>表4-3 风景区停车场规划一览表</w:t>
      </w:r>
    </w:p>
    <w:tbl>
      <w:tblPr>
        <w:tblStyle w:val="42"/>
        <w:tblW w:w="8868"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100"/>
        <w:gridCol w:w="2030"/>
        <w:gridCol w:w="1514"/>
        <w:gridCol w:w="1519"/>
        <w:gridCol w:w="2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blHeader/>
        </w:trPr>
        <w:tc>
          <w:tcPr>
            <w:tcW w:w="674" w:type="dxa"/>
            <w:shd w:val="clear" w:color="auto" w:fill="E2E2E2"/>
            <w:vAlign w:val="center"/>
          </w:tcPr>
          <w:p>
            <w:pPr>
              <w:adjustRightInd w:val="0"/>
              <w:snapToGrid w:val="0"/>
              <w:spacing w:line="240" w:lineRule="auto"/>
              <w:ind w:firstLine="0" w:firstLineChars="0"/>
              <w:jc w:val="center"/>
              <w:rPr>
                <w:rFonts w:ascii="Calibri" w:hAnsi="Calibri"/>
                <w:b/>
                <w:sz w:val="18"/>
                <w:szCs w:val="18"/>
              </w:rPr>
            </w:pPr>
            <w:r>
              <w:rPr>
                <w:rFonts w:hint="eastAsia" w:ascii="Calibri" w:hAnsi="Calibri"/>
                <w:b/>
                <w:sz w:val="18"/>
                <w:szCs w:val="18"/>
              </w:rPr>
              <w:t>序号</w:t>
            </w:r>
          </w:p>
        </w:tc>
        <w:tc>
          <w:tcPr>
            <w:tcW w:w="1100" w:type="dxa"/>
            <w:shd w:val="clear" w:color="auto" w:fill="E2E2E2"/>
            <w:vAlign w:val="center"/>
          </w:tcPr>
          <w:p>
            <w:pPr>
              <w:adjustRightInd w:val="0"/>
              <w:snapToGrid w:val="0"/>
              <w:spacing w:line="240" w:lineRule="auto"/>
              <w:ind w:firstLine="0" w:firstLineChars="0"/>
              <w:jc w:val="center"/>
              <w:rPr>
                <w:rFonts w:ascii="Calibri" w:hAnsi="Calibri"/>
                <w:b/>
                <w:sz w:val="18"/>
                <w:szCs w:val="18"/>
              </w:rPr>
            </w:pPr>
            <w:r>
              <w:rPr>
                <w:rFonts w:hint="eastAsia" w:ascii="Calibri" w:hAnsi="Calibri"/>
                <w:b/>
                <w:sz w:val="18"/>
                <w:szCs w:val="18"/>
              </w:rPr>
              <w:t>出入口级别</w:t>
            </w:r>
          </w:p>
        </w:tc>
        <w:tc>
          <w:tcPr>
            <w:tcW w:w="2030" w:type="dxa"/>
            <w:shd w:val="clear" w:color="auto" w:fill="E2E2E2"/>
            <w:vAlign w:val="center"/>
          </w:tcPr>
          <w:p>
            <w:pPr>
              <w:adjustRightInd w:val="0"/>
              <w:snapToGrid w:val="0"/>
              <w:spacing w:line="240" w:lineRule="auto"/>
              <w:ind w:firstLine="0" w:firstLineChars="0"/>
              <w:jc w:val="center"/>
              <w:rPr>
                <w:rFonts w:ascii="Calibri" w:hAnsi="Calibri"/>
                <w:b/>
                <w:sz w:val="18"/>
                <w:szCs w:val="18"/>
              </w:rPr>
            </w:pPr>
            <w:r>
              <w:rPr>
                <w:rFonts w:hint="eastAsia" w:ascii="Calibri" w:hAnsi="Calibri"/>
                <w:b/>
                <w:sz w:val="18"/>
                <w:szCs w:val="18"/>
              </w:rPr>
              <w:t>规划位置</w:t>
            </w:r>
          </w:p>
        </w:tc>
        <w:tc>
          <w:tcPr>
            <w:tcW w:w="1514" w:type="dxa"/>
            <w:shd w:val="clear" w:color="auto" w:fill="E2E2E2"/>
            <w:vAlign w:val="center"/>
          </w:tcPr>
          <w:p>
            <w:pPr>
              <w:adjustRightInd w:val="0"/>
              <w:snapToGrid w:val="0"/>
              <w:spacing w:line="240" w:lineRule="auto"/>
              <w:ind w:firstLine="0" w:firstLineChars="0"/>
              <w:jc w:val="center"/>
              <w:rPr>
                <w:rFonts w:ascii="Calibri" w:hAnsi="Calibri"/>
                <w:b/>
                <w:sz w:val="18"/>
                <w:szCs w:val="18"/>
              </w:rPr>
            </w:pPr>
            <w:r>
              <w:rPr>
                <w:rFonts w:hint="eastAsia" w:ascii="Calibri" w:hAnsi="Calibri"/>
                <w:b/>
                <w:sz w:val="18"/>
                <w:szCs w:val="18"/>
              </w:rPr>
              <w:t>用地面积（</w:t>
            </w:r>
            <w:r>
              <w:rPr>
                <w:rFonts w:hint="eastAsia" w:ascii="黑体" w:hAnsi="黑体" w:eastAsia="黑体"/>
                <w:b/>
                <w:sz w:val="18"/>
                <w:szCs w:val="18"/>
              </w:rPr>
              <w:t>㎡</w:t>
            </w:r>
            <w:r>
              <w:rPr>
                <w:rFonts w:hint="eastAsia" w:ascii="Calibri" w:hAnsi="Calibri"/>
                <w:b/>
                <w:sz w:val="18"/>
                <w:szCs w:val="18"/>
              </w:rPr>
              <w:t>）</w:t>
            </w:r>
          </w:p>
        </w:tc>
        <w:tc>
          <w:tcPr>
            <w:tcW w:w="1519" w:type="dxa"/>
            <w:shd w:val="clear" w:color="auto" w:fill="E2E2E2"/>
            <w:vAlign w:val="center"/>
          </w:tcPr>
          <w:p>
            <w:pPr>
              <w:adjustRightInd w:val="0"/>
              <w:snapToGrid w:val="0"/>
              <w:spacing w:line="240" w:lineRule="auto"/>
              <w:ind w:firstLine="0" w:firstLineChars="0"/>
              <w:jc w:val="center"/>
              <w:rPr>
                <w:rFonts w:ascii="Calibri" w:hAnsi="Calibri"/>
                <w:b/>
                <w:sz w:val="18"/>
                <w:szCs w:val="18"/>
              </w:rPr>
            </w:pPr>
            <w:r>
              <w:rPr>
                <w:rFonts w:hint="eastAsia" w:ascii="Calibri" w:hAnsi="Calibri"/>
                <w:b/>
                <w:sz w:val="18"/>
                <w:szCs w:val="18"/>
              </w:rPr>
              <w:t>停车量（辆）</w:t>
            </w:r>
          </w:p>
        </w:tc>
        <w:tc>
          <w:tcPr>
            <w:tcW w:w="2031" w:type="dxa"/>
            <w:shd w:val="clear" w:color="auto" w:fill="E2E2E2"/>
            <w:vAlign w:val="center"/>
          </w:tcPr>
          <w:p>
            <w:pPr>
              <w:adjustRightInd w:val="0"/>
              <w:snapToGrid w:val="0"/>
              <w:spacing w:line="240" w:lineRule="auto"/>
              <w:ind w:firstLine="0" w:firstLineChars="0"/>
              <w:jc w:val="center"/>
              <w:rPr>
                <w:rFonts w:ascii="Calibri" w:hAnsi="Calibri"/>
                <w:b/>
                <w:sz w:val="18"/>
                <w:szCs w:val="18"/>
              </w:rPr>
            </w:pPr>
            <w:r>
              <w:rPr>
                <w:rFonts w:hint="eastAsia" w:ascii="Calibri" w:hAnsi="Calibri"/>
                <w:b/>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74" w:type="dxa"/>
            <w:vAlign w:val="center"/>
          </w:tcPr>
          <w:p>
            <w:pPr>
              <w:adjustRightInd w:val="0"/>
              <w:snapToGrid w:val="0"/>
              <w:spacing w:line="240" w:lineRule="auto"/>
              <w:ind w:firstLine="0" w:firstLineChars="0"/>
              <w:jc w:val="center"/>
              <w:rPr>
                <w:rFonts w:ascii="Calibri" w:hAnsi="Calibri"/>
                <w:sz w:val="18"/>
                <w:szCs w:val="18"/>
              </w:rPr>
            </w:pPr>
            <w:r>
              <w:rPr>
                <w:rFonts w:ascii="Calibri" w:hAnsi="Calibri"/>
                <w:sz w:val="18"/>
                <w:szCs w:val="18"/>
              </w:rPr>
              <w:t>1</w:t>
            </w:r>
          </w:p>
        </w:tc>
        <w:tc>
          <w:tcPr>
            <w:tcW w:w="1100" w:type="dxa"/>
            <w:vMerge w:val="restart"/>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一级</w:t>
            </w:r>
          </w:p>
        </w:tc>
        <w:tc>
          <w:tcPr>
            <w:tcW w:w="2030"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大峃镇</w:t>
            </w:r>
          </w:p>
        </w:tc>
        <w:tc>
          <w:tcPr>
            <w:tcW w:w="1514"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6000</w:t>
            </w:r>
          </w:p>
        </w:tc>
        <w:tc>
          <w:tcPr>
            <w:tcW w:w="1519"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200-240</w:t>
            </w:r>
          </w:p>
        </w:tc>
        <w:tc>
          <w:tcPr>
            <w:tcW w:w="2031" w:type="dxa"/>
            <w:vAlign w:val="center"/>
          </w:tcPr>
          <w:p>
            <w:pPr>
              <w:adjustRightInd w:val="0"/>
              <w:snapToGrid w:val="0"/>
              <w:spacing w:line="240" w:lineRule="auto"/>
              <w:ind w:firstLine="0" w:firstLineChars="0"/>
              <w:jc w:val="center"/>
              <w:rPr>
                <w:rFonts w:ascii="宋体" w:hAnsi="宋体"/>
                <w:sz w:val="18"/>
                <w:szCs w:val="18"/>
              </w:rPr>
            </w:pPr>
            <w:r>
              <w:rPr>
                <w:rFonts w:hint="eastAsia" w:ascii="Calibri" w:hAnsi="Calibri"/>
                <w:bCs/>
                <w:sz w:val="18"/>
                <w:szCs w:val="18"/>
              </w:rPr>
              <w:t>综合旅游集散中心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74" w:type="dxa"/>
            <w:vAlign w:val="center"/>
          </w:tcPr>
          <w:p>
            <w:pPr>
              <w:adjustRightInd w:val="0"/>
              <w:snapToGrid w:val="0"/>
              <w:spacing w:line="240" w:lineRule="auto"/>
              <w:ind w:firstLine="0" w:firstLineChars="0"/>
              <w:jc w:val="center"/>
              <w:rPr>
                <w:rFonts w:ascii="Calibri" w:hAnsi="Calibri"/>
                <w:sz w:val="18"/>
                <w:szCs w:val="18"/>
              </w:rPr>
            </w:pPr>
            <w:r>
              <w:rPr>
                <w:rFonts w:ascii="Calibri" w:hAnsi="Calibri"/>
                <w:sz w:val="18"/>
                <w:szCs w:val="18"/>
              </w:rPr>
              <w:t>2</w:t>
            </w:r>
          </w:p>
        </w:tc>
        <w:tc>
          <w:tcPr>
            <w:tcW w:w="1100"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2030"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西坑镇</w:t>
            </w:r>
          </w:p>
        </w:tc>
        <w:tc>
          <w:tcPr>
            <w:tcW w:w="1514"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4000</w:t>
            </w:r>
          </w:p>
        </w:tc>
        <w:tc>
          <w:tcPr>
            <w:tcW w:w="1519"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130—160</w:t>
            </w:r>
          </w:p>
        </w:tc>
        <w:tc>
          <w:tcPr>
            <w:tcW w:w="2031" w:type="dxa"/>
            <w:vAlign w:val="center"/>
          </w:tcPr>
          <w:p>
            <w:pPr>
              <w:adjustRightInd w:val="0"/>
              <w:snapToGrid w:val="0"/>
              <w:spacing w:line="240" w:lineRule="auto"/>
              <w:ind w:firstLine="0" w:firstLineChars="0"/>
              <w:jc w:val="center"/>
              <w:rPr>
                <w:rFonts w:ascii="Calibri" w:hAnsi="Calibri"/>
                <w:bCs/>
                <w:sz w:val="18"/>
                <w:szCs w:val="18"/>
              </w:rPr>
            </w:pPr>
            <w:r>
              <w:rPr>
                <w:rFonts w:hint="eastAsia" w:ascii="Calibri" w:hAnsi="Calibri"/>
                <w:bCs/>
                <w:sz w:val="18"/>
                <w:szCs w:val="18"/>
              </w:rPr>
              <w:t>综合旅游集散中心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74" w:type="dxa"/>
            <w:vAlign w:val="center"/>
          </w:tcPr>
          <w:p>
            <w:pPr>
              <w:adjustRightInd w:val="0"/>
              <w:snapToGrid w:val="0"/>
              <w:spacing w:line="240" w:lineRule="auto"/>
              <w:ind w:firstLine="0" w:firstLineChars="0"/>
              <w:jc w:val="center"/>
              <w:rPr>
                <w:rFonts w:ascii="Calibri" w:hAnsi="Calibri"/>
                <w:sz w:val="18"/>
                <w:szCs w:val="18"/>
              </w:rPr>
            </w:pPr>
            <w:r>
              <w:rPr>
                <w:rFonts w:ascii="Calibri" w:hAnsi="Calibri"/>
                <w:sz w:val="18"/>
                <w:szCs w:val="18"/>
              </w:rPr>
              <w:t>3</w:t>
            </w:r>
          </w:p>
        </w:tc>
        <w:tc>
          <w:tcPr>
            <w:tcW w:w="1100"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2030"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珊溪镇</w:t>
            </w:r>
          </w:p>
        </w:tc>
        <w:tc>
          <w:tcPr>
            <w:tcW w:w="1514"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4000</w:t>
            </w:r>
          </w:p>
        </w:tc>
        <w:tc>
          <w:tcPr>
            <w:tcW w:w="1519"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130—160</w:t>
            </w:r>
          </w:p>
        </w:tc>
        <w:tc>
          <w:tcPr>
            <w:tcW w:w="2031" w:type="dxa"/>
            <w:vAlign w:val="center"/>
          </w:tcPr>
          <w:p>
            <w:pPr>
              <w:adjustRightInd w:val="0"/>
              <w:snapToGrid w:val="0"/>
              <w:spacing w:line="240" w:lineRule="auto"/>
              <w:ind w:firstLine="0" w:firstLineChars="0"/>
              <w:jc w:val="center"/>
              <w:rPr>
                <w:rFonts w:ascii="宋体" w:hAnsi="宋体"/>
                <w:sz w:val="18"/>
                <w:szCs w:val="18"/>
              </w:rPr>
            </w:pPr>
            <w:r>
              <w:rPr>
                <w:rFonts w:hint="eastAsia" w:ascii="Calibri" w:hAnsi="Calibri"/>
                <w:bCs/>
                <w:sz w:val="18"/>
                <w:szCs w:val="18"/>
              </w:rPr>
              <w:t>综合旅游集散中心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74" w:type="dxa"/>
            <w:shd w:val="clear" w:color="auto" w:fill="auto"/>
            <w:vAlign w:val="center"/>
          </w:tcPr>
          <w:p>
            <w:pPr>
              <w:adjustRightInd w:val="0"/>
              <w:snapToGrid w:val="0"/>
              <w:spacing w:line="240" w:lineRule="auto"/>
              <w:ind w:firstLine="0" w:firstLineChars="0"/>
              <w:jc w:val="center"/>
              <w:rPr>
                <w:rFonts w:ascii="Calibri" w:hAnsi="Calibri"/>
                <w:sz w:val="18"/>
                <w:szCs w:val="18"/>
              </w:rPr>
            </w:pPr>
            <w:r>
              <w:rPr>
                <w:rFonts w:ascii="Calibri" w:hAnsi="Calibri"/>
                <w:sz w:val="18"/>
                <w:szCs w:val="18"/>
              </w:rPr>
              <w:t>4</w:t>
            </w:r>
          </w:p>
        </w:tc>
        <w:tc>
          <w:tcPr>
            <w:tcW w:w="1100"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2030"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玉壶镇</w:t>
            </w:r>
          </w:p>
        </w:tc>
        <w:tc>
          <w:tcPr>
            <w:tcW w:w="1514"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4000</w:t>
            </w:r>
          </w:p>
        </w:tc>
        <w:tc>
          <w:tcPr>
            <w:tcW w:w="1519"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130-160</w:t>
            </w:r>
          </w:p>
        </w:tc>
        <w:tc>
          <w:tcPr>
            <w:tcW w:w="2031" w:type="dxa"/>
            <w:vAlign w:val="center"/>
          </w:tcPr>
          <w:p>
            <w:pPr>
              <w:adjustRightInd w:val="0"/>
              <w:snapToGrid w:val="0"/>
              <w:spacing w:line="240" w:lineRule="auto"/>
              <w:ind w:firstLine="0" w:firstLineChars="0"/>
              <w:jc w:val="center"/>
              <w:rPr>
                <w:rFonts w:ascii="Calibri" w:hAnsi="Calibri"/>
                <w:bCs/>
                <w:sz w:val="18"/>
                <w:szCs w:val="18"/>
              </w:rPr>
            </w:pPr>
            <w:r>
              <w:rPr>
                <w:rFonts w:hint="eastAsia" w:ascii="Calibri" w:hAnsi="Calibri"/>
                <w:bCs/>
                <w:sz w:val="18"/>
                <w:szCs w:val="18"/>
              </w:rPr>
              <w:t>综合旅游集散中心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74" w:type="dxa"/>
            <w:shd w:val="clear" w:color="auto" w:fill="auto"/>
            <w:vAlign w:val="center"/>
          </w:tcPr>
          <w:p>
            <w:pPr>
              <w:adjustRightInd w:val="0"/>
              <w:snapToGrid w:val="0"/>
              <w:spacing w:line="240" w:lineRule="auto"/>
              <w:ind w:firstLine="0" w:firstLineChars="0"/>
              <w:jc w:val="center"/>
              <w:rPr>
                <w:rFonts w:ascii="Calibri" w:hAnsi="Calibri"/>
                <w:sz w:val="18"/>
                <w:szCs w:val="18"/>
              </w:rPr>
            </w:pPr>
            <w:r>
              <w:rPr>
                <w:rFonts w:ascii="Calibri" w:hAnsi="Calibri"/>
                <w:sz w:val="18"/>
                <w:szCs w:val="18"/>
              </w:rPr>
              <w:t>5</w:t>
            </w:r>
          </w:p>
        </w:tc>
        <w:tc>
          <w:tcPr>
            <w:tcW w:w="1100" w:type="dxa"/>
            <w:vMerge w:val="restart"/>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二级</w:t>
            </w:r>
          </w:p>
        </w:tc>
        <w:tc>
          <w:tcPr>
            <w:tcW w:w="2030"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百丈漈镇</w:t>
            </w:r>
          </w:p>
        </w:tc>
        <w:tc>
          <w:tcPr>
            <w:tcW w:w="1514"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3000</w:t>
            </w:r>
          </w:p>
        </w:tc>
        <w:tc>
          <w:tcPr>
            <w:tcW w:w="1519"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100—120</w:t>
            </w:r>
          </w:p>
        </w:tc>
        <w:tc>
          <w:tcPr>
            <w:tcW w:w="2031" w:type="dxa"/>
            <w:vAlign w:val="center"/>
          </w:tcPr>
          <w:p>
            <w:pPr>
              <w:adjustRightInd w:val="0"/>
              <w:snapToGrid w:val="0"/>
              <w:spacing w:line="240" w:lineRule="auto"/>
              <w:ind w:firstLine="0" w:firstLineChars="0"/>
              <w:jc w:val="center"/>
              <w:rPr>
                <w:rFonts w:ascii="Calibri" w:hAnsi="Calibri"/>
                <w:bCs/>
                <w:sz w:val="18"/>
                <w:szCs w:val="18"/>
              </w:rPr>
            </w:pPr>
            <w:r>
              <w:rPr>
                <w:rFonts w:hint="eastAsia" w:ascii="Calibri" w:hAnsi="Calibri"/>
                <w:bCs/>
                <w:sz w:val="18"/>
                <w:szCs w:val="18"/>
              </w:rPr>
              <w:t>综合旅游集散中心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74" w:type="dxa"/>
            <w:shd w:val="clear" w:color="auto" w:fill="auto"/>
            <w:vAlign w:val="center"/>
          </w:tcPr>
          <w:p>
            <w:pPr>
              <w:adjustRightInd w:val="0"/>
              <w:snapToGrid w:val="0"/>
              <w:spacing w:line="240" w:lineRule="auto"/>
              <w:ind w:firstLine="0" w:firstLineChars="0"/>
              <w:jc w:val="center"/>
              <w:rPr>
                <w:rFonts w:ascii="Calibri" w:hAnsi="Calibri"/>
                <w:sz w:val="18"/>
                <w:szCs w:val="18"/>
              </w:rPr>
            </w:pPr>
            <w:r>
              <w:rPr>
                <w:rFonts w:ascii="Calibri" w:hAnsi="Calibri"/>
                <w:sz w:val="18"/>
                <w:szCs w:val="18"/>
              </w:rPr>
              <w:t>6</w:t>
            </w:r>
          </w:p>
        </w:tc>
        <w:tc>
          <w:tcPr>
            <w:tcW w:w="1100"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2030"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南田镇</w:t>
            </w:r>
          </w:p>
        </w:tc>
        <w:tc>
          <w:tcPr>
            <w:tcW w:w="1514"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3000</w:t>
            </w:r>
          </w:p>
        </w:tc>
        <w:tc>
          <w:tcPr>
            <w:tcW w:w="1519"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100—120</w:t>
            </w:r>
          </w:p>
        </w:tc>
        <w:tc>
          <w:tcPr>
            <w:tcW w:w="2031" w:type="dxa"/>
            <w:vAlign w:val="center"/>
          </w:tcPr>
          <w:p>
            <w:pPr>
              <w:adjustRightInd w:val="0"/>
              <w:snapToGrid w:val="0"/>
              <w:spacing w:line="240" w:lineRule="auto"/>
              <w:ind w:firstLine="0" w:firstLineChars="0"/>
              <w:jc w:val="center"/>
              <w:rPr>
                <w:rFonts w:ascii="Calibri" w:hAnsi="Calibri"/>
                <w:bCs/>
                <w:sz w:val="18"/>
                <w:szCs w:val="18"/>
              </w:rPr>
            </w:pPr>
            <w:r>
              <w:rPr>
                <w:rFonts w:hint="eastAsia" w:ascii="Calibri" w:hAnsi="Calibri"/>
                <w:bCs/>
                <w:sz w:val="18"/>
                <w:szCs w:val="18"/>
              </w:rPr>
              <w:t>综合旅游集散中心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74" w:type="dxa"/>
            <w:shd w:val="clear" w:color="auto" w:fill="auto"/>
            <w:vAlign w:val="center"/>
          </w:tcPr>
          <w:p>
            <w:pPr>
              <w:adjustRightInd w:val="0"/>
              <w:snapToGrid w:val="0"/>
              <w:spacing w:line="240" w:lineRule="auto"/>
              <w:ind w:firstLine="0" w:firstLineChars="0"/>
              <w:jc w:val="center"/>
              <w:rPr>
                <w:rFonts w:ascii="Calibri" w:hAnsi="Calibri"/>
                <w:sz w:val="18"/>
                <w:szCs w:val="18"/>
              </w:rPr>
            </w:pPr>
            <w:r>
              <w:rPr>
                <w:rFonts w:ascii="Calibri" w:hAnsi="Calibri"/>
                <w:sz w:val="18"/>
                <w:szCs w:val="18"/>
              </w:rPr>
              <w:t>7</w:t>
            </w:r>
          </w:p>
        </w:tc>
        <w:tc>
          <w:tcPr>
            <w:tcW w:w="1100"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2030"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黄坦镇</w:t>
            </w:r>
          </w:p>
        </w:tc>
        <w:tc>
          <w:tcPr>
            <w:tcW w:w="1514"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3000</w:t>
            </w:r>
          </w:p>
        </w:tc>
        <w:tc>
          <w:tcPr>
            <w:tcW w:w="1519"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100—120</w:t>
            </w:r>
          </w:p>
        </w:tc>
        <w:tc>
          <w:tcPr>
            <w:tcW w:w="2031" w:type="dxa"/>
            <w:vAlign w:val="center"/>
          </w:tcPr>
          <w:p>
            <w:pPr>
              <w:adjustRightInd w:val="0"/>
              <w:snapToGrid w:val="0"/>
              <w:spacing w:line="240" w:lineRule="auto"/>
              <w:ind w:firstLine="0" w:firstLineChars="0"/>
              <w:jc w:val="center"/>
              <w:rPr>
                <w:rFonts w:ascii="Calibri" w:hAnsi="Calibri"/>
                <w:bCs/>
                <w:sz w:val="18"/>
                <w:szCs w:val="18"/>
              </w:rPr>
            </w:pPr>
            <w:r>
              <w:rPr>
                <w:rFonts w:hint="eastAsia" w:ascii="Calibri" w:hAnsi="Calibri"/>
                <w:bCs/>
                <w:sz w:val="18"/>
                <w:szCs w:val="18"/>
              </w:rPr>
              <w:t>综合旅游集散中心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74" w:type="dxa"/>
            <w:shd w:val="clear" w:color="auto" w:fill="auto"/>
            <w:vAlign w:val="center"/>
          </w:tcPr>
          <w:p>
            <w:pPr>
              <w:adjustRightInd w:val="0"/>
              <w:snapToGrid w:val="0"/>
              <w:spacing w:line="240" w:lineRule="auto"/>
              <w:ind w:firstLine="0" w:firstLineChars="0"/>
              <w:jc w:val="center"/>
              <w:rPr>
                <w:rFonts w:ascii="Calibri" w:hAnsi="Calibri"/>
                <w:sz w:val="18"/>
                <w:szCs w:val="18"/>
              </w:rPr>
            </w:pPr>
            <w:r>
              <w:rPr>
                <w:rFonts w:ascii="Calibri" w:hAnsi="Calibri"/>
                <w:sz w:val="18"/>
                <w:szCs w:val="18"/>
              </w:rPr>
              <w:t>8</w:t>
            </w:r>
          </w:p>
        </w:tc>
        <w:tc>
          <w:tcPr>
            <w:tcW w:w="1100"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2030"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铜铃山镇</w:t>
            </w:r>
          </w:p>
        </w:tc>
        <w:tc>
          <w:tcPr>
            <w:tcW w:w="1514"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3000</w:t>
            </w:r>
          </w:p>
        </w:tc>
        <w:tc>
          <w:tcPr>
            <w:tcW w:w="1519"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100—120</w:t>
            </w:r>
          </w:p>
        </w:tc>
        <w:tc>
          <w:tcPr>
            <w:tcW w:w="2031" w:type="dxa"/>
            <w:vAlign w:val="center"/>
          </w:tcPr>
          <w:p>
            <w:pPr>
              <w:adjustRightInd w:val="0"/>
              <w:snapToGrid w:val="0"/>
              <w:spacing w:line="240" w:lineRule="auto"/>
              <w:ind w:firstLine="0" w:firstLineChars="0"/>
              <w:jc w:val="center"/>
              <w:rPr>
                <w:rFonts w:ascii="Calibri" w:hAnsi="Calibri"/>
                <w:bCs/>
                <w:sz w:val="18"/>
                <w:szCs w:val="18"/>
              </w:rPr>
            </w:pPr>
            <w:r>
              <w:rPr>
                <w:rFonts w:hint="eastAsia" w:ascii="Calibri" w:hAnsi="Calibri"/>
                <w:bCs/>
                <w:sz w:val="18"/>
                <w:szCs w:val="18"/>
              </w:rPr>
              <w:t>综合旅游集散中心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74" w:type="dxa"/>
            <w:vAlign w:val="center"/>
          </w:tcPr>
          <w:p>
            <w:pPr>
              <w:adjustRightInd w:val="0"/>
              <w:snapToGrid w:val="0"/>
              <w:spacing w:line="240" w:lineRule="auto"/>
              <w:ind w:firstLine="0" w:firstLineChars="0"/>
              <w:jc w:val="center"/>
              <w:rPr>
                <w:rFonts w:ascii="Calibri" w:hAnsi="Calibri"/>
                <w:sz w:val="18"/>
                <w:szCs w:val="18"/>
              </w:rPr>
            </w:pPr>
            <w:r>
              <w:rPr>
                <w:rFonts w:ascii="Calibri" w:hAnsi="Calibri"/>
                <w:sz w:val="18"/>
                <w:szCs w:val="18"/>
              </w:rPr>
              <w:t>9</w:t>
            </w:r>
          </w:p>
        </w:tc>
        <w:tc>
          <w:tcPr>
            <w:tcW w:w="1100" w:type="dxa"/>
            <w:vMerge w:val="restart"/>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三级</w:t>
            </w:r>
          </w:p>
        </w:tc>
        <w:tc>
          <w:tcPr>
            <w:tcW w:w="2030"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武阳村</w:t>
            </w:r>
          </w:p>
        </w:tc>
        <w:tc>
          <w:tcPr>
            <w:tcW w:w="1514"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2000</w:t>
            </w:r>
          </w:p>
        </w:tc>
        <w:tc>
          <w:tcPr>
            <w:tcW w:w="1519"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60--80</w:t>
            </w:r>
          </w:p>
        </w:tc>
        <w:tc>
          <w:tcPr>
            <w:tcW w:w="2031" w:type="dxa"/>
            <w:vAlign w:val="center"/>
          </w:tcPr>
          <w:p>
            <w:pPr>
              <w:adjustRightInd w:val="0"/>
              <w:snapToGrid w:val="0"/>
              <w:spacing w:line="240" w:lineRule="auto"/>
              <w:ind w:firstLine="0" w:firstLineChars="0"/>
              <w:jc w:val="center"/>
              <w:rPr>
                <w:rFonts w:ascii="Calibri" w:hAnsi="Calibri"/>
                <w:bCs/>
                <w:sz w:val="18"/>
                <w:szCs w:val="18"/>
              </w:rPr>
            </w:pPr>
            <w:r>
              <w:rPr>
                <w:rFonts w:hint="eastAsia" w:ascii="Calibri" w:hAnsi="Calibri"/>
                <w:bCs/>
                <w:sz w:val="18"/>
                <w:szCs w:val="18"/>
              </w:rPr>
              <w:t>提供旅游交通换乘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74" w:type="dxa"/>
            <w:vAlign w:val="center"/>
          </w:tcPr>
          <w:p>
            <w:pPr>
              <w:adjustRightInd w:val="0"/>
              <w:snapToGrid w:val="0"/>
              <w:spacing w:line="240" w:lineRule="auto"/>
              <w:ind w:firstLine="0" w:firstLineChars="0"/>
              <w:jc w:val="center"/>
              <w:rPr>
                <w:rFonts w:ascii="Calibri" w:hAnsi="Calibri"/>
                <w:sz w:val="18"/>
                <w:szCs w:val="18"/>
              </w:rPr>
            </w:pPr>
            <w:r>
              <w:rPr>
                <w:rFonts w:ascii="Calibri" w:hAnsi="Calibri"/>
                <w:sz w:val="18"/>
                <w:szCs w:val="18"/>
              </w:rPr>
              <w:t>10</w:t>
            </w:r>
          </w:p>
        </w:tc>
        <w:tc>
          <w:tcPr>
            <w:tcW w:w="1100"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2030"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月老村</w:t>
            </w:r>
          </w:p>
        </w:tc>
        <w:tc>
          <w:tcPr>
            <w:tcW w:w="1514"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2000</w:t>
            </w:r>
          </w:p>
        </w:tc>
        <w:tc>
          <w:tcPr>
            <w:tcW w:w="1519"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60-80</w:t>
            </w:r>
          </w:p>
        </w:tc>
        <w:tc>
          <w:tcPr>
            <w:tcW w:w="2031" w:type="dxa"/>
            <w:vAlign w:val="center"/>
          </w:tcPr>
          <w:p>
            <w:pPr>
              <w:adjustRightInd w:val="0"/>
              <w:snapToGrid w:val="0"/>
              <w:spacing w:line="240" w:lineRule="auto"/>
              <w:ind w:firstLine="0" w:firstLineChars="0"/>
              <w:jc w:val="center"/>
              <w:rPr>
                <w:rFonts w:ascii="Calibri" w:hAnsi="Calibri"/>
                <w:bCs/>
                <w:sz w:val="18"/>
                <w:szCs w:val="18"/>
              </w:rPr>
            </w:pPr>
            <w:r>
              <w:rPr>
                <w:rFonts w:hint="eastAsia" w:ascii="Calibri" w:hAnsi="Calibri"/>
                <w:bCs/>
                <w:sz w:val="18"/>
                <w:szCs w:val="18"/>
              </w:rPr>
              <w:t>提供旅游交通换乘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74" w:type="dxa"/>
            <w:vAlign w:val="center"/>
          </w:tcPr>
          <w:p>
            <w:pPr>
              <w:adjustRightInd w:val="0"/>
              <w:snapToGrid w:val="0"/>
              <w:spacing w:line="240" w:lineRule="auto"/>
              <w:ind w:firstLine="0" w:firstLineChars="0"/>
              <w:jc w:val="center"/>
              <w:rPr>
                <w:rFonts w:ascii="Calibri" w:hAnsi="Calibri"/>
                <w:sz w:val="18"/>
                <w:szCs w:val="18"/>
              </w:rPr>
            </w:pPr>
            <w:r>
              <w:rPr>
                <w:rFonts w:ascii="Calibri" w:hAnsi="Calibri"/>
                <w:sz w:val="18"/>
                <w:szCs w:val="18"/>
              </w:rPr>
              <w:t>11</w:t>
            </w:r>
          </w:p>
        </w:tc>
        <w:tc>
          <w:tcPr>
            <w:tcW w:w="1100"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2030"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猴王谷</w:t>
            </w:r>
          </w:p>
        </w:tc>
        <w:tc>
          <w:tcPr>
            <w:tcW w:w="1514"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2000</w:t>
            </w:r>
          </w:p>
        </w:tc>
        <w:tc>
          <w:tcPr>
            <w:tcW w:w="1519"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60-80</w:t>
            </w:r>
          </w:p>
        </w:tc>
        <w:tc>
          <w:tcPr>
            <w:tcW w:w="2031" w:type="dxa"/>
            <w:vAlign w:val="center"/>
          </w:tcPr>
          <w:p>
            <w:pPr>
              <w:adjustRightInd w:val="0"/>
              <w:snapToGrid w:val="0"/>
              <w:spacing w:line="240" w:lineRule="auto"/>
              <w:ind w:firstLine="0" w:firstLineChars="0"/>
              <w:jc w:val="center"/>
              <w:rPr>
                <w:rFonts w:ascii="Calibri" w:hAnsi="Calibri"/>
                <w:bCs/>
                <w:sz w:val="18"/>
                <w:szCs w:val="18"/>
              </w:rPr>
            </w:pPr>
            <w:r>
              <w:rPr>
                <w:rFonts w:hint="eastAsia" w:ascii="Calibri" w:hAnsi="Calibri"/>
                <w:bCs/>
                <w:sz w:val="18"/>
                <w:szCs w:val="18"/>
              </w:rPr>
              <w:t>提供旅游交通换乘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74" w:type="dxa"/>
            <w:vAlign w:val="center"/>
          </w:tcPr>
          <w:p>
            <w:pPr>
              <w:adjustRightInd w:val="0"/>
              <w:snapToGrid w:val="0"/>
              <w:spacing w:line="240" w:lineRule="auto"/>
              <w:ind w:firstLine="0" w:firstLineChars="0"/>
              <w:jc w:val="center"/>
              <w:rPr>
                <w:rFonts w:ascii="Calibri" w:hAnsi="Calibri"/>
                <w:sz w:val="18"/>
                <w:szCs w:val="18"/>
              </w:rPr>
            </w:pPr>
            <w:r>
              <w:rPr>
                <w:rFonts w:ascii="Calibri" w:hAnsi="Calibri"/>
                <w:sz w:val="18"/>
                <w:szCs w:val="18"/>
              </w:rPr>
              <w:t>12</w:t>
            </w:r>
          </w:p>
        </w:tc>
        <w:tc>
          <w:tcPr>
            <w:tcW w:w="1100"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2030"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龙麒源游客中心</w:t>
            </w:r>
          </w:p>
        </w:tc>
        <w:tc>
          <w:tcPr>
            <w:tcW w:w="1514"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2000</w:t>
            </w:r>
          </w:p>
        </w:tc>
        <w:tc>
          <w:tcPr>
            <w:tcW w:w="1519"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60--80</w:t>
            </w:r>
          </w:p>
        </w:tc>
        <w:tc>
          <w:tcPr>
            <w:tcW w:w="2031" w:type="dxa"/>
            <w:vAlign w:val="center"/>
          </w:tcPr>
          <w:p>
            <w:pPr>
              <w:adjustRightInd w:val="0"/>
              <w:snapToGrid w:val="0"/>
              <w:spacing w:line="240" w:lineRule="auto"/>
              <w:ind w:firstLine="0" w:firstLineChars="0"/>
              <w:jc w:val="center"/>
              <w:rPr>
                <w:rFonts w:ascii="Calibri" w:hAnsi="Calibri"/>
                <w:bCs/>
                <w:sz w:val="18"/>
                <w:szCs w:val="18"/>
              </w:rPr>
            </w:pPr>
            <w:r>
              <w:rPr>
                <w:rFonts w:hint="eastAsia" w:ascii="Calibri" w:hAnsi="Calibri"/>
                <w:bCs/>
                <w:sz w:val="18"/>
                <w:szCs w:val="18"/>
              </w:rPr>
              <w:t>提供旅游交通换乘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74" w:type="dxa"/>
            <w:vAlign w:val="center"/>
          </w:tcPr>
          <w:p>
            <w:pPr>
              <w:adjustRightInd w:val="0"/>
              <w:snapToGrid w:val="0"/>
              <w:spacing w:line="240" w:lineRule="auto"/>
              <w:ind w:firstLine="0" w:firstLineChars="0"/>
              <w:jc w:val="center"/>
              <w:rPr>
                <w:rFonts w:ascii="Calibri" w:hAnsi="Calibri"/>
                <w:sz w:val="18"/>
                <w:szCs w:val="18"/>
              </w:rPr>
            </w:pPr>
            <w:r>
              <w:rPr>
                <w:rFonts w:ascii="Calibri" w:hAnsi="Calibri"/>
                <w:sz w:val="18"/>
                <w:szCs w:val="18"/>
              </w:rPr>
              <w:t>13</w:t>
            </w:r>
          </w:p>
        </w:tc>
        <w:tc>
          <w:tcPr>
            <w:tcW w:w="1100"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2030"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谈阳村</w:t>
            </w:r>
          </w:p>
        </w:tc>
        <w:tc>
          <w:tcPr>
            <w:tcW w:w="1514"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1500</w:t>
            </w:r>
          </w:p>
        </w:tc>
        <w:tc>
          <w:tcPr>
            <w:tcW w:w="1519"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50--60</w:t>
            </w:r>
          </w:p>
        </w:tc>
        <w:tc>
          <w:tcPr>
            <w:tcW w:w="2031" w:type="dxa"/>
            <w:vAlign w:val="center"/>
          </w:tcPr>
          <w:p>
            <w:pPr>
              <w:adjustRightInd w:val="0"/>
              <w:snapToGrid w:val="0"/>
              <w:spacing w:line="240" w:lineRule="auto"/>
              <w:ind w:firstLine="0" w:firstLineChars="0"/>
              <w:jc w:val="center"/>
              <w:rPr>
                <w:rFonts w:ascii="Calibri" w:hAnsi="Calibri"/>
                <w:bCs/>
                <w:sz w:val="18"/>
                <w:szCs w:val="18"/>
              </w:rPr>
            </w:pPr>
            <w:r>
              <w:rPr>
                <w:rFonts w:hint="eastAsia" w:ascii="Calibri" w:hAnsi="Calibri"/>
                <w:bCs/>
                <w:sz w:val="18"/>
                <w:szCs w:val="18"/>
              </w:rPr>
              <w:t>提供旅游交通换乘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74" w:type="dxa"/>
            <w:vAlign w:val="center"/>
          </w:tcPr>
          <w:p>
            <w:pPr>
              <w:adjustRightInd w:val="0"/>
              <w:snapToGrid w:val="0"/>
              <w:spacing w:line="240" w:lineRule="auto"/>
              <w:ind w:firstLine="0" w:firstLineChars="0"/>
              <w:jc w:val="center"/>
              <w:rPr>
                <w:rFonts w:ascii="Calibri" w:hAnsi="Calibri"/>
                <w:sz w:val="18"/>
                <w:szCs w:val="18"/>
              </w:rPr>
            </w:pPr>
            <w:r>
              <w:rPr>
                <w:rFonts w:ascii="Calibri" w:hAnsi="Calibri"/>
                <w:sz w:val="18"/>
                <w:szCs w:val="18"/>
              </w:rPr>
              <w:t>14</w:t>
            </w:r>
          </w:p>
        </w:tc>
        <w:tc>
          <w:tcPr>
            <w:tcW w:w="1100"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2030"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西段村</w:t>
            </w:r>
          </w:p>
        </w:tc>
        <w:tc>
          <w:tcPr>
            <w:tcW w:w="1514"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2000</w:t>
            </w:r>
          </w:p>
        </w:tc>
        <w:tc>
          <w:tcPr>
            <w:tcW w:w="1519"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60--80</w:t>
            </w:r>
          </w:p>
        </w:tc>
        <w:tc>
          <w:tcPr>
            <w:tcW w:w="2031" w:type="dxa"/>
            <w:vAlign w:val="center"/>
          </w:tcPr>
          <w:p>
            <w:pPr>
              <w:adjustRightInd w:val="0"/>
              <w:snapToGrid w:val="0"/>
              <w:spacing w:line="240" w:lineRule="auto"/>
              <w:ind w:firstLine="0" w:firstLineChars="0"/>
              <w:jc w:val="center"/>
              <w:rPr>
                <w:rFonts w:ascii="Calibri" w:hAnsi="Calibri"/>
                <w:bCs/>
                <w:sz w:val="18"/>
                <w:szCs w:val="18"/>
              </w:rPr>
            </w:pPr>
            <w:r>
              <w:rPr>
                <w:rFonts w:hint="eastAsia" w:ascii="Calibri" w:hAnsi="Calibri"/>
                <w:bCs/>
                <w:sz w:val="18"/>
                <w:szCs w:val="18"/>
              </w:rPr>
              <w:t>提供旅游交通换乘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74" w:type="dxa"/>
            <w:vAlign w:val="center"/>
          </w:tcPr>
          <w:p>
            <w:pPr>
              <w:adjustRightInd w:val="0"/>
              <w:snapToGrid w:val="0"/>
              <w:spacing w:line="240" w:lineRule="auto"/>
              <w:ind w:firstLine="0" w:firstLineChars="0"/>
              <w:jc w:val="center"/>
              <w:rPr>
                <w:rFonts w:ascii="Calibri" w:hAnsi="Calibri"/>
                <w:sz w:val="18"/>
                <w:szCs w:val="18"/>
              </w:rPr>
            </w:pPr>
            <w:r>
              <w:rPr>
                <w:rFonts w:ascii="Calibri" w:hAnsi="Calibri"/>
                <w:sz w:val="18"/>
                <w:szCs w:val="18"/>
              </w:rPr>
              <w:t>15</w:t>
            </w:r>
          </w:p>
        </w:tc>
        <w:tc>
          <w:tcPr>
            <w:tcW w:w="1100"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2030"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岗山村</w:t>
            </w:r>
          </w:p>
        </w:tc>
        <w:tc>
          <w:tcPr>
            <w:tcW w:w="1514"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1000</w:t>
            </w:r>
          </w:p>
        </w:tc>
        <w:tc>
          <w:tcPr>
            <w:tcW w:w="1519"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40-50</w:t>
            </w:r>
          </w:p>
        </w:tc>
        <w:tc>
          <w:tcPr>
            <w:tcW w:w="2031" w:type="dxa"/>
            <w:vAlign w:val="center"/>
          </w:tcPr>
          <w:p>
            <w:pPr>
              <w:adjustRightInd w:val="0"/>
              <w:snapToGrid w:val="0"/>
              <w:spacing w:line="240" w:lineRule="auto"/>
              <w:ind w:firstLine="0" w:firstLineChars="0"/>
              <w:jc w:val="center"/>
              <w:rPr>
                <w:rFonts w:ascii="Calibri" w:hAnsi="Calibri"/>
                <w:bCs/>
                <w:sz w:val="18"/>
                <w:szCs w:val="18"/>
              </w:rPr>
            </w:pPr>
            <w:r>
              <w:rPr>
                <w:rFonts w:hint="eastAsia" w:ascii="Calibri" w:hAnsi="Calibri"/>
                <w:bCs/>
                <w:sz w:val="18"/>
                <w:szCs w:val="18"/>
              </w:rPr>
              <w:t>提供旅游交通换乘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74" w:type="dxa"/>
            <w:vAlign w:val="center"/>
          </w:tcPr>
          <w:p>
            <w:pPr>
              <w:adjustRightInd w:val="0"/>
              <w:snapToGrid w:val="0"/>
              <w:spacing w:line="240" w:lineRule="auto"/>
              <w:ind w:firstLine="0" w:firstLineChars="0"/>
              <w:jc w:val="center"/>
              <w:rPr>
                <w:rFonts w:ascii="Calibri" w:hAnsi="Calibri"/>
                <w:sz w:val="18"/>
                <w:szCs w:val="18"/>
              </w:rPr>
            </w:pPr>
            <w:r>
              <w:rPr>
                <w:rFonts w:ascii="Calibri" w:hAnsi="Calibri"/>
                <w:sz w:val="18"/>
                <w:szCs w:val="18"/>
              </w:rPr>
              <w:t>16</w:t>
            </w:r>
          </w:p>
        </w:tc>
        <w:tc>
          <w:tcPr>
            <w:tcW w:w="1100"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2030"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吴垟村</w:t>
            </w:r>
          </w:p>
        </w:tc>
        <w:tc>
          <w:tcPr>
            <w:tcW w:w="1514"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2000</w:t>
            </w:r>
          </w:p>
        </w:tc>
        <w:tc>
          <w:tcPr>
            <w:tcW w:w="1519"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60--80</w:t>
            </w:r>
          </w:p>
        </w:tc>
        <w:tc>
          <w:tcPr>
            <w:tcW w:w="2031" w:type="dxa"/>
            <w:vAlign w:val="center"/>
          </w:tcPr>
          <w:p>
            <w:pPr>
              <w:adjustRightInd w:val="0"/>
              <w:snapToGrid w:val="0"/>
              <w:spacing w:line="240" w:lineRule="auto"/>
              <w:ind w:firstLine="0" w:firstLineChars="0"/>
              <w:jc w:val="center"/>
              <w:rPr>
                <w:rFonts w:ascii="Calibri" w:hAnsi="Calibri"/>
                <w:bCs/>
                <w:sz w:val="18"/>
                <w:szCs w:val="18"/>
              </w:rPr>
            </w:pPr>
            <w:r>
              <w:rPr>
                <w:rFonts w:hint="eastAsia" w:ascii="Calibri" w:hAnsi="Calibri"/>
                <w:bCs/>
                <w:sz w:val="18"/>
                <w:szCs w:val="18"/>
              </w:rPr>
              <w:t>提供旅游交通换乘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74" w:type="dxa"/>
            <w:vAlign w:val="center"/>
          </w:tcPr>
          <w:p>
            <w:pPr>
              <w:adjustRightInd w:val="0"/>
              <w:snapToGrid w:val="0"/>
              <w:spacing w:line="240" w:lineRule="auto"/>
              <w:ind w:firstLine="0" w:firstLineChars="0"/>
              <w:jc w:val="center"/>
              <w:rPr>
                <w:rFonts w:ascii="Calibri" w:hAnsi="Calibri"/>
                <w:sz w:val="18"/>
                <w:szCs w:val="18"/>
              </w:rPr>
            </w:pPr>
            <w:r>
              <w:rPr>
                <w:rFonts w:ascii="Calibri" w:hAnsi="Calibri"/>
                <w:sz w:val="18"/>
                <w:szCs w:val="18"/>
              </w:rPr>
              <w:t>17</w:t>
            </w:r>
          </w:p>
        </w:tc>
        <w:tc>
          <w:tcPr>
            <w:tcW w:w="1100"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2030"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岩门村</w:t>
            </w:r>
          </w:p>
        </w:tc>
        <w:tc>
          <w:tcPr>
            <w:tcW w:w="1514"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2000</w:t>
            </w:r>
          </w:p>
        </w:tc>
        <w:tc>
          <w:tcPr>
            <w:tcW w:w="1519"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60--80</w:t>
            </w:r>
          </w:p>
        </w:tc>
        <w:tc>
          <w:tcPr>
            <w:tcW w:w="2031" w:type="dxa"/>
            <w:vAlign w:val="center"/>
          </w:tcPr>
          <w:p>
            <w:pPr>
              <w:adjustRightInd w:val="0"/>
              <w:snapToGrid w:val="0"/>
              <w:spacing w:line="240" w:lineRule="auto"/>
              <w:ind w:firstLine="0" w:firstLineChars="0"/>
              <w:jc w:val="center"/>
              <w:rPr>
                <w:rFonts w:ascii="Calibri" w:hAnsi="Calibri"/>
                <w:bCs/>
                <w:sz w:val="18"/>
                <w:szCs w:val="18"/>
              </w:rPr>
            </w:pPr>
            <w:r>
              <w:rPr>
                <w:rFonts w:hint="eastAsia" w:ascii="Calibri" w:hAnsi="Calibri"/>
                <w:bCs/>
                <w:sz w:val="18"/>
                <w:szCs w:val="18"/>
              </w:rPr>
              <w:t>提供旅游交通换乘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74" w:type="dxa"/>
            <w:vAlign w:val="center"/>
          </w:tcPr>
          <w:p>
            <w:pPr>
              <w:adjustRightInd w:val="0"/>
              <w:snapToGrid w:val="0"/>
              <w:spacing w:line="240" w:lineRule="auto"/>
              <w:ind w:firstLine="0" w:firstLineChars="0"/>
              <w:jc w:val="center"/>
              <w:rPr>
                <w:rFonts w:ascii="Calibri" w:hAnsi="Calibri"/>
                <w:sz w:val="18"/>
                <w:szCs w:val="18"/>
              </w:rPr>
            </w:pPr>
            <w:r>
              <w:rPr>
                <w:rFonts w:ascii="Calibri" w:hAnsi="Calibri"/>
                <w:sz w:val="18"/>
                <w:szCs w:val="18"/>
              </w:rPr>
              <w:t>18</w:t>
            </w:r>
          </w:p>
        </w:tc>
        <w:tc>
          <w:tcPr>
            <w:tcW w:w="1100"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2030"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塘垄民族村</w:t>
            </w:r>
          </w:p>
        </w:tc>
        <w:tc>
          <w:tcPr>
            <w:tcW w:w="1514"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2500</w:t>
            </w:r>
          </w:p>
        </w:tc>
        <w:tc>
          <w:tcPr>
            <w:tcW w:w="1519"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80—100</w:t>
            </w:r>
          </w:p>
        </w:tc>
        <w:tc>
          <w:tcPr>
            <w:tcW w:w="2031" w:type="dxa"/>
            <w:vAlign w:val="center"/>
          </w:tcPr>
          <w:p>
            <w:pPr>
              <w:adjustRightInd w:val="0"/>
              <w:snapToGrid w:val="0"/>
              <w:spacing w:line="240" w:lineRule="auto"/>
              <w:ind w:firstLine="0" w:firstLineChars="0"/>
              <w:jc w:val="center"/>
              <w:rPr>
                <w:rFonts w:ascii="Calibri" w:hAnsi="Calibri"/>
                <w:bCs/>
                <w:sz w:val="18"/>
                <w:szCs w:val="18"/>
              </w:rPr>
            </w:pPr>
            <w:r>
              <w:rPr>
                <w:rFonts w:hint="eastAsia" w:ascii="Calibri" w:hAnsi="Calibri"/>
                <w:bCs/>
                <w:sz w:val="18"/>
                <w:szCs w:val="18"/>
              </w:rPr>
              <w:t>提供旅游交通换乘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74" w:type="dxa"/>
            <w:vAlign w:val="center"/>
          </w:tcPr>
          <w:p>
            <w:pPr>
              <w:adjustRightInd w:val="0"/>
              <w:snapToGrid w:val="0"/>
              <w:spacing w:line="240" w:lineRule="auto"/>
              <w:ind w:firstLine="0" w:firstLineChars="0"/>
              <w:jc w:val="center"/>
              <w:rPr>
                <w:rFonts w:ascii="Calibri" w:hAnsi="Calibri"/>
                <w:sz w:val="18"/>
                <w:szCs w:val="18"/>
              </w:rPr>
            </w:pPr>
            <w:r>
              <w:rPr>
                <w:rFonts w:ascii="Calibri" w:hAnsi="Calibri"/>
                <w:sz w:val="18"/>
                <w:szCs w:val="18"/>
              </w:rPr>
              <w:t>19</w:t>
            </w:r>
          </w:p>
        </w:tc>
        <w:tc>
          <w:tcPr>
            <w:tcW w:w="1100"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2030"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胜坑村</w:t>
            </w:r>
          </w:p>
        </w:tc>
        <w:tc>
          <w:tcPr>
            <w:tcW w:w="1514"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1500</w:t>
            </w:r>
          </w:p>
        </w:tc>
        <w:tc>
          <w:tcPr>
            <w:tcW w:w="1519"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50--60</w:t>
            </w:r>
          </w:p>
        </w:tc>
        <w:tc>
          <w:tcPr>
            <w:tcW w:w="2031" w:type="dxa"/>
            <w:vAlign w:val="center"/>
          </w:tcPr>
          <w:p>
            <w:pPr>
              <w:adjustRightInd w:val="0"/>
              <w:snapToGrid w:val="0"/>
              <w:spacing w:line="240" w:lineRule="auto"/>
              <w:ind w:firstLine="0" w:firstLineChars="0"/>
              <w:jc w:val="center"/>
              <w:rPr>
                <w:rFonts w:ascii="Calibri" w:hAnsi="Calibri"/>
                <w:bCs/>
                <w:sz w:val="18"/>
                <w:szCs w:val="18"/>
              </w:rPr>
            </w:pPr>
            <w:r>
              <w:rPr>
                <w:rFonts w:hint="eastAsia" w:ascii="Calibri" w:hAnsi="Calibri"/>
                <w:bCs/>
                <w:sz w:val="18"/>
                <w:szCs w:val="18"/>
              </w:rPr>
              <w:t>提供旅游交通换乘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74" w:type="dxa"/>
            <w:vAlign w:val="center"/>
          </w:tcPr>
          <w:p>
            <w:pPr>
              <w:adjustRightInd w:val="0"/>
              <w:snapToGrid w:val="0"/>
              <w:spacing w:line="240" w:lineRule="auto"/>
              <w:ind w:firstLine="0" w:firstLineChars="0"/>
              <w:jc w:val="center"/>
              <w:rPr>
                <w:rFonts w:ascii="Calibri" w:hAnsi="Calibri"/>
                <w:sz w:val="18"/>
                <w:szCs w:val="18"/>
              </w:rPr>
            </w:pPr>
            <w:r>
              <w:rPr>
                <w:rFonts w:ascii="Calibri" w:hAnsi="Calibri"/>
                <w:sz w:val="18"/>
                <w:szCs w:val="18"/>
              </w:rPr>
              <w:t>20</w:t>
            </w:r>
          </w:p>
        </w:tc>
        <w:tc>
          <w:tcPr>
            <w:tcW w:w="1100"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2030"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云湖社区</w:t>
            </w:r>
          </w:p>
        </w:tc>
        <w:tc>
          <w:tcPr>
            <w:tcW w:w="1514"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1000</w:t>
            </w:r>
          </w:p>
        </w:tc>
        <w:tc>
          <w:tcPr>
            <w:tcW w:w="1519"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30-40</w:t>
            </w:r>
          </w:p>
        </w:tc>
        <w:tc>
          <w:tcPr>
            <w:tcW w:w="2031" w:type="dxa"/>
            <w:vAlign w:val="center"/>
          </w:tcPr>
          <w:p>
            <w:pPr>
              <w:adjustRightInd w:val="0"/>
              <w:snapToGrid w:val="0"/>
              <w:spacing w:line="240" w:lineRule="auto"/>
              <w:ind w:firstLine="0" w:firstLineChars="0"/>
              <w:jc w:val="center"/>
              <w:rPr>
                <w:rFonts w:ascii="Calibri" w:hAnsi="Calibri"/>
                <w:bCs/>
                <w:sz w:val="18"/>
                <w:szCs w:val="18"/>
              </w:rPr>
            </w:pPr>
            <w:r>
              <w:rPr>
                <w:rFonts w:hint="eastAsia" w:ascii="Calibri" w:hAnsi="Calibri"/>
                <w:bCs/>
                <w:sz w:val="18"/>
                <w:szCs w:val="18"/>
              </w:rPr>
              <w:t>提供旅游交通换乘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74" w:type="dxa"/>
            <w:vAlign w:val="center"/>
          </w:tcPr>
          <w:p>
            <w:pPr>
              <w:adjustRightInd w:val="0"/>
              <w:snapToGrid w:val="0"/>
              <w:spacing w:line="240" w:lineRule="auto"/>
              <w:ind w:firstLine="0" w:firstLineChars="0"/>
              <w:jc w:val="center"/>
              <w:rPr>
                <w:rFonts w:ascii="Calibri" w:hAnsi="Calibri"/>
                <w:sz w:val="18"/>
                <w:szCs w:val="18"/>
              </w:rPr>
            </w:pPr>
            <w:r>
              <w:rPr>
                <w:rFonts w:ascii="Calibri" w:hAnsi="Calibri"/>
                <w:sz w:val="18"/>
                <w:szCs w:val="18"/>
              </w:rPr>
              <w:t>21</w:t>
            </w:r>
          </w:p>
        </w:tc>
        <w:tc>
          <w:tcPr>
            <w:tcW w:w="1100"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2030"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金朱林场</w:t>
            </w:r>
          </w:p>
        </w:tc>
        <w:tc>
          <w:tcPr>
            <w:tcW w:w="1514"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1000</w:t>
            </w:r>
          </w:p>
        </w:tc>
        <w:tc>
          <w:tcPr>
            <w:tcW w:w="1519"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30-40</w:t>
            </w:r>
          </w:p>
        </w:tc>
        <w:tc>
          <w:tcPr>
            <w:tcW w:w="2031" w:type="dxa"/>
            <w:vAlign w:val="center"/>
          </w:tcPr>
          <w:p>
            <w:pPr>
              <w:adjustRightInd w:val="0"/>
              <w:snapToGrid w:val="0"/>
              <w:spacing w:line="240" w:lineRule="auto"/>
              <w:ind w:firstLine="0" w:firstLineChars="0"/>
              <w:jc w:val="center"/>
              <w:rPr>
                <w:rFonts w:ascii="Calibri" w:hAnsi="Calibri"/>
                <w:bCs/>
                <w:sz w:val="18"/>
                <w:szCs w:val="18"/>
              </w:rPr>
            </w:pPr>
            <w:r>
              <w:rPr>
                <w:rFonts w:hint="eastAsia" w:ascii="Calibri" w:hAnsi="Calibri"/>
                <w:bCs/>
                <w:sz w:val="18"/>
                <w:szCs w:val="18"/>
              </w:rPr>
              <w:t>提供旅游交通换乘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74" w:type="dxa"/>
            <w:vAlign w:val="center"/>
          </w:tcPr>
          <w:p>
            <w:pPr>
              <w:adjustRightInd w:val="0"/>
              <w:snapToGrid w:val="0"/>
              <w:spacing w:line="240" w:lineRule="auto"/>
              <w:ind w:firstLine="0" w:firstLineChars="0"/>
              <w:jc w:val="center"/>
              <w:rPr>
                <w:rFonts w:ascii="Calibri" w:hAnsi="Calibri"/>
                <w:sz w:val="18"/>
                <w:szCs w:val="18"/>
              </w:rPr>
            </w:pPr>
            <w:r>
              <w:rPr>
                <w:rFonts w:ascii="Calibri" w:hAnsi="Calibri"/>
                <w:sz w:val="18"/>
                <w:szCs w:val="18"/>
              </w:rPr>
              <w:t>22</w:t>
            </w:r>
          </w:p>
        </w:tc>
        <w:tc>
          <w:tcPr>
            <w:tcW w:w="1100"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2030"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碧坑村</w:t>
            </w:r>
          </w:p>
        </w:tc>
        <w:tc>
          <w:tcPr>
            <w:tcW w:w="1514"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1000</w:t>
            </w:r>
          </w:p>
        </w:tc>
        <w:tc>
          <w:tcPr>
            <w:tcW w:w="1519"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30-40</w:t>
            </w:r>
          </w:p>
        </w:tc>
        <w:tc>
          <w:tcPr>
            <w:tcW w:w="2031" w:type="dxa"/>
            <w:vAlign w:val="center"/>
          </w:tcPr>
          <w:p>
            <w:pPr>
              <w:adjustRightInd w:val="0"/>
              <w:snapToGrid w:val="0"/>
              <w:spacing w:line="240" w:lineRule="auto"/>
              <w:ind w:firstLine="0" w:firstLineChars="0"/>
              <w:jc w:val="center"/>
              <w:rPr>
                <w:rFonts w:ascii="Calibri" w:hAnsi="Calibri"/>
                <w:bCs/>
                <w:sz w:val="18"/>
                <w:szCs w:val="18"/>
              </w:rPr>
            </w:pPr>
            <w:r>
              <w:rPr>
                <w:rFonts w:hint="eastAsia" w:ascii="Calibri" w:hAnsi="Calibri"/>
                <w:bCs/>
                <w:sz w:val="18"/>
                <w:szCs w:val="18"/>
              </w:rPr>
              <w:t>提供旅游交通换乘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74" w:type="dxa"/>
            <w:vAlign w:val="center"/>
          </w:tcPr>
          <w:p>
            <w:pPr>
              <w:adjustRightInd w:val="0"/>
              <w:snapToGrid w:val="0"/>
              <w:spacing w:line="240" w:lineRule="auto"/>
              <w:ind w:firstLine="0" w:firstLineChars="0"/>
              <w:jc w:val="center"/>
              <w:rPr>
                <w:rFonts w:ascii="Calibri" w:hAnsi="Calibri"/>
                <w:sz w:val="18"/>
                <w:szCs w:val="18"/>
              </w:rPr>
            </w:pPr>
            <w:r>
              <w:rPr>
                <w:rFonts w:ascii="Calibri" w:hAnsi="Calibri"/>
                <w:sz w:val="18"/>
                <w:szCs w:val="18"/>
              </w:rPr>
              <w:t>23</w:t>
            </w:r>
          </w:p>
        </w:tc>
        <w:tc>
          <w:tcPr>
            <w:tcW w:w="1100"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2030"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珊瑚村</w:t>
            </w:r>
          </w:p>
        </w:tc>
        <w:tc>
          <w:tcPr>
            <w:tcW w:w="1514"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1000</w:t>
            </w:r>
          </w:p>
        </w:tc>
        <w:tc>
          <w:tcPr>
            <w:tcW w:w="1519"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30-40</w:t>
            </w:r>
          </w:p>
        </w:tc>
        <w:tc>
          <w:tcPr>
            <w:tcW w:w="2031" w:type="dxa"/>
            <w:vAlign w:val="center"/>
          </w:tcPr>
          <w:p>
            <w:pPr>
              <w:adjustRightInd w:val="0"/>
              <w:snapToGrid w:val="0"/>
              <w:spacing w:line="240" w:lineRule="auto"/>
              <w:ind w:firstLine="0" w:firstLineChars="0"/>
              <w:jc w:val="center"/>
              <w:rPr>
                <w:rFonts w:ascii="Calibri" w:hAnsi="Calibri"/>
                <w:bCs/>
                <w:sz w:val="18"/>
                <w:szCs w:val="18"/>
              </w:rPr>
            </w:pPr>
            <w:r>
              <w:rPr>
                <w:rFonts w:hint="eastAsia" w:ascii="Calibri" w:hAnsi="Calibri"/>
                <w:bCs/>
                <w:sz w:val="18"/>
                <w:szCs w:val="18"/>
              </w:rPr>
              <w:t>提供旅游交通换乘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74" w:type="dxa"/>
            <w:vAlign w:val="center"/>
          </w:tcPr>
          <w:p>
            <w:pPr>
              <w:adjustRightInd w:val="0"/>
              <w:snapToGrid w:val="0"/>
              <w:spacing w:line="240" w:lineRule="auto"/>
              <w:ind w:firstLine="0" w:firstLineChars="0"/>
              <w:jc w:val="center"/>
              <w:rPr>
                <w:rFonts w:ascii="Calibri" w:hAnsi="Calibri"/>
                <w:sz w:val="18"/>
                <w:szCs w:val="18"/>
              </w:rPr>
            </w:pPr>
            <w:r>
              <w:rPr>
                <w:rFonts w:ascii="Calibri" w:hAnsi="Calibri"/>
                <w:sz w:val="18"/>
                <w:szCs w:val="18"/>
              </w:rPr>
              <w:t>24</w:t>
            </w:r>
          </w:p>
        </w:tc>
        <w:tc>
          <w:tcPr>
            <w:tcW w:w="1100" w:type="dxa"/>
            <w:vMerge w:val="continue"/>
            <w:vAlign w:val="center"/>
          </w:tcPr>
          <w:p>
            <w:pPr>
              <w:adjustRightInd w:val="0"/>
              <w:snapToGrid w:val="0"/>
              <w:spacing w:line="240" w:lineRule="auto"/>
              <w:ind w:firstLine="0" w:firstLineChars="0"/>
              <w:jc w:val="center"/>
              <w:rPr>
                <w:rFonts w:ascii="宋体" w:hAnsi="宋体"/>
                <w:sz w:val="18"/>
                <w:szCs w:val="18"/>
              </w:rPr>
            </w:pPr>
          </w:p>
        </w:tc>
        <w:tc>
          <w:tcPr>
            <w:tcW w:w="2030"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五新村</w:t>
            </w:r>
          </w:p>
        </w:tc>
        <w:tc>
          <w:tcPr>
            <w:tcW w:w="1514"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1000</w:t>
            </w:r>
          </w:p>
        </w:tc>
        <w:tc>
          <w:tcPr>
            <w:tcW w:w="1519"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30-40</w:t>
            </w:r>
          </w:p>
        </w:tc>
        <w:tc>
          <w:tcPr>
            <w:tcW w:w="2031" w:type="dxa"/>
            <w:vAlign w:val="center"/>
          </w:tcPr>
          <w:p>
            <w:pPr>
              <w:adjustRightInd w:val="0"/>
              <w:snapToGrid w:val="0"/>
              <w:spacing w:line="240" w:lineRule="auto"/>
              <w:ind w:firstLine="0" w:firstLineChars="0"/>
              <w:jc w:val="center"/>
              <w:rPr>
                <w:rFonts w:ascii="Calibri" w:hAnsi="Calibri"/>
                <w:bCs/>
                <w:sz w:val="18"/>
                <w:szCs w:val="18"/>
              </w:rPr>
            </w:pPr>
            <w:r>
              <w:rPr>
                <w:rFonts w:hint="eastAsia" w:ascii="Calibri" w:hAnsi="Calibri"/>
                <w:bCs/>
                <w:sz w:val="18"/>
                <w:szCs w:val="18"/>
              </w:rPr>
              <w:t>提供旅游交通换乘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3804" w:type="dxa"/>
            <w:gridSpan w:val="3"/>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合计</w:t>
            </w:r>
          </w:p>
        </w:tc>
        <w:tc>
          <w:tcPr>
            <w:tcW w:w="1514"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55500</w:t>
            </w:r>
          </w:p>
        </w:tc>
        <w:tc>
          <w:tcPr>
            <w:tcW w:w="1519"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1780-2230</w:t>
            </w:r>
          </w:p>
        </w:tc>
        <w:tc>
          <w:tcPr>
            <w:tcW w:w="2031" w:type="dxa"/>
            <w:vAlign w:val="center"/>
          </w:tcPr>
          <w:p>
            <w:pPr>
              <w:adjustRightInd w:val="0"/>
              <w:snapToGrid w:val="0"/>
              <w:spacing w:line="240" w:lineRule="auto"/>
              <w:ind w:firstLine="0" w:firstLineChars="0"/>
              <w:jc w:val="center"/>
              <w:rPr>
                <w:rFonts w:ascii="宋体" w:hAnsi="宋体"/>
                <w:sz w:val="18"/>
                <w:szCs w:val="18"/>
              </w:rPr>
            </w:pPr>
          </w:p>
        </w:tc>
      </w:tr>
    </w:tbl>
    <w:p>
      <w:pPr>
        <w:pStyle w:val="17"/>
        <w:spacing w:line="240" w:lineRule="auto"/>
        <w:ind w:firstLine="0" w:firstLineChars="0"/>
        <w:jc w:val="left"/>
        <w:rPr>
          <w:sz w:val="18"/>
          <w:szCs w:val="18"/>
        </w:rPr>
      </w:pPr>
      <w:r>
        <w:rPr>
          <w:rFonts w:hint="eastAsia"/>
          <w:bCs/>
          <w:sz w:val="18"/>
          <w:szCs w:val="18"/>
        </w:rPr>
        <w:t>注：</w:t>
      </w:r>
      <w:r>
        <w:rPr>
          <w:rFonts w:hint="eastAsia"/>
          <w:sz w:val="18"/>
          <w:szCs w:val="18"/>
        </w:rPr>
        <w:t>①表中规划的停车场主要用于旅游换乘，不包括游客中心、酒店等建筑配建停车位；②在旅游高峰期，可根据需要增设临时停车位。</w:t>
      </w:r>
    </w:p>
    <w:p>
      <w:pPr>
        <w:pStyle w:val="4"/>
        <w:spacing w:before="156"/>
        <w:ind w:firstLine="360"/>
      </w:pPr>
      <w:r>
        <w:rPr>
          <w:rFonts w:hint="eastAsia"/>
        </w:rPr>
        <w:t>（十）水上交通规划</w:t>
      </w:r>
    </w:p>
    <w:p>
      <w:pPr>
        <w:spacing w:before="93" w:beforeLines="30"/>
        <w:ind w:firstLine="480"/>
        <w:rPr>
          <w:rFonts w:cs="宋体"/>
        </w:rPr>
      </w:pPr>
      <w:r>
        <w:rPr>
          <w:rFonts w:hint="eastAsia" w:cs="宋体"/>
        </w:rPr>
        <w:t>风景名胜区内水资源丰富，以飞云湖、天顶湖为代表的水运航运条件很好，开展水上游览潜力大。规划依托飞云湖、天顶湖、峡谷景廊（吴垟水库）、岩门大峡谷、飞翠湖的水资源条件，规划建设</w:t>
      </w:r>
      <w:r>
        <w:rPr>
          <w:rFonts w:cs="宋体"/>
        </w:rPr>
        <w:t>19</w:t>
      </w:r>
      <w:r>
        <w:rPr>
          <w:rFonts w:hint="eastAsia" w:cs="宋体"/>
        </w:rPr>
        <w:t>处游船码头，加强航道管理并建立公共航运体系，组成安全、舒适、便捷的水上交通系统。</w:t>
      </w:r>
    </w:p>
    <w:p>
      <w:pPr>
        <w:spacing w:before="93" w:beforeLines="30"/>
        <w:ind w:firstLine="480"/>
        <w:rPr>
          <w:rFonts w:ascii="宋体" w:hAnsi="宋体"/>
          <w:b/>
          <w:sz w:val="21"/>
          <w:szCs w:val="21"/>
        </w:rPr>
      </w:pPr>
      <w:r>
        <w:rPr>
          <w:rFonts w:hint="eastAsia" w:cs="宋体"/>
        </w:rPr>
        <w:t>规划飞云湖、天顶湖、峡谷景廊（吴垟水库）、飞翠湖可组织水上巴士游览。规划岩门大峡谷可组织漂流活动，并在沿线设置游船停靠点，组织水上游览。飞云湖码头规划要求选用浮动拼接、集约型泊船方式，以便集中管理，并为进一步发展留出弹性空间；另设管理用房、候船室、公厕、停车场等设施。</w:t>
      </w:r>
    </w:p>
    <w:p>
      <w:pPr>
        <w:spacing w:line="480" w:lineRule="exact"/>
        <w:ind w:firstLine="0" w:firstLineChars="0"/>
        <w:jc w:val="center"/>
        <w:rPr>
          <w:rFonts w:ascii="宋体" w:hAnsi="宋体"/>
          <w:b/>
          <w:sz w:val="21"/>
          <w:szCs w:val="21"/>
        </w:rPr>
      </w:pPr>
      <w:r>
        <w:rPr>
          <w:rFonts w:hint="eastAsia" w:ascii="宋体" w:hAnsi="宋体"/>
          <w:b/>
          <w:sz w:val="21"/>
          <w:szCs w:val="21"/>
        </w:rPr>
        <w:t>表4-4 风景区游船码头规划一览表</w:t>
      </w:r>
    </w:p>
    <w:tbl>
      <w:tblPr>
        <w:tblStyle w:val="42"/>
        <w:tblW w:w="88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7"/>
        <w:gridCol w:w="567"/>
        <w:gridCol w:w="1560"/>
        <w:gridCol w:w="3827"/>
        <w:gridCol w:w="1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 w:hRule="atLeast"/>
          <w:jc w:val="center"/>
        </w:trPr>
        <w:tc>
          <w:tcPr>
            <w:tcW w:w="1777" w:type="dxa"/>
            <w:shd w:val="clear" w:color="auto" w:fill="E2E2E2"/>
            <w:vAlign w:val="center"/>
          </w:tcPr>
          <w:p>
            <w:pPr>
              <w:spacing w:line="240" w:lineRule="exact"/>
              <w:ind w:firstLine="0" w:firstLineChars="0"/>
              <w:jc w:val="center"/>
              <w:rPr>
                <w:rFonts w:ascii="宋体" w:hAnsi="宋体"/>
                <w:b/>
                <w:bCs/>
                <w:sz w:val="18"/>
                <w:szCs w:val="18"/>
              </w:rPr>
            </w:pPr>
            <w:r>
              <w:rPr>
                <w:rFonts w:hint="eastAsia" w:ascii="宋体" w:hAnsi="宋体"/>
                <w:b/>
                <w:bCs/>
                <w:sz w:val="18"/>
                <w:szCs w:val="18"/>
              </w:rPr>
              <w:t>位置</w:t>
            </w:r>
          </w:p>
        </w:tc>
        <w:tc>
          <w:tcPr>
            <w:tcW w:w="567" w:type="dxa"/>
            <w:shd w:val="clear" w:color="auto" w:fill="E2E2E2"/>
          </w:tcPr>
          <w:p>
            <w:pPr>
              <w:spacing w:line="240" w:lineRule="exact"/>
              <w:ind w:firstLine="0" w:firstLineChars="0"/>
              <w:jc w:val="center"/>
              <w:rPr>
                <w:rFonts w:ascii="宋体" w:hAnsi="宋体"/>
                <w:b/>
                <w:bCs/>
                <w:sz w:val="18"/>
                <w:szCs w:val="18"/>
              </w:rPr>
            </w:pPr>
            <w:r>
              <w:rPr>
                <w:rFonts w:hint="eastAsia" w:ascii="宋体" w:hAnsi="宋体"/>
                <w:b/>
                <w:bCs/>
                <w:sz w:val="18"/>
                <w:szCs w:val="18"/>
              </w:rPr>
              <w:t>序号</w:t>
            </w:r>
          </w:p>
        </w:tc>
        <w:tc>
          <w:tcPr>
            <w:tcW w:w="1560" w:type="dxa"/>
            <w:shd w:val="clear" w:color="auto" w:fill="E2E2E2"/>
            <w:vAlign w:val="center"/>
          </w:tcPr>
          <w:p>
            <w:pPr>
              <w:spacing w:line="240" w:lineRule="exact"/>
              <w:ind w:firstLine="0" w:firstLineChars="0"/>
              <w:jc w:val="center"/>
              <w:rPr>
                <w:rFonts w:ascii="宋体" w:hAnsi="宋体"/>
                <w:b/>
                <w:bCs/>
                <w:sz w:val="18"/>
                <w:szCs w:val="18"/>
              </w:rPr>
            </w:pPr>
            <w:r>
              <w:rPr>
                <w:rFonts w:hint="eastAsia" w:ascii="宋体" w:hAnsi="宋体"/>
                <w:b/>
                <w:bCs/>
                <w:sz w:val="18"/>
                <w:szCs w:val="18"/>
              </w:rPr>
              <w:t>码头暂定名</w:t>
            </w:r>
          </w:p>
        </w:tc>
        <w:tc>
          <w:tcPr>
            <w:tcW w:w="3827" w:type="dxa"/>
            <w:shd w:val="clear" w:color="auto" w:fill="E2E2E2"/>
            <w:vAlign w:val="center"/>
          </w:tcPr>
          <w:p>
            <w:pPr>
              <w:spacing w:line="240" w:lineRule="exact"/>
              <w:ind w:firstLine="0" w:firstLineChars="0"/>
              <w:jc w:val="center"/>
              <w:rPr>
                <w:rFonts w:ascii="宋体" w:hAnsi="宋体"/>
                <w:b/>
                <w:bCs/>
                <w:sz w:val="18"/>
                <w:szCs w:val="18"/>
              </w:rPr>
            </w:pPr>
            <w:r>
              <w:rPr>
                <w:rFonts w:hint="eastAsia" w:ascii="宋体" w:hAnsi="宋体"/>
                <w:b/>
                <w:bCs/>
                <w:sz w:val="18"/>
                <w:szCs w:val="18"/>
              </w:rPr>
              <w:t>功能</w:t>
            </w:r>
          </w:p>
        </w:tc>
        <w:tc>
          <w:tcPr>
            <w:tcW w:w="1159" w:type="dxa"/>
            <w:shd w:val="clear" w:color="auto" w:fill="E2E2E2"/>
            <w:vAlign w:val="center"/>
          </w:tcPr>
          <w:p>
            <w:pPr>
              <w:spacing w:line="240" w:lineRule="exact"/>
              <w:ind w:firstLine="0" w:firstLineChars="0"/>
              <w:jc w:val="center"/>
              <w:rPr>
                <w:rFonts w:ascii="宋体" w:hAnsi="宋体"/>
                <w:b/>
                <w:bCs/>
                <w:sz w:val="18"/>
                <w:szCs w:val="18"/>
              </w:rPr>
            </w:pPr>
            <w:r>
              <w:rPr>
                <w:rFonts w:hint="eastAsia" w:ascii="宋体" w:hAnsi="宋体"/>
                <w:b/>
                <w:bCs/>
                <w:sz w:val="18"/>
                <w:szCs w:val="18"/>
              </w:rPr>
              <w:t>泊位数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 w:hRule="atLeast"/>
          <w:jc w:val="center"/>
        </w:trPr>
        <w:tc>
          <w:tcPr>
            <w:tcW w:w="1777" w:type="dxa"/>
            <w:vMerge w:val="restart"/>
            <w:vAlign w:val="center"/>
          </w:tcPr>
          <w:p>
            <w:pPr>
              <w:spacing w:line="240" w:lineRule="exact"/>
              <w:ind w:firstLine="0" w:firstLineChars="0"/>
              <w:jc w:val="center"/>
              <w:rPr>
                <w:rFonts w:ascii="宋体" w:hAnsi="宋体"/>
                <w:sz w:val="18"/>
                <w:szCs w:val="18"/>
              </w:rPr>
            </w:pPr>
            <w:r>
              <w:rPr>
                <w:rFonts w:hint="eastAsia" w:ascii="宋体" w:hAnsi="宋体"/>
                <w:sz w:val="18"/>
                <w:szCs w:val="18"/>
              </w:rPr>
              <w:t>峡谷景廊景区</w:t>
            </w:r>
          </w:p>
        </w:tc>
        <w:tc>
          <w:tcPr>
            <w:tcW w:w="567" w:type="dxa"/>
          </w:tcPr>
          <w:p>
            <w:pPr>
              <w:spacing w:line="240" w:lineRule="exact"/>
              <w:ind w:firstLine="0" w:firstLineChars="0"/>
              <w:jc w:val="center"/>
              <w:rPr>
                <w:rFonts w:ascii="宋体" w:hAnsi="宋体"/>
                <w:sz w:val="18"/>
                <w:szCs w:val="18"/>
              </w:rPr>
            </w:pPr>
            <w:r>
              <w:rPr>
                <w:rFonts w:hint="eastAsia" w:ascii="宋体" w:hAnsi="宋体"/>
                <w:sz w:val="18"/>
                <w:szCs w:val="18"/>
              </w:rPr>
              <w:t>1</w:t>
            </w:r>
          </w:p>
        </w:tc>
        <w:tc>
          <w:tcPr>
            <w:tcW w:w="1560"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峡谷景廊码头</w:t>
            </w:r>
          </w:p>
        </w:tc>
        <w:tc>
          <w:tcPr>
            <w:tcW w:w="3827"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通行功能</w:t>
            </w:r>
          </w:p>
        </w:tc>
        <w:tc>
          <w:tcPr>
            <w:tcW w:w="1159"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 w:hRule="atLeast"/>
          <w:jc w:val="center"/>
        </w:trPr>
        <w:tc>
          <w:tcPr>
            <w:tcW w:w="1777" w:type="dxa"/>
            <w:vMerge w:val="continue"/>
            <w:vAlign w:val="center"/>
          </w:tcPr>
          <w:p>
            <w:pPr>
              <w:spacing w:line="240" w:lineRule="exact"/>
              <w:ind w:firstLine="0" w:firstLineChars="0"/>
              <w:jc w:val="center"/>
              <w:rPr>
                <w:rFonts w:ascii="宋体" w:hAnsi="宋体"/>
                <w:sz w:val="18"/>
                <w:szCs w:val="18"/>
              </w:rPr>
            </w:pPr>
          </w:p>
        </w:tc>
        <w:tc>
          <w:tcPr>
            <w:tcW w:w="567" w:type="dxa"/>
          </w:tcPr>
          <w:p>
            <w:pPr>
              <w:spacing w:line="240" w:lineRule="exact"/>
              <w:ind w:firstLine="0" w:firstLineChars="0"/>
              <w:jc w:val="center"/>
              <w:rPr>
                <w:rFonts w:ascii="宋体" w:hAnsi="宋体"/>
                <w:sz w:val="18"/>
                <w:szCs w:val="18"/>
              </w:rPr>
            </w:pPr>
            <w:r>
              <w:rPr>
                <w:rFonts w:hint="eastAsia" w:ascii="宋体" w:hAnsi="宋体"/>
                <w:sz w:val="18"/>
                <w:szCs w:val="18"/>
              </w:rPr>
              <w:t>2</w:t>
            </w:r>
          </w:p>
        </w:tc>
        <w:tc>
          <w:tcPr>
            <w:tcW w:w="1560"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吴垟码头</w:t>
            </w:r>
          </w:p>
        </w:tc>
        <w:tc>
          <w:tcPr>
            <w:tcW w:w="3827"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通行功能、存放功能、支持保障功能</w:t>
            </w:r>
          </w:p>
        </w:tc>
        <w:tc>
          <w:tcPr>
            <w:tcW w:w="1159"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 w:hRule="atLeast"/>
          <w:jc w:val="center"/>
        </w:trPr>
        <w:tc>
          <w:tcPr>
            <w:tcW w:w="1777" w:type="dxa"/>
            <w:vMerge w:val="restart"/>
            <w:vAlign w:val="center"/>
          </w:tcPr>
          <w:p>
            <w:pPr>
              <w:spacing w:line="240" w:lineRule="exact"/>
              <w:ind w:firstLine="0" w:firstLineChars="0"/>
              <w:jc w:val="center"/>
              <w:rPr>
                <w:rFonts w:ascii="宋体" w:hAnsi="宋体"/>
                <w:sz w:val="18"/>
                <w:szCs w:val="18"/>
              </w:rPr>
            </w:pPr>
            <w:r>
              <w:rPr>
                <w:rFonts w:hint="eastAsia" w:ascii="宋体" w:hAnsi="宋体"/>
                <w:sz w:val="18"/>
                <w:szCs w:val="18"/>
              </w:rPr>
              <w:t>天顶湖景区</w:t>
            </w:r>
          </w:p>
        </w:tc>
        <w:tc>
          <w:tcPr>
            <w:tcW w:w="567" w:type="dxa"/>
          </w:tcPr>
          <w:p>
            <w:pPr>
              <w:spacing w:line="240" w:lineRule="exact"/>
              <w:ind w:firstLine="0" w:firstLineChars="0"/>
              <w:jc w:val="center"/>
              <w:rPr>
                <w:rFonts w:ascii="宋体" w:hAnsi="宋体"/>
                <w:sz w:val="18"/>
                <w:szCs w:val="18"/>
              </w:rPr>
            </w:pPr>
            <w:r>
              <w:rPr>
                <w:rFonts w:hint="eastAsia" w:ascii="宋体" w:hAnsi="宋体"/>
                <w:sz w:val="18"/>
                <w:szCs w:val="18"/>
              </w:rPr>
              <w:t>3</w:t>
            </w:r>
          </w:p>
        </w:tc>
        <w:tc>
          <w:tcPr>
            <w:tcW w:w="1560"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天湖北码头</w:t>
            </w:r>
          </w:p>
        </w:tc>
        <w:tc>
          <w:tcPr>
            <w:tcW w:w="3827"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通行功能</w:t>
            </w:r>
          </w:p>
        </w:tc>
        <w:tc>
          <w:tcPr>
            <w:tcW w:w="1159"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 w:hRule="atLeast"/>
          <w:jc w:val="center"/>
        </w:trPr>
        <w:tc>
          <w:tcPr>
            <w:tcW w:w="1777" w:type="dxa"/>
            <w:vMerge w:val="continue"/>
            <w:vAlign w:val="center"/>
          </w:tcPr>
          <w:p>
            <w:pPr>
              <w:spacing w:line="240" w:lineRule="exact"/>
              <w:ind w:firstLine="0" w:firstLineChars="0"/>
              <w:jc w:val="center"/>
              <w:rPr>
                <w:rFonts w:ascii="宋体" w:hAnsi="宋体"/>
                <w:sz w:val="18"/>
                <w:szCs w:val="18"/>
              </w:rPr>
            </w:pPr>
          </w:p>
        </w:tc>
        <w:tc>
          <w:tcPr>
            <w:tcW w:w="567" w:type="dxa"/>
          </w:tcPr>
          <w:p>
            <w:pPr>
              <w:spacing w:line="240" w:lineRule="exact"/>
              <w:ind w:firstLine="0" w:firstLineChars="0"/>
              <w:jc w:val="center"/>
              <w:rPr>
                <w:rFonts w:ascii="宋体" w:hAnsi="宋体"/>
                <w:sz w:val="18"/>
                <w:szCs w:val="18"/>
              </w:rPr>
            </w:pPr>
            <w:r>
              <w:rPr>
                <w:rFonts w:hint="eastAsia" w:ascii="宋体" w:hAnsi="宋体"/>
                <w:sz w:val="18"/>
                <w:szCs w:val="18"/>
              </w:rPr>
              <w:t>4</w:t>
            </w:r>
          </w:p>
        </w:tc>
        <w:tc>
          <w:tcPr>
            <w:tcW w:w="1560"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天湖南码头</w:t>
            </w:r>
          </w:p>
        </w:tc>
        <w:tc>
          <w:tcPr>
            <w:tcW w:w="3827"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通行功能、存放功能、支持保障功能</w:t>
            </w:r>
          </w:p>
        </w:tc>
        <w:tc>
          <w:tcPr>
            <w:tcW w:w="1159"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 w:hRule="atLeast"/>
          <w:jc w:val="center"/>
        </w:trPr>
        <w:tc>
          <w:tcPr>
            <w:tcW w:w="1777" w:type="dxa"/>
            <w:vMerge w:val="restart"/>
            <w:vAlign w:val="center"/>
          </w:tcPr>
          <w:p>
            <w:pPr>
              <w:spacing w:line="240" w:lineRule="exact"/>
              <w:ind w:firstLine="0" w:firstLineChars="0"/>
              <w:jc w:val="center"/>
              <w:rPr>
                <w:rFonts w:ascii="宋体" w:hAnsi="宋体"/>
                <w:sz w:val="18"/>
                <w:szCs w:val="18"/>
              </w:rPr>
            </w:pPr>
            <w:r>
              <w:rPr>
                <w:rFonts w:hint="eastAsia" w:ascii="宋体" w:hAnsi="宋体"/>
                <w:sz w:val="18"/>
                <w:szCs w:val="18"/>
              </w:rPr>
              <w:t>岩门大峡谷景区</w:t>
            </w:r>
          </w:p>
        </w:tc>
        <w:tc>
          <w:tcPr>
            <w:tcW w:w="567" w:type="dxa"/>
          </w:tcPr>
          <w:p>
            <w:pPr>
              <w:spacing w:line="240" w:lineRule="exact"/>
              <w:ind w:firstLine="0" w:firstLineChars="0"/>
              <w:jc w:val="center"/>
              <w:rPr>
                <w:rFonts w:ascii="宋体" w:hAnsi="宋体"/>
                <w:sz w:val="18"/>
                <w:szCs w:val="18"/>
              </w:rPr>
            </w:pPr>
            <w:r>
              <w:rPr>
                <w:rFonts w:hint="eastAsia" w:ascii="宋体" w:hAnsi="宋体"/>
                <w:sz w:val="18"/>
                <w:szCs w:val="18"/>
              </w:rPr>
              <w:t>5</w:t>
            </w:r>
          </w:p>
        </w:tc>
        <w:tc>
          <w:tcPr>
            <w:tcW w:w="1560"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岭脚码头</w:t>
            </w:r>
          </w:p>
        </w:tc>
        <w:tc>
          <w:tcPr>
            <w:tcW w:w="3827"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通行功能、存放功能、支持保障功能</w:t>
            </w:r>
          </w:p>
        </w:tc>
        <w:tc>
          <w:tcPr>
            <w:tcW w:w="1159"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 w:hRule="atLeast"/>
          <w:jc w:val="center"/>
        </w:trPr>
        <w:tc>
          <w:tcPr>
            <w:tcW w:w="1777" w:type="dxa"/>
            <w:vMerge w:val="continue"/>
            <w:vAlign w:val="center"/>
          </w:tcPr>
          <w:p>
            <w:pPr>
              <w:spacing w:line="240" w:lineRule="exact"/>
              <w:ind w:firstLine="0" w:firstLineChars="0"/>
              <w:jc w:val="center"/>
              <w:rPr>
                <w:rFonts w:ascii="宋体" w:hAnsi="宋体"/>
                <w:sz w:val="18"/>
                <w:szCs w:val="18"/>
              </w:rPr>
            </w:pPr>
          </w:p>
        </w:tc>
        <w:tc>
          <w:tcPr>
            <w:tcW w:w="567" w:type="dxa"/>
          </w:tcPr>
          <w:p>
            <w:pPr>
              <w:spacing w:line="240" w:lineRule="exact"/>
              <w:ind w:firstLine="0" w:firstLineChars="0"/>
              <w:jc w:val="center"/>
              <w:rPr>
                <w:rFonts w:ascii="宋体" w:hAnsi="宋体"/>
                <w:sz w:val="18"/>
                <w:szCs w:val="18"/>
              </w:rPr>
            </w:pPr>
            <w:r>
              <w:rPr>
                <w:rFonts w:hint="eastAsia" w:ascii="宋体" w:hAnsi="宋体"/>
                <w:sz w:val="18"/>
                <w:szCs w:val="18"/>
              </w:rPr>
              <w:t>6</w:t>
            </w:r>
          </w:p>
        </w:tc>
        <w:tc>
          <w:tcPr>
            <w:tcW w:w="1560"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杜山码头</w:t>
            </w:r>
          </w:p>
        </w:tc>
        <w:tc>
          <w:tcPr>
            <w:tcW w:w="3827"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通行功能</w:t>
            </w:r>
          </w:p>
        </w:tc>
        <w:tc>
          <w:tcPr>
            <w:tcW w:w="1159"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 w:hRule="atLeast"/>
          <w:jc w:val="center"/>
        </w:trPr>
        <w:tc>
          <w:tcPr>
            <w:tcW w:w="1777" w:type="dxa"/>
            <w:vMerge w:val="continue"/>
            <w:vAlign w:val="center"/>
          </w:tcPr>
          <w:p>
            <w:pPr>
              <w:spacing w:line="240" w:lineRule="exact"/>
              <w:ind w:firstLine="0" w:firstLineChars="0"/>
              <w:jc w:val="center"/>
              <w:rPr>
                <w:rFonts w:ascii="宋体" w:hAnsi="宋体"/>
                <w:sz w:val="18"/>
                <w:szCs w:val="18"/>
              </w:rPr>
            </w:pPr>
          </w:p>
        </w:tc>
        <w:tc>
          <w:tcPr>
            <w:tcW w:w="567" w:type="dxa"/>
          </w:tcPr>
          <w:p>
            <w:pPr>
              <w:spacing w:line="240" w:lineRule="exact"/>
              <w:ind w:firstLine="0" w:firstLineChars="0"/>
              <w:jc w:val="center"/>
              <w:rPr>
                <w:rFonts w:ascii="宋体" w:hAnsi="宋体"/>
                <w:sz w:val="18"/>
                <w:szCs w:val="18"/>
              </w:rPr>
            </w:pPr>
            <w:r>
              <w:rPr>
                <w:rFonts w:hint="eastAsia" w:ascii="宋体" w:hAnsi="宋体"/>
                <w:sz w:val="18"/>
                <w:szCs w:val="18"/>
              </w:rPr>
              <w:t>7</w:t>
            </w:r>
          </w:p>
        </w:tc>
        <w:tc>
          <w:tcPr>
            <w:tcW w:w="1560"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岩门码头</w:t>
            </w:r>
          </w:p>
        </w:tc>
        <w:tc>
          <w:tcPr>
            <w:tcW w:w="3827"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通行功能、存放功能、支持保障功能</w:t>
            </w:r>
          </w:p>
        </w:tc>
        <w:tc>
          <w:tcPr>
            <w:tcW w:w="1159"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 w:hRule="atLeast"/>
          <w:jc w:val="center"/>
        </w:trPr>
        <w:tc>
          <w:tcPr>
            <w:tcW w:w="1777" w:type="dxa"/>
            <w:vMerge w:val="restart"/>
            <w:vAlign w:val="center"/>
          </w:tcPr>
          <w:p>
            <w:pPr>
              <w:spacing w:line="240" w:lineRule="exact"/>
              <w:ind w:firstLine="0" w:firstLineChars="0"/>
              <w:jc w:val="center"/>
              <w:rPr>
                <w:rFonts w:ascii="宋体" w:hAnsi="宋体"/>
                <w:sz w:val="18"/>
                <w:szCs w:val="18"/>
              </w:rPr>
            </w:pPr>
            <w:r>
              <w:rPr>
                <w:rFonts w:hint="eastAsia" w:ascii="宋体" w:hAnsi="宋体"/>
                <w:sz w:val="18"/>
                <w:szCs w:val="18"/>
              </w:rPr>
              <w:t>飞云湖景区</w:t>
            </w:r>
          </w:p>
        </w:tc>
        <w:tc>
          <w:tcPr>
            <w:tcW w:w="567" w:type="dxa"/>
          </w:tcPr>
          <w:p>
            <w:pPr>
              <w:spacing w:line="240" w:lineRule="exact"/>
              <w:ind w:firstLine="0" w:firstLineChars="0"/>
              <w:jc w:val="center"/>
              <w:rPr>
                <w:rFonts w:ascii="宋体" w:hAnsi="宋体"/>
                <w:sz w:val="18"/>
                <w:szCs w:val="18"/>
              </w:rPr>
            </w:pPr>
            <w:r>
              <w:rPr>
                <w:rFonts w:hint="eastAsia" w:ascii="宋体" w:hAnsi="宋体"/>
                <w:sz w:val="18"/>
                <w:szCs w:val="18"/>
              </w:rPr>
              <w:t>8</w:t>
            </w:r>
          </w:p>
        </w:tc>
        <w:tc>
          <w:tcPr>
            <w:tcW w:w="1560"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云湖码头</w:t>
            </w:r>
          </w:p>
        </w:tc>
        <w:tc>
          <w:tcPr>
            <w:tcW w:w="3827"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通行功能</w:t>
            </w:r>
          </w:p>
        </w:tc>
        <w:tc>
          <w:tcPr>
            <w:tcW w:w="1159"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 w:hRule="atLeast"/>
          <w:jc w:val="center"/>
        </w:trPr>
        <w:tc>
          <w:tcPr>
            <w:tcW w:w="1777" w:type="dxa"/>
            <w:vMerge w:val="continue"/>
            <w:vAlign w:val="center"/>
          </w:tcPr>
          <w:p>
            <w:pPr>
              <w:spacing w:line="240" w:lineRule="exact"/>
              <w:ind w:firstLine="0" w:firstLineChars="0"/>
              <w:jc w:val="center"/>
              <w:rPr>
                <w:rFonts w:ascii="宋体" w:hAnsi="宋体"/>
                <w:sz w:val="18"/>
                <w:szCs w:val="18"/>
              </w:rPr>
            </w:pPr>
          </w:p>
        </w:tc>
        <w:tc>
          <w:tcPr>
            <w:tcW w:w="567" w:type="dxa"/>
          </w:tcPr>
          <w:p>
            <w:pPr>
              <w:spacing w:line="240" w:lineRule="exact"/>
              <w:ind w:firstLine="0" w:firstLineChars="0"/>
              <w:jc w:val="center"/>
              <w:rPr>
                <w:rFonts w:ascii="宋体" w:hAnsi="宋体"/>
                <w:sz w:val="18"/>
                <w:szCs w:val="18"/>
              </w:rPr>
            </w:pPr>
            <w:r>
              <w:rPr>
                <w:rFonts w:hint="eastAsia" w:ascii="宋体" w:hAnsi="宋体"/>
                <w:sz w:val="18"/>
                <w:szCs w:val="18"/>
              </w:rPr>
              <w:t>9</w:t>
            </w:r>
          </w:p>
        </w:tc>
        <w:tc>
          <w:tcPr>
            <w:tcW w:w="1560"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塘垄码头</w:t>
            </w:r>
          </w:p>
        </w:tc>
        <w:tc>
          <w:tcPr>
            <w:tcW w:w="3827"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通行功能</w:t>
            </w:r>
          </w:p>
        </w:tc>
        <w:tc>
          <w:tcPr>
            <w:tcW w:w="1159"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 w:hRule="atLeast"/>
          <w:jc w:val="center"/>
        </w:trPr>
        <w:tc>
          <w:tcPr>
            <w:tcW w:w="1777" w:type="dxa"/>
            <w:vMerge w:val="continue"/>
            <w:vAlign w:val="center"/>
          </w:tcPr>
          <w:p>
            <w:pPr>
              <w:spacing w:line="240" w:lineRule="exact"/>
              <w:ind w:firstLine="0" w:firstLineChars="0"/>
              <w:jc w:val="center"/>
              <w:rPr>
                <w:rFonts w:ascii="宋体" w:hAnsi="宋体"/>
                <w:sz w:val="18"/>
                <w:szCs w:val="18"/>
              </w:rPr>
            </w:pPr>
          </w:p>
        </w:tc>
        <w:tc>
          <w:tcPr>
            <w:tcW w:w="567" w:type="dxa"/>
          </w:tcPr>
          <w:p>
            <w:pPr>
              <w:spacing w:line="240" w:lineRule="exact"/>
              <w:ind w:firstLine="0" w:firstLineChars="0"/>
              <w:jc w:val="center"/>
              <w:rPr>
                <w:rFonts w:ascii="宋体" w:hAnsi="宋体"/>
                <w:sz w:val="18"/>
                <w:szCs w:val="18"/>
              </w:rPr>
            </w:pPr>
            <w:r>
              <w:rPr>
                <w:rFonts w:hint="eastAsia" w:ascii="宋体" w:hAnsi="宋体"/>
                <w:sz w:val="18"/>
                <w:szCs w:val="18"/>
              </w:rPr>
              <w:t>10</w:t>
            </w:r>
          </w:p>
        </w:tc>
        <w:tc>
          <w:tcPr>
            <w:tcW w:w="1560"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双龙码头</w:t>
            </w:r>
          </w:p>
        </w:tc>
        <w:tc>
          <w:tcPr>
            <w:tcW w:w="3827"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通行功能、存放功能、支持保障功能</w:t>
            </w:r>
          </w:p>
        </w:tc>
        <w:tc>
          <w:tcPr>
            <w:tcW w:w="1159"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50～100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 w:hRule="atLeast"/>
          <w:jc w:val="center"/>
        </w:trPr>
        <w:tc>
          <w:tcPr>
            <w:tcW w:w="1777" w:type="dxa"/>
            <w:vMerge w:val="continue"/>
            <w:vAlign w:val="center"/>
          </w:tcPr>
          <w:p>
            <w:pPr>
              <w:spacing w:line="240" w:lineRule="exact"/>
              <w:ind w:firstLine="0" w:firstLineChars="0"/>
              <w:jc w:val="center"/>
              <w:rPr>
                <w:rFonts w:ascii="宋体" w:hAnsi="宋体"/>
                <w:sz w:val="18"/>
                <w:szCs w:val="18"/>
              </w:rPr>
            </w:pPr>
          </w:p>
        </w:tc>
        <w:tc>
          <w:tcPr>
            <w:tcW w:w="567" w:type="dxa"/>
          </w:tcPr>
          <w:p>
            <w:pPr>
              <w:spacing w:line="240" w:lineRule="exact"/>
              <w:ind w:firstLine="0" w:firstLineChars="0"/>
              <w:jc w:val="center"/>
              <w:rPr>
                <w:rFonts w:ascii="宋体" w:hAnsi="宋体"/>
                <w:sz w:val="18"/>
                <w:szCs w:val="18"/>
              </w:rPr>
            </w:pPr>
            <w:r>
              <w:rPr>
                <w:rFonts w:hint="eastAsia" w:ascii="宋体" w:hAnsi="宋体"/>
                <w:sz w:val="18"/>
                <w:szCs w:val="18"/>
              </w:rPr>
              <w:t>11</w:t>
            </w:r>
          </w:p>
        </w:tc>
        <w:tc>
          <w:tcPr>
            <w:tcW w:w="1560"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卓山码头</w:t>
            </w:r>
          </w:p>
        </w:tc>
        <w:tc>
          <w:tcPr>
            <w:tcW w:w="3827"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通行功能</w:t>
            </w:r>
          </w:p>
        </w:tc>
        <w:tc>
          <w:tcPr>
            <w:tcW w:w="1159"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 w:hRule="atLeast"/>
          <w:jc w:val="center"/>
        </w:trPr>
        <w:tc>
          <w:tcPr>
            <w:tcW w:w="1777" w:type="dxa"/>
            <w:vMerge w:val="continue"/>
            <w:vAlign w:val="center"/>
          </w:tcPr>
          <w:p>
            <w:pPr>
              <w:spacing w:line="240" w:lineRule="exact"/>
              <w:ind w:firstLine="0" w:firstLineChars="0"/>
              <w:jc w:val="center"/>
              <w:rPr>
                <w:rFonts w:ascii="宋体" w:hAnsi="宋体"/>
                <w:sz w:val="18"/>
                <w:szCs w:val="18"/>
              </w:rPr>
            </w:pPr>
          </w:p>
        </w:tc>
        <w:tc>
          <w:tcPr>
            <w:tcW w:w="567" w:type="dxa"/>
          </w:tcPr>
          <w:p>
            <w:pPr>
              <w:spacing w:line="240" w:lineRule="exact"/>
              <w:ind w:firstLine="0" w:firstLineChars="0"/>
              <w:jc w:val="center"/>
              <w:rPr>
                <w:rFonts w:ascii="宋体" w:hAnsi="宋体"/>
                <w:sz w:val="18"/>
                <w:szCs w:val="18"/>
              </w:rPr>
            </w:pPr>
            <w:r>
              <w:rPr>
                <w:rFonts w:hint="eastAsia" w:ascii="宋体" w:hAnsi="宋体"/>
                <w:sz w:val="18"/>
                <w:szCs w:val="18"/>
              </w:rPr>
              <w:t>12</w:t>
            </w:r>
          </w:p>
        </w:tc>
        <w:tc>
          <w:tcPr>
            <w:tcW w:w="1560"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新湖码头</w:t>
            </w:r>
          </w:p>
        </w:tc>
        <w:tc>
          <w:tcPr>
            <w:tcW w:w="3827"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通行功能</w:t>
            </w:r>
          </w:p>
        </w:tc>
        <w:tc>
          <w:tcPr>
            <w:tcW w:w="1159"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 w:hRule="atLeast"/>
          <w:jc w:val="center"/>
        </w:trPr>
        <w:tc>
          <w:tcPr>
            <w:tcW w:w="1777" w:type="dxa"/>
            <w:vMerge w:val="continue"/>
            <w:vAlign w:val="center"/>
          </w:tcPr>
          <w:p>
            <w:pPr>
              <w:spacing w:line="240" w:lineRule="exact"/>
              <w:ind w:firstLine="0" w:firstLineChars="0"/>
              <w:jc w:val="center"/>
              <w:rPr>
                <w:rFonts w:ascii="宋体" w:hAnsi="宋体"/>
                <w:sz w:val="18"/>
                <w:szCs w:val="18"/>
              </w:rPr>
            </w:pPr>
          </w:p>
        </w:tc>
        <w:tc>
          <w:tcPr>
            <w:tcW w:w="567" w:type="dxa"/>
          </w:tcPr>
          <w:p>
            <w:pPr>
              <w:spacing w:line="240" w:lineRule="exact"/>
              <w:ind w:firstLine="0" w:firstLineChars="0"/>
              <w:jc w:val="center"/>
              <w:rPr>
                <w:rFonts w:ascii="宋体" w:hAnsi="宋体"/>
                <w:sz w:val="18"/>
                <w:szCs w:val="18"/>
              </w:rPr>
            </w:pPr>
            <w:r>
              <w:rPr>
                <w:rFonts w:hint="eastAsia" w:ascii="宋体" w:hAnsi="宋体"/>
                <w:sz w:val="18"/>
                <w:szCs w:val="18"/>
              </w:rPr>
              <w:t>13</w:t>
            </w:r>
          </w:p>
        </w:tc>
        <w:tc>
          <w:tcPr>
            <w:tcW w:w="1560"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飞云湖码头</w:t>
            </w:r>
          </w:p>
        </w:tc>
        <w:tc>
          <w:tcPr>
            <w:tcW w:w="3827"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通行功能、存放功能、支持保障功能</w:t>
            </w:r>
          </w:p>
        </w:tc>
        <w:tc>
          <w:tcPr>
            <w:tcW w:w="1159"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50～100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 w:hRule="atLeast"/>
          <w:jc w:val="center"/>
        </w:trPr>
        <w:tc>
          <w:tcPr>
            <w:tcW w:w="1777" w:type="dxa"/>
            <w:vMerge w:val="continue"/>
            <w:vAlign w:val="center"/>
          </w:tcPr>
          <w:p>
            <w:pPr>
              <w:spacing w:line="240" w:lineRule="exact"/>
              <w:ind w:firstLine="0" w:firstLineChars="0"/>
              <w:jc w:val="center"/>
              <w:rPr>
                <w:rFonts w:ascii="宋体" w:hAnsi="宋体"/>
                <w:sz w:val="18"/>
                <w:szCs w:val="18"/>
              </w:rPr>
            </w:pPr>
          </w:p>
        </w:tc>
        <w:tc>
          <w:tcPr>
            <w:tcW w:w="567" w:type="dxa"/>
          </w:tcPr>
          <w:p>
            <w:pPr>
              <w:spacing w:line="240" w:lineRule="exact"/>
              <w:ind w:firstLine="0" w:firstLineChars="0"/>
              <w:jc w:val="center"/>
              <w:rPr>
                <w:rFonts w:ascii="宋体" w:hAnsi="宋体"/>
                <w:sz w:val="18"/>
                <w:szCs w:val="18"/>
              </w:rPr>
            </w:pPr>
            <w:r>
              <w:rPr>
                <w:rFonts w:hint="eastAsia" w:ascii="宋体" w:hAnsi="宋体"/>
                <w:sz w:val="18"/>
                <w:szCs w:val="18"/>
              </w:rPr>
              <w:t>14</w:t>
            </w:r>
          </w:p>
        </w:tc>
        <w:tc>
          <w:tcPr>
            <w:tcW w:w="1560"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珊溪码头</w:t>
            </w:r>
          </w:p>
        </w:tc>
        <w:tc>
          <w:tcPr>
            <w:tcW w:w="3827"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通行功能</w:t>
            </w:r>
          </w:p>
        </w:tc>
        <w:tc>
          <w:tcPr>
            <w:tcW w:w="1159"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 w:hRule="atLeast"/>
          <w:jc w:val="center"/>
        </w:trPr>
        <w:tc>
          <w:tcPr>
            <w:tcW w:w="1777" w:type="dxa"/>
            <w:vMerge w:val="continue"/>
            <w:vAlign w:val="center"/>
          </w:tcPr>
          <w:p>
            <w:pPr>
              <w:spacing w:line="240" w:lineRule="exact"/>
              <w:ind w:firstLine="0" w:firstLineChars="0"/>
              <w:jc w:val="center"/>
              <w:rPr>
                <w:rFonts w:ascii="宋体" w:hAnsi="宋体"/>
                <w:sz w:val="18"/>
                <w:szCs w:val="18"/>
              </w:rPr>
            </w:pPr>
          </w:p>
        </w:tc>
        <w:tc>
          <w:tcPr>
            <w:tcW w:w="567" w:type="dxa"/>
          </w:tcPr>
          <w:p>
            <w:pPr>
              <w:spacing w:line="240" w:lineRule="exact"/>
              <w:ind w:firstLine="0" w:firstLineChars="0"/>
              <w:jc w:val="center"/>
              <w:rPr>
                <w:rFonts w:ascii="宋体" w:hAnsi="宋体"/>
                <w:sz w:val="18"/>
                <w:szCs w:val="18"/>
              </w:rPr>
            </w:pPr>
            <w:r>
              <w:rPr>
                <w:rFonts w:hint="eastAsia" w:ascii="宋体" w:hAnsi="宋体"/>
                <w:sz w:val="18"/>
                <w:szCs w:val="18"/>
              </w:rPr>
              <w:t>15</w:t>
            </w:r>
          </w:p>
        </w:tc>
        <w:tc>
          <w:tcPr>
            <w:tcW w:w="1560"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项坑码头</w:t>
            </w:r>
          </w:p>
        </w:tc>
        <w:tc>
          <w:tcPr>
            <w:tcW w:w="3827"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通行功能</w:t>
            </w:r>
          </w:p>
        </w:tc>
        <w:tc>
          <w:tcPr>
            <w:tcW w:w="1159"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 w:hRule="atLeast"/>
          <w:jc w:val="center"/>
        </w:trPr>
        <w:tc>
          <w:tcPr>
            <w:tcW w:w="1777" w:type="dxa"/>
            <w:vMerge w:val="continue"/>
            <w:vAlign w:val="center"/>
          </w:tcPr>
          <w:p>
            <w:pPr>
              <w:spacing w:line="240" w:lineRule="exact"/>
              <w:ind w:firstLine="0" w:firstLineChars="0"/>
              <w:jc w:val="center"/>
              <w:rPr>
                <w:rFonts w:ascii="宋体" w:hAnsi="宋体"/>
                <w:sz w:val="18"/>
                <w:szCs w:val="18"/>
              </w:rPr>
            </w:pPr>
          </w:p>
        </w:tc>
        <w:tc>
          <w:tcPr>
            <w:tcW w:w="567" w:type="dxa"/>
          </w:tcPr>
          <w:p>
            <w:pPr>
              <w:spacing w:line="240" w:lineRule="exact"/>
              <w:ind w:firstLine="0" w:firstLineChars="0"/>
              <w:jc w:val="center"/>
              <w:rPr>
                <w:rFonts w:ascii="宋体" w:hAnsi="宋体"/>
                <w:sz w:val="18"/>
                <w:szCs w:val="18"/>
              </w:rPr>
            </w:pPr>
            <w:r>
              <w:rPr>
                <w:rFonts w:hint="eastAsia" w:ascii="宋体" w:hAnsi="宋体"/>
                <w:sz w:val="18"/>
                <w:szCs w:val="18"/>
              </w:rPr>
              <w:t>16</w:t>
            </w:r>
          </w:p>
        </w:tc>
        <w:tc>
          <w:tcPr>
            <w:tcW w:w="1560"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松根码头</w:t>
            </w:r>
          </w:p>
        </w:tc>
        <w:tc>
          <w:tcPr>
            <w:tcW w:w="3827"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通行功能、存放功能、支持保障功能</w:t>
            </w:r>
          </w:p>
        </w:tc>
        <w:tc>
          <w:tcPr>
            <w:tcW w:w="1159"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50～100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 w:hRule="atLeast"/>
          <w:jc w:val="center"/>
        </w:trPr>
        <w:tc>
          <w:tcPr>
            <w:tcW w:w="1777" w:type="dxa"/>
            <w:vMerge w:val="continue"/>
            <w:vAlign w:val="center"/>
          </w:tcPr>
          <w:p>
            <w:pPr>
              <w:spacing w:line="240" w:lineRule="exact"/>
              <w:ind w:firstLine="0" w:firstLineChars="0"/>
              <w:jc w:val="center"/>
              <w:rPr>
                <w:rFonts w:ascii="宋体" w:hAnsi="宋体"/>
                <w:sz w:val="18"/>
                <w:szCs w:val="18"/>
              </w:rPr>
            </w:pPr>
          </w:p>
        </w:tc>
        <w:tc>
          <w:tcPr>
            <w:tcW w:w="567" w:type="dxa"/>
          </w:tcPr>
          <w:p>
            <w:pPr>
              <w:spacing w:line="240" w:lineRule="exact"/>
              <w:ind w:firstLine="0" w:firstLineChars="0"/>
              <w:jc w:val="center"/>
              <w:rPr>
                <w:rFonts w:ascii="宋体" w:hAnsi="宋体"/>
                <w:sz w:val="18"/>
                <w:szCs w:val="18"/>
              </w:rPr>
            </w:pPr>
            <w:r>
              <w:rPr>
                <w:rFonts w:hint="eastAsia" w:ascii="宋体" w:hAnsi="宋体"/>
                <w:sz w:val="18"/>
                <w:szCs w:val="18"/>
              </w:rPr>
              <w:t>17</w:t>
            </w:r>
          </w:p>
        </w:tc>
        <w:tc>
          <w:tcPr>
            <w:tcW w:w="1560"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金山码头</w:t>
            </w:r>
          </w:p>
        </w:tc>
        <w:tc>
          <w:tcPr>
            <w:tcW w:w="3827"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通行功能</w:t>
            </w:r>
          </w:p>
        </w:tc>
        <w:tc>
          <w:tcPr>
            <w:tcW w:w="1159"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 w:hRule="atLeast"/>
          <w:jc w:val="center"/>
        </w:trPr>
        <w:tc>
          <w:tcPr>
            <w:tcW w:w="1777" w:type="dxa"/>
            <w:vMerge w:val="continue"/>
            <w:vAlign w:val="center"/>
          </w:tcPr>
          <w:p>
            <w:pPr>
              <w:spacing w:line="240" w:lineRule="exact"/>
              <w:ind w:firstLine="0" w:firstLineChars="0"/>
              <w:jc w:val="center"/>
              <w:rPr>
                <w:rFonts w:ascii="宋体" w:hAnsi="宋体"/>
                <w:sz w:val="18"/>
                <w:szCs w:val="18"/>
              </w:rPr>
            </w:pPr>
          </w:p>
        </w:tc>
        <w:tc>
          <w:tcPr>
            <w:tcW w:w="567" w:type="dxa"/>
          </w:tcPr>
          <w:p>
            <w:pPr>
              <w:spacing w:line="240" w:lineRule="exact"/>
              <w:ind w:firstLine="0" w:firstLineChars="0"/>
              <w:jc w:val="center"/>
              <w:rPr>
                <w:rFonts w:ascii="宋体" w:hAnsi="宋体"/>
                <w:sz w:val="18"/>
                <w:szCs w:val="18"/>
              </w:rPr>
            </w:pPr>
            <w:r>
              <w:rPr>
                <w:rFonts w:hint="eastAsia" w:ascii="宋体" w:hAnsi="宋体"/>
                <w:sz w:val="18"/>
                <w:szCs w:val="18"/>
              </w:rPr>
              <w:t>18</w:t>
            </w:r>
          </w:p>
        </w:tc>
        <w:tc>
          <w:tcPr>
            <w:tcW w:w="1560"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龙湖码头</w:t>
            </w:r>
          </w:p>
        </w:tc>
        <w:tc>
          <w:tcPr>
            <w:tcW w:w="3827"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通行功能、存放功能、支持保障功能</w:t>
            </w:r>
          </w:p>
        </w:tc>
        <w:tc>
          <w:tcPr>
            <w:tcW w:w="1159"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50～100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 w:hRule="atLeast"/>
          <w:jc w:val="center"/>
        </w:trPr>
        <w:tc>
          <w:tcPr>
            <w:tcW w:w="1777"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龙麒源景区</w:t>
            </w:r>
          </w:p>
        </w:tc>
        <w:tc>
          <w:tcPr>
            <w:tcW w:w="567" w:type="dxa"/>
          </w:tcPr>
          <w:p>
            <w:pPr>
              <w:spacing w:line="240" w:lineRule="exact"/>
              <w:ind w:firstLine="0" w:firstLineChars="0"/>
              <w:jc w:val="center"/>
              <w:rPr>
                <w:rFonts w:ascii="宋体" w:hAnsi="宋体"/>
                <w:sz w:val="18"/>
                <w:szCs w:val="18"/>
              </w:rPr>
            </w:pPr>
            <w:r>
              <w:rPr>
                <w:rFonts w:hint="eastAsia" w:ascii="宋体" w:hAnsi="宋体"/>
                <w:sz w:val="18"/>
                <w:szCs w:val="18"/>
              </w:rPr>
              <w:t>19</w:t>
            </w:r>
          </w:p>
        </w:tc>
        <w:tc>
          <w:tcPr>
            <w:tcW w:w="1560"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飞翠湖码头</w:t>
            </w:r>
          </w:p>
        </w:tc>
        <w:tc>
          <w:tcPr>
            <w:tcW w:w="3827"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通行功能、存放功能、支持保障功能</w:t>
            </w:r>
          </w:p>
        </w:tc>
        <w:tc>
          <w:tcPr>
            <w:tcW w:w="1159" w:type="dxa"/>
            <w:vAlign w:val="center"/>
          </w:tcPr>
          <w:p>
            <w:pPr>
              <w:spacing w:line="240" w:lineRule="exact"/>
              <w:ind w:firstLine="0" w:firstLineChars="0"/>
              <w:jc w:val="center"/>
              <w:rPr>
                <w:rFonts w:ascii="宋体" w:hAnsi="宋体"/>
                <w:sz w:val="18"/>
                <w:szCs w:val="18"/>
              </w:rPr>
            </w:pPr>
            <w:r>
              <w:rPr>
                <w:rFonts w:hint="eastAsia" w:ascii="宋体" w:hAnsi="宋体"/>
                <w:sz w:val="18"/>
                <w:szCs w:val="18"/>
              </w:rPr>
              <w:t>20</w:t>
            </w:r>
            <w:r>
              <w:rPr>
                <w:rFonts w:ascii="宋体" w:hAnsi="宋体"/>
                <w:sz w:val="18"/>
                <w:szCs w:val="18"/>
              </w:rPr>
              <w:t>～</w:t>
            </w:r>
            <w:r>
              <w:rPr>
                <w:rFonts w:hint="eastAsia" w:ascii="宋体" w:hAnsi="宋体"/>
                <w:sz w:val="18"/>
                <w:szCs w:val="18"/>
              </w:rPr>
              <w:t>50</w:t>
            </w:r>
          </w:p>
        </w:tc>
      </w:tr>
    </w:tbl>
    <w:p>
      <w:pPr>
        <w:spacing w:line="480" w:lineRule="exact"/>
        <w:ind w:firstLine="0" w:firstLineChars="0"/>
        <w:jc w:val="center"/>
        <w:rPr>
          <w:rFonts w:ascii="宋体" w:hAnsi="宋体"/>
          <w:b/>
          <w:sz w:val="21"/>
          <w:szCs w:val="21"/>
        </w:rPr>
      </w:pPr>
    </w:p>
    <w:p>
      <w:pPr>
        <w:pStyle w:val="4"/>
        <w:spacing w:before="156"/>
        <w:ind w:firstLine="360"/>
        <w:rPr>
          <w:rFonts w:cs="宋体"/>
        </w:rPr>
      </w:pPr>
      <w:r>
        <w:rPr>
          <w:rFonts w:hint="eastAsia"/>
        </w:rPr>
        <w:t>（十一）道路及交通设施控制要求</w:t>
      </w:r>
    </w:p>
    <w:p>
      <w:pPr>
        <w:spacing w:before="93" w:beforeLines="30"/>
        <w:ind w:firstLine="480"/>
        <w:rPr>
          <w:rFonts w:cs="宋体"/>
        </w:rPr>
      </w:pPr>
      <w:r>
        <w:rPr>
          <w:rFonts w:hint="eastAsia" w:cs="宋体"/>
        </w:rPr>
        <w:t>1、风景名胜区游览道路选线要随山就势，与周围的自然景观相互协调，不宜有过长的路段暴露于主要的观景面中。禁止开山，注意隐蔽，对于因修建道路而产生的创伤面应及时进行生态修复。</w:t>
      </w:r>
    </w:p>
    <w:p>
      <w:pPr>
        <w:spacing w:before="93" w:beforeLines="30"/>
        <w:ind w:firstLine="480"/>
        <w:rPr>
          <w:rFonts w:cs="宋体"/>
        </w:rPr>
      </w:pPr>
      <w:r>
        <w:rPr>
          <w:rFonts w:cs="宋体"/>
        </w:rPr>
        <w:t>2</w:t>
      </w:r>
      <w:r>
        <w:rPr>
          <w:rFonts w:hint="eastAsia" w:cs="宋体"/>
        </w:rPr>
        <w:t>、步行路路面材料应使用有利于环境和资源保护的材料，避免水泥、混凝土以及预制构件等材料铺设道路。扶手、护栏等道路辅助设施应简洁、实用，不应过于人工化或刻意模仿自然。对因施工而造成的道路两侧缺失的植被和创伤面应进行恢复。</w:t>
      </w:r>
    </w:p>
    <w:p>
      <w:pPr>
        <w:spacing w:before="93" w:beforeLines="30"/>
        <w:ind w:firstLine="480"/>
        <w:rPr>
          <w:rFonts w:cs="宋体"/>
        </w:rPr>
      </w:pPr>
      <w:r>
        <w:rPr>
          <w:rFonts w:cs="宋体"/>
        </w:rPr>
        <w:t>3</w:t>
      </w:r>
      <w:r>
        <w:rPr>
          <w:rFonts w:hint="eastAsia" w:cs="宋体"/>
        </w:rPr>
        <w:t>、风景名胜区内建设的停车场，应避免大量使用硬质铺装，加强绿化和透水材料使用，融入自然环境，使之成为生态停车场。</w:t>
      </w:r>
    </w:p>
    <w:p>
      <w:pPr>
        <w:spacing w:before="93" w:beforeLines="30"/>
        <w:ind w:firstLine="480"/>
        <w:rPr>
          <w:rFonts w:cs="宋体"/>
        </w:rPr>
      </w:pPr>
      <w:r>
        <w:rPr>
          <w:rFonts w:cs="宋体"/>
        </w:rPr>
        <w:t>4</w:t>
      </w:r>
      <w:r>
        <w:rPr>
          <w:rFonts w:hint="eastAsia" w:cs="宋体"/>
        </w:rPr>
        <w:t>、交通指示设施、指示标牌设计应注意与周围环境协调。</w:t>
      </w:r>
    </w:p>
    <w:p>
      <w:pPr>
        <w:spacing w:before="93" w:beforeLines="30"/>
        <w:ind w:firstLine="480"/>
        <w:rPr>
          <w:rFonts w:cs="宋体"/>
        </w:rPr>
      </w:pPr>
      <w:r>
        <w:rPr>
          <w:rFonts w:cs="宋体"/>
        </w:rPr>
        <w:t>5</w:t>
      </w:r>
      <w:r>
        <w:rPr>
          <w:rFonts w:hint="eastAsia" w:cs="宋体"/>
        </w:rPr>
        <w:t>、风景名胜区内公交车或观光车辆尽量选择使用清洁能源的观光巴士或者电瓶车，交通工具的细节设计应有人性化考虑，为身体不便人士提供便利服务。</w:t>
      </w:r>
    </w:p>
    <w:p>
      <w:pPr>
        <w:pStyle w:val="3"/>
        <w:spacing w:before="312"/>
      </w:pPr>
      <w:bookmarkStart w:id="46" w:name="_Toc176456012"/>
      <w:r>
        <w:rPr>
          <w:rFonts w:hint="eastAsia"/>
        </w:rPr>
        <w:t>二、游览设施规划</w:t>
      </w:r>
      <w:bookmarkEnd w:id="46"/>
    </w:p>
    <w:p>
      <w:pPr>
        <w:pStyle w:val="4"/>
        <w:spacing w:before="156"/>
        <w:ind w:firstLine="360"/>
      </w:pPr>
      <w:r>
        <w:rPr>
          <w:rFonts w:hint="eastAsia"/>
        </w:rPr>
        <w:t>（一）旅游现状分析</w:t>
      </w:r>
    </w:p>
    <w:p>
      <w:pPr>
        <w:spacing w:before="93" w:beforeLines="30"/>
        <w:ind w:firstLine="482"/>
        <w:rPr>
          <w:rFonts w:cs="宋体"/>
          <w:b/>
        </w:rPr>
      </w:pPr>
      <w:r>
        <w:rPr>
          <w:rFonts w:hint="eastAsia" w:cs="宋体"/>
          <w:b/>
        </w:rPr>
        <w:t>1、客源市场分析</w:t>
      </w:r>
    </w:p>
    <w:p>
      <w:pPr>
        <w:spacing w:before="93" w:beforeLines="30"/>
        <w:ind w:firstLine="480"/>
        <w:rPr>
          <w:rFonts w:cs="宋体"/>
        </w:rPr>
      </w:pPr>
      <w:r>
        <w:rPr>
          <w:rFonts w:hint="eastAsia" w:cs="宋体"/>
        </w:rPr>
        <w:t>从客源地区看，百丈漈—飞云湖风景名胜区的主要客源是温州市区和周边市县短程游客。客源构成主要是在职工、学生和部分机关干部及个体经营业主。客源地现状呈现如下特征：一是客源地域结构上，还主要局限于本地约100公里半径范围内，而且绝大部分为温州、瑞安等周边沿海市县游客，辐射较小；二是客源需求仍停留在一般观光游览活动上，休闲度假游客很少，故消费水平、逗留天数都很少；三是国际旅游还不发达，海外市场拓展薄弱。结合现状情况与发展潜力将客源地分为三级：</w:t>
      </w:r>
    </w:p>
    <w:p>
      <w:pPr>
        <w:spacing w:before="93" w:beforeLines="30"/>
        <w:ind w:firstLine="482"/>
        <w:rPr>
          <w:rFonts w:cs="宋体"/>
        </w:rPr>
      </w:pPr>
      <w:r>
        <w:rPr>
          <w:rFonts w:hint="eastAsia" w:cs="宋体"/>
          <w:b/>
          <w:bCs/>
        </w:rPr>
        <w:t>（1）主要客源地（一级客源市场）</w:t>
      </w:r>
    </w:p>
    <w:p>
      <w:pPr>
        <w:spacing w:before="93" w:beforeLines="30"/>
        <w:ind w:firstLine="480"/>
        <w:rPr>
          <w:rFonts w:cs="宋体"/>
        </w:rPr>
      </w:pPr>
      <w:r>
        <w:rPr>
          <w:rFonts w:hint="eastAsia" w:cs="宋体"/>
        </w:rPr>
        <w:t>浙江省、上海市、福建省应为风景名胜区国内主要客源地。随着溧宁高速、龙丽温、金丽温高速公路的顺利通车，高速公路网与福建、上海、江西对接，从温州至杭州仅需3小时，至上海仅需5小时，为浙江、上海居民2－3日游览百丈漈－飞云湖提供了交通便利条件。</w:t>
      </w:r>
    </w:p>
    <w:p>
      <w:pPr>
        <w:spacing w:before="93" w:beforeLines="30"/>
        <w:ind w:firstLine="482"/>
        <w:rPr>
          <w:rFonts w:cs="宋体"/>
        </w:rPr>
      </w:pPr>
      <w:r>
        <w:rPr>
          <w:rFonts w:hint="eastAsia" w:cs="宋体"/>
          <w:b/>
          <w:bCs/>
        </w:rPr>
        <w:t>（2）重要客源地（二级客源市场）</w:t>
      </w:r>
    </w:p>
    <w:p>
      <w:pPr>
        <w:spacing w:before="93" w:beforeLines="30"/>
        <w:ind w:firstLine="480"/>
        <w:rPr>
          <w:rFonts w:cs="宋体"/>
        </w:rPr>
      </w:pPr>
      <w:r>
        <w:rPr>
          <w:rFonts w:hint="eastAsia" w:cs="宋体"/>
        </w:rPr>
        <w:t>华东经济区的江苏、山东、江西和广东、北京、湖南等省市为百丈漈－飞云湖重要客源地（二级客源市场），亦为我国经济较为发达的地区，巨大的人口基数，交通状况的日益改善，使之为百丈漈－飞云湖提供了空前广阔的市场开拓空间，其中江西、江苏有望不断扩大比重，升格成为主要客源地。金温铁路、甬温铁路、温州机场为北京客源市场的拓展提供了交通的保证。</w:t>
      </w:r>
    </w:p>
    <w:p>
      <w:pPr>
        <w:spacing w:before="93" w:beforeLines="30"/>
        <w:ind w:firstLine="482"/>
        <w:rPr>
          <w:rFonts w:cs="宋体"/>
        </w:rPr>
      </w:pPr>
      <w:r>
        <w:rPr>
          <w:rFonts w:hint="eastAsia" w:cs="宋体"/>
          <w:b/>
          <w:bCs/>
        </w:rPr>
        <w:t>（3）潜在客源地（三级客源市场）</w:t>
      </w:r>
    </w:p>
    <w:p>
      <w:pPr>
        <w:spacing w:before="93" w:beforeLines="30"/>
        <w:ind w:firstLine="480"/>
        <w:rPr>
          <w:rFonts w:cs="宋体"/>
        </w:rPr>
      </w:pPr>
      <w:r>
        <w:rPr>
          <w:rFonts w:hint="eastAsia" w:cs="宋体"/>
        </w:rPr>
        <w:t>我国西南、西北、华北、东北等地应成为百丈漈－飞云湖潜在的客源地。随着国家经济的进一步发展，人民生活水平的日益提高，中国国内旅游的空间距离障碍将逐步淡化。</w:t>
      </w:r>
    </w:p>
    <w:p>
      <w:pPr>
        <w:spacing w:before="93" w:beforeLines="30"/>
        <w:ind w:firstLine="482"/>
        <w:rPr>
          <w:rFonts w:cs="宋体"/>
        </w:rPr>
      </w:pPr>
      <w:r>
        <w:rPr>
          <w:rFonts w:hint="eastAsia" w:cs="宋体"/>
          <w:b/>
          <w:bCs/>
        </w:rPr>
        <w:t>（4）海外市场分析</w:t>
      </w:r>
    </w:p>
    <w:p>
      <w:pPr>
        <w:spacing w:before="93" w:beforeLines="30"/>
        <w:ind w:firstLine="480"/>
        <w:rPr>
          <w:rFonts w:cs="宋体"/>
        </w:rPr>
      </w:pPr>
      <w:r>
        <w:rPr>
          <w:rFonts w:hint="eastAsia" w:cs="宋体"/>
        </w:rPr>
        <w:t xml:space="preserve">百丈漈－飞云湖的旅游产品在海外客源市场的辐射力度非常有限，且其中绝大部分为华侨游客，外国人所占比重极小。随着中国积极推进“一带一路”倡议、建设多边合作平台，与世界的交流日益增加，客流、物流、信息流的扩张，必然带动国际旅游业的发展，百丈漈－飞云湖凭藉自身的山水景观与文化内蕴，与周边著名景区联手打造成国际旅游品牌，融入到国际旅游的大格局之中。前期宜重点针对海外华侨，推出寻根游、山水游、康养游等专项产品，中远期宜向港澳台、东南亚、日本、韩国等其他海外市场整体推出百丈漈－飞云湖旅游品牌。 </w:t>
      </w:r>
    </w:p>
    <w:p>
      <w:pPr>
        <w:spacing w:before="93" w:beforeLines="30"/>
        <w:ind w:firstLine="482"/>
        <w:rPr>
          <w:rFonts w:cs="宋体"/>
          <w:b/>
        </w:rPr>
      </w:pPr>
      <w:r>
        <w:rPr>
          <w:rFonts w:hint="eastAsia" w:cs="宋体"/>
          <w:b/>
        </w:rPr>
        <w:t>2、游客数据分析</w:t>
      </w:r>
    </w:p>
    <w:p>
      <w:pPr>
        <w:spacing w:before="93" w:beforeLines="30"/>
        <w:ind w:firstLine="480"/>
        <w:rPr>
          <w:rFonts w:cs="宋体"/>
        </w:rPr>
      </w:pPr>
      <w:r>
        <w:rPr>
          <w:rFonts w:hint="eastAsia" w:cs="宋体"/>
        </w:rPr>
        <w:t>从2</w:t>
      </w:r>
      <w:r>
        <w:rPr>
          <w:rFonts w:cs="宋体"/>
        </w:rPr>
        <w:t>015</w:t>
      </w:r>
      <w:r>
        <w:rPr>
          <w:rFonts w:hint="eastAsia" w:cs="宋体"/>
        </w:rPr>
        <w:t>年以来文成县游客量统计情况看，文成在2</w:t>
      </w:r>
      <w:r>
        <w:rPr>
          <w:rFonts w:cs="宋体"/>
        </w:rPr>
        <w:t>015</w:t>
      </w:r>
      <w:r>
        <w:rPr>
          <w:rFonts w:hint="eastAsia" w:cs="宋体"/>
        </w:rPr>
        <w:t>至2</w:t>
      </w:r>
      <w:r>
        <w:rPr>
          <w:rFonts w:cs="宋体"/>
        </w:rPr>
        <w:t>019</w:t>
      </w:r>
      <w:r>
        <w:rPr>
          <w:rFonts w:hint="eastAsia" w:cs="宋体"/>
        </w:rPr>
        <w:t>年间游客增长较快，全县游客接待量由201</w:t>
      </w:r>
      <w:r>
        <w:rPr>
          <w:rFonts w:cs="宋体"/>
        </w:rPr>
        <w:t>5</w:t>
      </w:r>
      <w:r>
        <w:rPr>
          <w:rFonts w:hint="eastAsia" w:cs="宋体"/>
        </w:rPr>
        <w:t>年的</w:t>
      </w:r>
      <w:r>
        <w:rPr>
          <w:rFonts w:cs="宋体"/>
        </w:rPr>
        <w:t>544.87</w:t>
      </w:r>
      <w:r>
        <w:rPr>
          <w:rFonts w:hint="eastAsia" w:cs="宋体"/>
        </w:rPr>
        <w:t>万人次上升到201</w:t>
      </w:r>
      <w:r>
        <w:rPr>
          <w:rFonts w:cs="宋体"/>
        </w:rPr>
        <w:t>9</w:t>
      </w:r>
      <w:r>
        <w:rPr>
          <w:rFonts w:hint="eastAsia" w:cs="宋体"/>
        </w:rPr>
        <w:t>年的</w:t>
      </w:r>
      <w:r>
        <w:rPr>
          <w:rFonts w:cs="宋体"/>
        </w:rPr>
        <w:t>845.47</w:t>
      </w:r>
      <w:r>
        <w:rPr>
          <w:rFonts w:hint="eastAsia" w:cs="宋体"/>
        </w:rPr>
        <w:t>万人，年均增长率达到</w:t>
      </w:r>
      <w:r>
        <w:rPr>
          <w:rFonts w:cs="宋体"/>
        </w:rPr>
        <w:t>11.61</w:t>
      </w:r>
      <w:r>
        <w:rPr>
          <w:rFonts w:hint="eastAsia" w:cs="宋体"/>
        </w:rPr>
        <w:t>%。2</w:t>
      </w:r>
      <w:r>
        <w:rPr>
          <w:rFonts w:cs="宋体"/>
        </w:rPr>
        <w:t>020</w:t>
      </w:r>
      <w:r>
        <w:rPr>
          <w:rFonts w:hint="eastAsia" w:cs="宋体"/>
        </w:rPr>
        <w:t>年游客量数据采用了新的统计口径，2</w:t>
      </w:r>
      <w:r>
        <w:rPr>
          <w:rFonts w:cs="宋体"/>
        </w:rPr>
        <w:t>020</w:t>
      </w:r>
      <w:r>
        <w:rPr>
          <w:rFonts w:hint="eastAsia" w:cs="宋体"/>
        </w:rPr>
        <w:t>年至2</w:t>
      </w:r>
      <w:r>
        <w:rPr>
          <w:rFonts w:cs="宋体"/>
        </w:rPr>
        <w:t>023</w:t>
      </w:r>
      <w:r>
        <w:rPr>
          <w:rFonts w:hint="eastAsia" w:cs="宋体"/>
        </w:rPr>
        <w:t>年间的旅游发展受疫情冲击较大，游客量约在2</w:t>
      </w:r>
      <w:r>
        <w:rPr>
          <w:rFonts w:cs="宋体"/>
        </w:rPr>
        <w:t>50</w:t>
      </w:r>
      <w:r>
        <w:rPr>
          <w:rFonts w:hint="eastAsia" w:cs="宋体"/>
        </w:rPr>
        <w:t>万至3</w:t>
      </w:r>
      <w:r>
        <w:rPr>
          <w:rFonts w:cs="宋体"/>
        </w:rPr>
        <w:t>50</w:t>
      </w:r>
      <w:r>
        <w:rPr>
          <w:rFonts w:hint="eastAsia" w:cs="宋体"/>
        </w:rPr>
        <w:t>万之间。（见表4</w:t>
      </w:r>
      <w:r>
        <w:rPr>
          <w:rFonts w:cs="宋体"/>
        </w:rPr>
        <w:t>-5</w:t>
      </w:r>
      <w:r>
        <w:rPr>
          <w:rFonts w:hint="eastAsia" w:cs="宋体"/>
        </w:rPr>
        <w:t>）</w:t>
      </w:r>
    </w:p>
    <w:p>
      <w:pPr>
        <w:spacing w:line="300" w:lineRule="auto"/>
        <w:ind w:firstLine="422"/>
        <w:jc w:val="center"/>
        <w:rPr>
          <w:rFonts w:ascii="宋体" w:hAnsi="宋体"/>
          <w:b/>
          <w:sz w:val="32"/>
          <w:szCs w:val="32"/>
        </w:rPr>
      </w:pPr>
      <w:r>
        <w:rPr>
          <w:rFonts w:hint="eastAsia" w:ascii="宋体" w:hAnsi="宋体"/>
          <w:b/>
          <w:sz w:val="21"/>
          <w:szCs w:val="21"/>
        </w:rPr>
        <w:t>表4</w:t>
      </w:r>
      <w:r>
        <w:rPr>
          <w:rFonts w:ascii="宋体" w:hAnsi="宋体"/>
          <w:b/>
          <w:sz w:val="21"/>
          <w:szCs w:val="21"/>
        </w:rPr>
        <w:t xml:space="preserve">-5 </w:t>
      </w:r>
      <w:r>
        <w:rPr>
          <w:rFonts w:hint="eastAsia" w:ascii="宋体" w:hAnsi="宋体"/>
          <w:b/>
          <w:sz w:val="21"/>
          <w:szCs w:val="21"/>
        </w:rPr>
        <w:t>2</w:t>
      </w:r>
      <w:r>
        <w:rPr>
          <w:rFonts w:ascii="宋体" w:hAnsi="宋体"/>
          <w:b/>
          <w:sz w:val="21"/>
          <w:szCs w:val="21"/>
        </w:rPr>
        <w:t>015</w:t>
      </w:r>
      <w:r>
        <w:rPr>
          <w:rFonts w:hint="eastAsia" w:ascii="宋体" w:hAnsi="宋体"/>
          <w:b/>
          <w:sz w:val="21"/>
          <w:szCs w:val="21"/>
        </w:rPr>
        <w:t>—2</w:t>
      </w:r>
      <w:r>
        <w:rPr>
          <w:rFonts w:ascii="宋体" w:hAnsi="宋体"/>
          <w:b/>
          <w:sz w:val="21"/>
          <w:szCs w:val="21"/>
        </w:rPr>
        <w:t>023</w:t>
      </w:r>
      <w:r>
        <w:rPr>
          <w:rFonts w:hint="eastAsia" w:ascii="宋体" w:hAnsi="宋体"/>
          <w:b/>
          <w:sz w:val="21"/>
          <w:szCs w:val="21"/>
        </w:rPr>
        <w:t>年文成县游客量统计表</w:t>
      </w:r>
    </w:p>
    <w:tbl>
      <w:tblPr>
        <w:tblStyle w:val="42"/>
        <w:tblW w:w="8784"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559"/>
        <w:gridCol w:w="1552"/>
        <w:gridCol w:w="1567"/>
        <w:gridCol w:w="184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 w:hRule="atLeast"/>
          <w:tblHeader/>
        </w:trPr>
        <w:tc>
          <w:tcPr>
            <w:tcW w:w="704" w:type="dxa"/>
            <w:vMerge w:val="restart"/>
            <w:shd w:val="clear" w:color="auto" w:fill="E2E2E2"/>
            <w:noWrap/>
            <w:vAlign w:val="center"/>
          </w:tcPr>
          <w:p>
            <w:pPr>
              <w:widowControl/>
              <w:spacing w:line="240" w:lineRule="auto"/>
              <w:ind w:firstLine="0" w:firstLineChars="0"/>
              <w:jc w:val="center"/>
              <w:rPr>
                <w:rFonts w:ascii="宋体" w:hAnsi="宋体" w:cs="宋体"/>
                <w:b/>
                <w:color w:val="000000"/>
                <w:kern w:val="0"/>
                <w:sz w:val="18"/>
                <w:szCs w:val="18"/>
              </w:rPr>
            </w:pPr>
            <w:r>
              <w:rPr>
                <w:rFonts w:hint="eastAsia" w:ascii="宋体" w:hAnsi="宋体" w:cs="宋体"/>
                <w:b/>
                <w:color w:val="000000"/>
                <w:kern w:val="0"/>
                <w:sz w:val="18"/>
                <w:szCs w:val="18"/>
              </w:rPr>
              <w:t>序号</w:t>
            </w:r>
          </w:p>
        </w:tc>
        <w:tc>
          <w:tcPr>
            <w:tcW w:w="1559" w:type="dxa"/>
            <w:vMerge w:val="restart"/>
            <w:shd w:val="clear" w:color="auto" w:fill="E2E2E2"/>
            <w:noWrap/>
            <w:vAlign w:val="center"/>
          </w:tcPr>
          <w:p>
            <w:pPr>
              <w:widowControl/>
              <w:spacing w:line="240" w:lineRule="auto"/>
              <w:ind w:firstLine="0" w:firstLineChars="0"/>
              <w:jc w:val="center"/>
              <w:rPr>
                <w:rFonts w:ascii="宋体" w:hAnsi="宋体" w:cs="宋体"/>
                <w:b/>
                <w:color w:val="000000"/>
                <w:kern w:val="0"/>
                <w:sz w:val="18"/>
                <w:szCs w:val="18"/>
              </w:rPr>
            </w:pPr>
            <w:r>
              <w:rPr>
                <w:rFonts w:hint="eastAsia" w:ascii="宋体" w:hAnsi="宋体" w:cs="宋体"/>
                <w:b/>
                <w:color w:val="000000"/>
                <w:kern w:val="0"/>
                <w:sz w:val="18"/>
                <w:szCs w:val="18"/>
              </w:rPr>
              <w:t>时间</w:t>
            </w:r>
          </w:p>
        </w:tc>
        <w:tc>
          <w:tcPr>
            <w:tcW w:w="3119" w:type="dxa"/>
            <w:gridSpan w:val="2"/>
            <w:shd w:val="clear" w:color="auto" w:fill="E2E2E2"/>
            <w:noWrap/>
            <w:vAlign w:val="center"/>
          </w:tcPr>
          <w:p>
            <w:pPr>
              <w:widowControl/>
              <w:spacing w:line="240" w:lineRule="auto"/>
              <w:ind w:firstLine="0" w:firstLineChars="0"/>
              <w:jc w:val="center"/>
              <w:rPr>
                <w:rFonts w:ascii="宋体" w:hAnsi="宋体" w:cs="宋体"/>
                <w:b/>
                <w:color w:val="000000"/>
                <w:kern w:val="0"/>
                <w:sz w:val="18"/>
                <w:szCs w:val="18"/>
              </w:rPr>
            </w:pPr>
            <w:r>
              <w:rPr>
                <w:rFonts w:hint="eastAsia" w:ascii="宋体" w:hAnsi="宋体" w:cs="宋体"/>
                <w:b/>
                <w:color w:val="000000"/>
                <w:kern w:val="0"/>
                <w:sz w:val="18"/>
                <w:szCs w:val="18"/>
              </w:rPr>
              <w:t>游客人次（万人次）</w:t>
            </w:r>
          </w:p>
        </w:tc>
        <w:tc>
          <w:tcPr>
            <w:tcW w:w="3402" w:type="dxa"/>
            <w:gridSpan w:val="2"/>
            <w:shd w:val="clear" w:color="auto" w:fill="E2E2E2"/>
            <w:noWrap/>
            <w:vAlign w:val="center"/>
          </w:tcPr>
          <w:p>
            <w:pPr>
              <w:widowControl/>
              <w:spacing w:line="240" w:lineRule="auto"/>
              <w:ind w:firstLine="0" w:firstLineChars="0"/>
              <w:jc w:val="center"/>
              <w:rPr>
                <w:rFonts w:ascii="宋体" w:hAnsi="宋体" w:cs="宋体"/>
                <w:b/>
                <w:color w:val="000000"/>
                <w:kern w:val="0"/>
                <w:sz w:val="18"/>
                <w:szCs w:val="18"/>
              </w:rPr>
            </w:pPr>
            <w:r>
              <w:rPr>
                <w:rFonts w:hint="eastAsia" w:ascii="宋体" w:hAnsi="宋体" w:cs="宋体"/>
                <w:b/>
                <w:color w:val="000000"/>
                <w:kern w:val="0"/>
                <w:sz w:val="18"/>
                <w:szCs w:val="18"/>
              </w:rPr>
              <w:t>旅游收入（亿元）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 w:hRule="atLeast"/>
          <w:tblHeader/>
        </w:trPr>
        <w:tc>
          <w:tcPr>
            <w:tcW w:w="704" w:type="dxa"/>
            <w:vMerge w:val="continue"/>
            <w:shd w:val="clear" w:color="auto" w:fill="E2E2E2"/>
            <w:noWrap/>
            <w:vAlign w:val="center"/>
          </w:tcPr>
          <w:p>
            <w:pPr>
              <w:widowControl/>
              <w:spacing w:line="240" w:lineRule="auto"/>
              <w:ind w:firstLine="0" w:firstLineChars="0"/>
              <w:jc w:val="center"/>
              <w:rPr>
                <w:rFonts w:ascii="宋体" w:hAnsi="宋体" w:cs="宋体"/>
                <w:b/>
                <w:color w:val="000000"/>
                <w:kern w:val="0"/>
                <w:sz w:val="18"/>
                <w:szCs w:val="18"/>
              </w:rPr>
            </w:pPr>
          </w:p>
        </w:tc>
        <w:tc>
          <w:tcPr>
            <w:tcW w:w="1559" w:type="dxa"/>
            <w:vMerge w:val="continue"/>
            <w:shd w:val="clear" w:color="auto" w:fill="E2E2E2"/>
            <w:noWrap/>
            <w:vAlign w:val="center"/>
          </w:tcPr>
          <w:p>
            <w:pPr>
              <w:widowControl/>
              <w:spacing w:line="240" w:lineRule="auto"/>
              <w:ind w:firstLine="0" w:firstLineChars="0"/>
              <w:jc w:val="center"/>
              <w:rPr>
                <w:rFonts w:ascii="宋体" w:hAnsi="宋体" w:cs="宋体"/>
                <w:b/>
                <w:color w:val="000000"/>
                <w:kern w:val="0"/>
                <w:sz w:val="18"/>
                <w:szCs w:val="18"/>
              </w:rPr>
            </w:pPr>
          </w:p>
        </w:tc>
        <w:tc>
          <w:tcPr>
            <w:tcW w:w="1552" w:type="dxa"/>
            <w:shd w:val="clear" w:color="auto" w:fill="E2E2E2"/>
            <w:noWrap/>
            <w:vAlign w:val="center"/>
          </w:tcPr>
          <w:p>
            <w:pPr>
              <w:widowControl/>
              <w:spacing w:line="240" w:lineRule="auto"/>
              <w:ind w:firstLine="0" w:firstLineChars="0"/>
              <w:jc w:val="center"/>
              <w:rPr>
                <w:rFonts w:ascii="宋体" w:hAnsi="宋体" w:cs="宋体"/>
                <w:b/>
                <w:color w:val="000000"/>
                <w:kern w:val="0"/>
                <w:sz w:val="18"/>
                <w:szCs w:val="18"/>
              </w:rPr>
            </w:pPr>
            <w:r>
              <w:rPr>
                <w:rFonts w:hint="eastAsia" w:ascii="宋体" w:hAnsi="宋体" w:cs="宋体"/>
                <w:b/>
                <w:color w:val="000000"/>
                <w:kern w:val="0"/>
                <w:sz w:val="18"/>
                <w:szCs w:val="18"/>
              </w:rPr>
              <w:t>原统计口径</w:t>
            </w:r>
          </w:p>
        </w:tc>
        <w:tc>
          <w:tcPr>
            <w:tcW w:w="1567" w:type="dxa"/>
            <w:shd w:val="clear" w:color="auto" w:fill="E2E2E2"/>
            <w:noWrap/>
            <w:vAlign w:val="center"/>
          </w:tcPr>
          <w:p>
            <w:pPr>
              <w:widowControl/>
              <w:spacing w:line="240" w:lineRule="auto"/>
              <w:ind w:firstLine="0" w:firstLineChars="0"/>
              <w:jc w:val="center"/>
              <w:rPr>
                <w:rFonts w:ascii="宋体" w:hAnsi="宋体" w:cs="宋体"/>
                <w:b/>
                <w:color w:val="000000"/>
                <w:kern w:val="0"/>
                <w:sz w:val="18"/>
                <w:szCs w:val="18"/>
              </w:rPr>
            </w:pPr>
            <w:r>
              <w:rPr>
                <w:rFonts w:hint="eastAsia" w:ascii="宋体" w:hAnsi="宋体" w:cs="宋体"/>
                <w:b/>
                <w:color w:val="000000"/>
                <w:kern w:val="0"/>
                <w:sz w:val="18"/>
                <w:szCs w:val="18"/>
              </w:rPr>
              <w:t>现统计口径</w:t>
            </w:r>
          </w:p>
        </w:tc>
        <w:tc>
          <w:tcPr>
            <w:tcW w:w="1843" w:type="dxa"/>
            <w:shd w:val="clear" w:color="auto" w:fill="E2E2E2"/>
            <w:noWrap/>
            <w:vAlign w:val="center"/>
          </w:tcPr>
          <w:p>
            <w:pPr>
              <w:widowControl/>
              <w:spacing w:line="240" w:lineRule="auto"/>
              <w:ind w:firstLine="0" w:firstLineChars="0"/>
              <w:jc w:val="center"/>
              <w:rPr>
                <w:rFonts w:ascii="宋体" w:hAnsi="宋体" w:cs="宋体"/>
                <w:b/>
                <w:color w:val="000000"/>
                <w:kern w:val="0"/>
                <w:sz w:val="18"/>
                <w:szCs w:val="18"/>
              </w:rPr>
            </w:pPr>
            <w:r>
              <w:rPr>
                <w:rFonts w:hint="eastAsia" w:ascii="宋体" w:hAnsi="宋体" w:cs="宋体"/>
                <w:b/>
                <w:color w:val="000000"/>
                <w:kern w:val="0"/>
                <w:sz w:val="18"/>
                <w:szCs w:val="18"/>
              </w:rPr>
              <w:t>原统计口径</w:t>
            </w:r>
          </w:p>
        </w:tc>
        <w:tc>
          <w:tcPr>
            <w:tcW w:w="1559" w:type="dxa"/>
            <w:shd w:val="clear" w:color="auto" w:fill="E2E2E2"/>
            <w:noWrap/>
            <w:vAlign w:val="center"/>
          </w:tcPr>
          <w:p>
            <w:pPr>
              <w:widowControl/>
              <w:spacing w:line="240" w:lineRule="auto"/>
              <w:ind w:firstLine="0" w:firstLineChars="0"/>
              <w:jc w:val="center"/>
              <w:rPr>
                <w:rFonts w:ascii="宋体" w:hAnsi="宋体" w:cs="宋体"/>
                <w:b/>
                <w:color w:val="000000"/>
                <w:kern w:val="0"/>
                <w:sz w:val="18"/>
                <w:szCs w:val="18"/>
              </w:rPr>
            </w:pPr>
            <w:r>
              <w:rPr>
                <w:rFonts w:hint="eastAsia" w:ascii="宋体" w:hAnsi="宋体" w:cs="宋体"/>
                <w:b/>
                <w:color w:val="000000"/>
                <w:kern w:val="0"/>
                <w:sz w:val="18"/>
                <w:szCs w:val="18"/>
              </w:rPr>
              <w:t>现统计口径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 w:hRule="atLeast"/>
        </w:trPr>
        <w:tc>
          <w:tcPr>
            <w:tcW w:w="704" w:type="dxa"/>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559"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2015</w:t>
            </w:r>
          </w:p>
        </w:tc>
        <w:tc>
          <w:tcPr>
            <w:tcW w:w="1552"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 xml:space="preserve">544.87 </w:t>
            </w:r>
          </w:p>
        </w:tc>
        <w:tc>
          <w:tcPr>
            <w:tcW w:w="1567"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843"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 xml:space="preserve">26.01 </w:t>
            </w:r>
          </w:p>
        </w:tc>
        <w:tc>
          <w:tcPr>
            <w:tcW w:w="1559"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 w:hRule="atLeast"/>
        </w:trPr>
        <w:tc>
          <w:tcPr>
            <w:tcW w:w="704" w:type="dxa"/>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1559"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2016</w:t>
            </w:r>
          </w:p>
        </w:tc>
        <w:tc>
          <w:tcPr>
            <w:tcW w:w="1552"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 xml:space="preserve">576.33 </w:t>
            </w:r>
          </w:p>
        </w:tc>
        <w:tc>
          <w:tcPr>
            <w:tcW w:w="1567"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843"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 xml:space="preserve">28.63 </w:t>
            </w:r>
          </w:p>
        </w:tc>
        <w:tc>
          <w:tcPr>
            <w:tcW w:w="1559"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 w:hRule="atLeast"/>
        </w:trPr>
        <w:tc>
          <w:tcPr>
            <w:tcW w:w="704" w:type="dxa"/>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1559"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2017</w:t>
            </w:r>
          </w:p>
        </w:tc>
        <w:tc>
          <w:tcPr>
            <w:tcW w:w="1552"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 xml:space="preserve">600.46 </w:t>
            </w:r>
          </w:p>
        </w:tc>
        <w:tc>
          <w:tcPr>
            <w:tcW w:w="1567"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843"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 xml:space="preserve">31.84 </w:t>
            </w:r>
          </w:p>
        </w:tc>
        <w:tc>
          <w:tcPr>
            <w:tcW w:w="1559"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 w:hRule="atLeast"/>
        </w:trPr>
        <w:tc>
          <w:tcPr>
            <w:tcW w:w="704" w:type="dxa"/>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1559"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2018</w:t>
            </w:r>
          </w:p>
        </w:tc>
        <w:tc>
          <w:tcPr>
            <w:tcW w:w="1552"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 xml:space="preserve">701.58 </w:t>
            </w:r>
          </w:p>
        </w:tc>
        <w:tc>
          <w:tcPr>
            <w:tcW w:w="1567"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843"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 xml:space="preserve">56.48 </w:t>
            </w:r>
          </w:p>
        </w:tc>
        <w:tc>
          <w:tcPr>
            <w:tcW w:w="1559"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 w:hRule="atLeast"/>
        </w:trPr>
        <w:tc>
          <w:tcPr>
            <w:tcW w:w="704" w:type="dxa"/>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559"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2019</w:t>
            </w:r>
          </w:p>
        </w:tc>
        <w:tc>
          <w:tcPr>
            <w:tcW w:w="1552"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 xml:space="preserve">845.47 </w:t>
            </w:r>
          </w:p>
        </w:tc>
        <w:tc>
          <w:tcPr>
            <w:tcW w:w="1567"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843"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 xml:space="preserve">71.83 </w:t>
            </w:r>
          </w:p>
        </w:tc>
        <w:tc>
          <w:tcPr>
            <w:tcW w:w="1559"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 w:hRule="atLeast"/>
        </w:trPr>
        <w:tc>
          <w:tcPr>
            <w:tcW w:w="704" w:type="dxa"/>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1559"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2020</w:t>
            </w:r>
          </w:p>
        </w:tc>
        <w:tc>
          <w:tcPr>
            <w:tcW w:w="1552"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567"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 xml:space="preserve">254.74 </w:t>
            </w:r>
          </w:p>
        </w:tc>
        <w:tc>
          <w:tcPr>
            <w:tcW w:w="1843"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559"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 xml:space="preserve">29.69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 w:hRule="atLeast"/>
        </w:trPr>
        <w:tc>
          <w:tcPr>
            <w:tcW w:w="704" w:type="dxa"/>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1559"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2021</w:t>
            </w:r>
          </w:p>
        </w:tc>
        <w:tc>
          <w:tcPr>
            <w:tcW w:w="1552"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567"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 xml:space="preserve">327.60 </w:t>
            </w:r>
          </w:p>
        </w:tc>
        <w:tc>
          <w:tcPr>
            <w:tcW w:w="1843"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559"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 xml:space="preserve">41.90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 w:hRule="atLeast"/>
        </w:trPr>
        <w:tc>
          <w:tcPr>
            <w:tcW w:w="704" w:type="dxa"/>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1559"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2022</w:t>
            </w:r>
          </w:p>
        </w:tc>
        <w:tc>
          <w:tcPr>
            <w:tcW w:w="1552"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567"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 xml:space="preserve">294.70 </w:t>
            </w:r>
          </w:p>
        </w:tc>
        <w:tc>
          <w:tcPr>
            <w:tcW w:w="1843"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559"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 xml:space="preserve">40.60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 w:hRule="atLeast"/>
        </w:trPr>
        <w:tc>
          <w:tcPr>
            <w:tcW w:w="704" w:type="dxa"/>
            <w:shd w:val="clear" w:color="auto" w:fill="auto"/>
            <w:noWrap/>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1559"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 xml:space="preserve">2023 </w:t>
            </w:r>
          </w:p>
        </w:tc>
        <w:tc>
          <w:tcPr>
            <w:tcW w:w="1552"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567"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355.00</w:t>
            </w:r>
          </w:p>
        </w:tc>
        <w:tc>
          <w:tcPr>
            <w:tcW w:w="1843"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559"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ascii="宋体" w:hAnsi="宋体" w:cs="宋体"/>
                <w:color w:val="000000"/>
                <w:kern w:val="0"/>
                <w:sz w:val="18"/>
                <w:szCs w:val="18"/>
              </w:rPr>
              <w:t>47</w:t>
            </w:r>
            <w:r>
              <w:rPr>
                <w:rFonts w:hint="eastAsia" w:ascii="宋体" w:hAnsi="宋体" w:cs="宋体"/>
                <w:color w:val="000000"/>
                <w:kern w:val="0"/>
                <w:sz w:val="18"/>
                <w:szCs w:val="18"/>
              </w:rPr>
              <w:t xml:space="preserve">.00 </w:t>
            </w:r>
          </w:p>
        </w:tc>
      </w:tr>
    </w:tbl>
    <w:p>
      <w:pPr>
        <w:spacing w:before="93" w:beforeLines="30" w:line="240" w:lineRule="auto"/>
        <w:ind w:firstLine="422"/>
        <w:jc w:val="center"/>
        <w:rPr>
          <w:rFonts w:ascii="宋体" w:hAnsi="宋体"/>
          <w:b/>
          <w:sz w:val="21"/>
          <w:szCs w:val="21"/>
        </w:rPr>
      </w:pPr>
    </w:p>
    <w:p>
      <w:pPr>
        <w:spacing w:before="93" w:beforeLines="30"/>
        <w:ind w:firstLine="480"/>
        <w:jc w:val="left"/>
        <w:rPr>
          <w:rFonts w:cs="宋体"/>
        </w:rPr>
      </w:pPr>
      <w:r>
        <w:rPr>
          <w:rFonts w:hint="eastAsia" w:cs="宋体"/>
        </w:rPr>
        <w:t>从近十年文成县节假日游客量统计数据看， 春节、五一、国庆是文成县旅游高峰期，2</w:t>
      </w:r>
      <w:r>
        <w:rPr>
          <w:rFonts w:cs="宋体"/>
        </w:rPr>
        <w:t>024</w:t>
      </w:r>
      <w:r>
        <w:rPr>
          <w:rFonts w:hint="eastAsia" w:cs="宋体"/>
        </w:rPr>
        <w:t>年五一期间重点旅游景区（景点）累计接待游客5</w:t>
      </w:r>
      <w:r>
        <w:rPr>
          <w:rFonts w:cs="宋体"/>
        </w:rPr>
        <w:t>9</w:t>
      </w:r>
      <w:r>
        <w:rPr>
          <w:rFonts w:hint="eastAsia" w:cs="宋体"/>
        </w:rPr>
        <w:t>万人次，较2</w:t>
      </w:r>
      <w:r>
        <w:rPr>
          <w:rFonts w:cs="宋体"/>
        </w:rPr>
        <w:t>023</w:t>
      </w:r>
      <w:r>
        <w:rPr>
          <w:rFonts w:hint="eastAsia" w:cs="宋体"/>
        </w:rPr>
        <w:t>年同期增长6</w:t>
      </w:r>
      <w:r>
        <w:rPr>
          <w:rFonts w:cs="宋体"/>
        </w:rPr>
        <w:t>9.3</w:t>
      </w:r>
      <w:r>
        <w:rPr>
          <w:rFonts w:hint="eastAsia" w:cs="宋体"/>
        </w:rPr>
        <w:t>%，日均游客量达到1</w:t>
      </w:r>
      <w:r>
        <w:rPr>
          <w:rFonts w:cs="宋体"/>
        </w:rPr>
        <w:t>1.8</w:t>
      </w:r>
      <w:r>
        <w:rPr>
          <w:rFonts w:hint="eastAsia" w:cs="宋体"/>
        </w:rPr>
        <w:t>万人次。</w:t>
      </w:r>
    </w:p>
    <w:p>
      <w:pPr>
        <w:spacing w:before="93" w:beforeLines="30"/>
        <w:ind w:firstLine="422"/>
        <w:jc w:val="center"/>
        <w:rPr>
          <w:rFonts w:ascii="宋体" w:hAnsi="宋体"/>
          <w:b/>
          <w:sz w:val="32"/>
          <w:szCs w:val="32"/>
        </w:rPr>
      </w:pPr>
      <w:r>
        <w:rPr>
          <w:rFonts w:hint="eastAsia" w:ascii="宋体" w:hAnsi="宋体"/>
          <w:b/>
          <w:sz w:val="21"/>
          <w:szCs w:val="21"/>
        </w:rPr>
        <w:t>表4</w:t>
      </w:r>
      <w:r>
        <w:rPr>
          <w:rFonts w:ascii="宋体" w:hAnsi="宋体"/>
          <w:b/>
          <w:sz w:val="21"/>
          <w:szCs w:val="21"/>
        </w:rPr>
        <w:t xml:space="preserve">-6 </w:t>
      </w:r>
      <w:r>
        <w:rPr>
          <w:rFonts w:hint="eastAsia" w:ascii="宋体" w:hAnsi="宋体"/>
          <w:b/>
          <w:sz w:val="21"/>
          <w:szCs w:val="21"/>
        </w:rPr>
        <w:t>近十年文成县节假日游客量统计表</w:t>
      </w:r>
    </w:p>
    <w:tbl>
      <w:tblPr>
        <w:tblStyle w:val="42"/>
        <w:tblW w:w="8702" w:type="dxa"/>
        <w:jc w:val="center"/>
        <w:tblInd w:w="0" w:type="dxa"/>
        <w:tblLayout w:type="fixed"/>
        <w:tblCellMar>
          <w:top w:w="0" w:type="dxa"/>
          <w:left w:w="28" w:type="dxa"/>
          <w:bottom w:w="0" w:type="dxa"/>
          <w:right w:w="28" w:type="dxa"/>
        </w:tblCellMar>
      </w:tblPr>
      <w:tblGrid>
        <w:gridCol w:w="715"/>
        <w:gridCol w:w="908"/>
        <w:gridCol w:w="654"/>
        <w:gridCol w:w="704"/>
        <w:gridCol w:w="708"/>
        <w:gridCol w:w="709"/>
        <w:gridCol w:w="709"/>
        <w:gridCol w:w="709"/>
        <w:gridCol w:w="708"/>
        <w:gridCol w:w="709"/>
        <w:gridCol w:w="744"/>
        <w:gridCol w:w="725"/>
      </w:tblGrid>
      <w:tr>
        <w:tblPrEx>
          <w:tblLayout w:type="fixed"/>
          <w:tblCellMar>
            <w:top w:w="0" w:type="dxa"/>
            <w:left w:w="28" w:type="dxa"/>
            <w:bottom w:w="0" w:type="dxa"/>
            <w:right w:w="28" w:type="dxa"/>
          </w:tblCellMar>
        </w:tblPrEx>
        <w:trPr>
          <w:trHeight w:val="299" w:hRule="atLeast"/>
          <w:tblHeader/>
          <w:jc w:val="center"/>
        </w:trPr>
        <w:tc>
          <w:tcPr>
            <w:tcW w:w="715" w:type="dxa"/>
            <w:tcBorders>
              <w:top w:val="single" w:color="auto" w:sz="4" w:space="0"/>
              <w:left w:val="single" w:color="auto" w:sz="4" w:space="0"/>
              <w:bottom w:val="single" w:color="auto" w:sz="4" w:space="0"/>
              <w:right w:val="single" w:color="auto" w:sz="4" w:space="0"/>
            </w:tcBorders>
            <w:shd w:val="clear" w:color="auto" w:fill="E2E2E2"/>
            <w:noWrap/>
            <w:vAlign w:val="center"/>
          </w:tcPr>
          <w:p>
            <w:pPr>
              <w:widowControl/>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节假日</w:t>
            </w:r>
          </w:p>
        </w:tc>
        <w:tc>
          <w:tcPr>
            <w:tcW w:w="908" w:type="dxa"/>
            <w:tcBorders>
              <w:top w:val="single" w:color="auto" w:sz="4" w:space="0"/>
              <w:left w:val="nil"/>
              <w:bottom w:val="single" w:color="auto" w:sz="4" w:space="0"/>
              <w:right w:val="single" w:color="auto" w:sz="4" w:space="0"/>
            </w:tcBorders>
            <w:shd w:val="clear" w:color="auto" w:fill="E2E2E2"/>
            <w:noWrap/>
            <w:vAlign w:val="center"/>
          </w:tcPr>
          <w:p>
            <w:pPr>
              <w:widowControl/>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指标</w:t>
            </w:r>
          </w:p>
        </w:tc>
        <w:tc>
          <w:tcPr>
            <w:tcW w:w="654" w:type="dxa"/>
            <w:tcBorders>
              <w:top w:val="single" w:color="auto" w:sz="4" w:space="0"/>
              <w:left w:val="nil"/>
              <w:bottom w:val="single" w:color="auto" w:sz="4" w:space="0"/>
              <w:right w:val="single" w:color="auto" w:sz="4" w:space="0"/>
            </w:tcBorders>
            <w:shd w:val="clear" w:color="auto" w:fill="E2E2E2"/>
            <w:noWrap/>
            <w:vAlign w:val="center"/>
          </w:tcPr>
          <w:p>
            <w:pPr>
              <w:widowControl/>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2015</w:t>
            </w:r>
          </w:p>
        </w:tc>
        <w:tc>
          <w:tcPr>
            <w:tcW w:w="704" w:type="dxa"/>
            <w:tcBorders>
              <w:top w:val="single" w:color="auto" w:sz="4" w:space="0"/>
              <w:left w:val="nil"/>
              <w:bottom w:val="single" w:color="auto" w:sz="4" w:space="0"/>
              <w:right w:val="single" w:color="auto" w:sz="4" w:space="0"/>
            </w:tcBorders>
            <w:shd w:val="clear" w:color="auto" w:fill="E2E2E2"/>
            <w:noWrap/>
            <w:vAlign w:val="center"/>
          </w:tcPr>
          <w:p>
            <w:pPr>
              <w:widowControl/>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2016</w:t>
            </w:r>
          </w:p>
        </w:tc>
        <w:tc>
          <w:tcPr>
            <w:tcW w:w="708" w:type="dxa"/>
            <w:tcBorders>
              <w:top w:val="single" w:color="auto" w:sz="4" w:space="0"/>
              <w:left w:val="nil"/>
              <w:bottom w:val="single" w:color="auto" w:sz="4" w:space="0"/>
              <w:right w:val="single" w:color="auto" w:sz="4" w:space="0"/>
            </w:tcBorders>
            <w:shd w:val="clear" w:color="auto" w:fill="E2E2E2"/>
            <w:noWrap/>
            <w:vAlign w:val="center"/>
          </w:tcPr>
          <w:p>
            <w:pPr>
              <w:widowControl/>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2017</w:t>
            </w:r>
          </w:p>
        </w:tc>
        <w:tc>
          <w:tcPr>
            <w:tcW w:w="709" w:type="dxa"/>
            <w:tcBorders>
              <w:top w:val="single" w:color="auto" w:sz="4" w:space="0"/>
              <w:left w:val="nil"/>
              <w:bottom w:val="single" w:color="auto" w:sz="4" w:space="0"/>
              <w:right w:val="single" w:color="auto" w:sz="4" w:space="0"/>
            </w:tcBorders>
            <w:shd w:val="clear" w:color="auto" w:fill="E2E2E2"/>
            <w:noWrap/>
            <w:vAlign w:val="center"/>
          </w:tcPr>
          <w:p>
            <w:pPr>
              <w:widowControl/>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2018</w:t>
            </w:r>
          </w:p>
        </w:tc>
        <w:tc>
          <w:tcPr>
            <w:tcW w:w="709" w:type="dxa"/>
            <w:tcBorders>
              <w:top w:val="single" w:color="auto" w:sz="4" w:space="0"/>
              <w:left w:val="nil"/>
              <w:bottom w:val="single" w:color="auto" w:sz="4" w:space="0"/>
              <w:right w:val="single" w:color="auto" w:sz="4" w:space="0"/>
            </w:tcBorders>
            <w:shd w:val="clear" w:color="auto" w:fill="E2E2E2"/>
            <w:noWrap/>
            <w:vAlign w:val="center"/>
          </w:tcPr>
          <w:p>
            <w:pPr>
              <w:widowControl/>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2019</w:t>
            </w:r>
          </w:p>
        </w:tc>
        <w:tc>
          <w:tcPr>
            <w:tcW w:w="709" w:type="dxa"/>
            <w:tcBorders>
              <w:top w:val="single" w:color="auto" w:sz="4" w:space="0"/>
              <w:left w:val="nil"/>
              <w:bottom w:val="single" w:color="auto" w:sz="4" w:space="0"/>
              <w:right w:val="single" w:color="auto" w:sz="4" w:space="0"/>
            </w:tcBorders>
            <w:shd w:val="clear" w:color="auto" w:fill="E2E2E2"/>
            <w:noWrap/>
            <w:vAlign w:val="center"/>
          </w:tcPr>
          <w:p>
            <w:pPr>
              <w:widowControl/>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2020</w:t>
            </w:r>
          </w:p>
        </w:tc>
        <w:tc>
          <w:tcPr>
            <w:tcW w:w="708" w:type="dxa"/>
            <w:tcBorders>
              <w:top w:val="single" w:color="auto" w:sz="4" w:space="0"/>
              <w:left w:val="nil"/>
              <w:bottom w:val="single" w:color="auto" w:sz="4" w:space="0"/>
              <w:right w:val="single" w:color="auto" w:sz="4" w:space="0"/>
            </w:tcBorders>
            <w:shd w:val="clear" w:color="auto" w:fill="E2E2E2"/>
            <w:noWrap/>
            <w:vAlign w:val="center"/>
          </w:tcPr>
          <w:p>
            <w:pPr>
              <w:widowControl/>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2021</w:t>
            </w:r>
          </w:p>
        </w:tc>
        <w:tc>
          <w:tcPr>
            <w:tcW w:w="709" w:type="dxa"/>
            <w:tcBorders>
              <w:top w:val="single" w:color="auto" w:sz="4" w:space="0"/>
              <w:left w:val="nil"/>
              <w:bottom w:val="single" w:color="auto" w:sz="4" w:space="0"/>
              <w:right w:val="single" w:color="auto" w:sz="4" w:space="0"/>
            </w:tcBorders>
            <w:shd w:val="clear" w:color="auto" w:fill="E2E2E2"/>
            <w:noWrap/>
            <w:vAlign w:val="center"/>
          </w:tcPr>
          <w:p>
            <w:pPr>
              <w:widowControl/>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2022</w:t>
            </w:r>
          </w:p>
        </w:tc>
        <w:tc>
          <w:tcPr>
            <w:tcW w:w="744" w:type="dxa"/>
            <w:tcBorders>
              <w:top w:val="single" w:color="auto" w:sz="4" w:space="0"/>
              <w:left w:val="nil"/>
              <w:bottom w:val="single" w:color="auto" w:sz="4" w:space="0"/>
              <w:right w:val="single" w:color="auto" w:sz="4" w:space="0"/>
            </w:tcBorders>
            <w:shd w:val="clear" w:color="auto" w:fill="E2E2E2"/>
            <w:noWrap/>
            <w:vAlign w:val="center"/>
          </w:tcPr>
          <w:p>
            <w:pPr>
              <w:widowControl/>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2023</w:t>
            </w:r>
          </w:p>
        </w:tc>
        <w:tc>
          <w:tcPr>
            <w:tcW w:w="725" w:type="dxa"/>
            <w:tcBorders>
              <w:top w:val="single" w:color="auto" w:sz="4" w:space="0"/>
              <w:left w:val="nil"/>
              <w:bottom w:val="single" w:color="auto" w:sz="4" w:space="0"/>
              <w:right w:val="single" w:color="auto" w:sz="4" w:space="0"/>
            </w:tcBorders>
            <w:shd w:val="clear" w:color="auto" w:fill="E2E2E2"/>
            <w:noWrap/>
            <w:vAlign w:val="center"/>
          </w:tcPr>
          <w:p>
            <w:pPr>
              <w:widowControl/>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2024</w:t>
            </w:r>
          </w:p>
        </w:tc>
      </w:tr>
      <w:tr>
        <w:tblPrEx>
          <w:tblLayout w:type="fixed"/>
          <w:tblCellMar>
            <w:top w:w="0" w:type="dxa"/>
            <w:left w:w="28" w:type="dxa"/>
            <w:bottom w:w="0" w:type="dxa"/>
            <w:right w:w="28" w:type="dxa"/>
          </w:tblCellMar>
        </w:tblPrEx>
        <w:trPr>
          <w:trHeight w:val="261" w:hRule="atLeast"/>
          <w:jc w:val="center"/>
        </w:trPr>
        <w:tc>
          <w:tcPr>
            <w:tcW w:w="71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元旦</w:t>
            </w:r>
          </w:p>
        </w:tc>
        <w:tc>
          <w:tcPr>
            <w:tcW w:w="908" w:type="dxa"/>
            <w:tcBorders>
              <w:top w:val="nil"/>
              <w:left w:val="nil"/>
              <w:bottom w:val="single" w:color="auto" w:sz="4" w:space="0"/>
              <w:right w:val="single" w:color="auto" w:sz="4" w:space="0"/>
            </w:tcBorders>
            <w:shd w:val="clear" w:color="auto" w:fill="auto"/>
            <w:vAlign w:val="center"/>
          </w:tcPr>
          <w:p>
            <w:pPr>
              <w:widowControl/>
              <w:snapToGrid w:val="0"/>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游客人次（万人）</w:t>
            </w:r>
          </w:p>
        </w:tc>
        <w:tc>
          <w:tcPr>
            <w:tcW w:w="654"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5.62</w:t>
            </w:r>
          </w:p>
        </w:tc>
        <w:tc>
          <w:tcPr>
            <w:tcW w:w="704"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5.83</w:t>
            </w:r>
          </w:p>
        </w:tc>
        <w:tc>
          <w:tcPr>
            <w:tcW w:w="708"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3.42</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3.82</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4.61</w:t>
            </w:r>
          </w:p>
        </w:tc>
        <w:tc>
          <w:tcPr>
            <w:tcW w:w="709" w:type="dxa"/>
            <w:vMerge w:val="restart"/>
            <w:tcBorders>
              <w:top w:val="nil"/>
              <w:left w:val="single" w:color="auto" w:sz="4" w:space="0"/>
              <w:bottom w:val="single" w:color="000000" w:sz="4" w:space="0"/>
              <w:right w:val="single" w:color="auto" w:sz="4" w:space="0"/>
            </w:tcBorders>
            <w:shd w:val="clear" w:color="auto" w:fill="auto"/>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无相关数据</w:t>
            </w:r>
          </w:p>
        </w:tc>
        <w:tc>
          <w:tcPr>
            <w:tcW w:w="708"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3.14</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3.27</w:t>
            </w:r>
          </w:p>
        </w:tc>
        <w:tc>
          <w:tcPr>
            <w:tcW w:w="744"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2.19</w:t>
            </w:r>
          </w:p>
        </w:tc>
        <w:tc>
          <w:tcPr>
            <w:tcW w:w="725"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3.52</w:t>
            </w:r>
          </w:p>
        </w:tc>
      </w:tr>
      <w:tr>
        <w:tblPrEx>
          <w:tblLayout w:type="fixed"/>
          <w:tblCellMar>
            <w:top w:w="0" w:type="dxa"/>
            <w:left w:w="28" w:type="dxa"/>
            <w:bottom w:w="0" w:type="dxa"/>
            <w:right w:w="28" w:type="dxa"/>
          </w:tblCellMar>
        </w:tblPrEx>
        <w:trPr>
          <w:trHeight w:val="58" w:hRule="atLeast"/>
          <w:jc w:val="center"/>
        </w:trPr>
        <w:tc>
          <w:tcPr>
            <w:tcW w:w="715" w:type="dxa"/>
            <w:vMerge w:val="continue"/>
            <w:tcBorders>
              <w:top w:val="nil"/>
              <w:left w:val="single" w:color="auto" w:sz="4" w:space="0"/>
              <w:bottom w:val="single" w:color="auto" w:sz="4" w:space="0"/>
              <w:right w:val="single" w:color="auto" w:sz="4" w:space="0"/>
            </w:tcBorders>
            <w:vAlign w:val="center"/>
          </w:tcPr>
          <w:p>
            <w:pPr>
              <w:widowControl/>
              <w:snapToGrid w:val="0"/>
              <w:spacing w:line="240" w:lineRule="auto"/>
              <w:ind w:firstLine="0" w:firstLineChars="0"/>
              <w:jc w:val="left"/>
              <w:rPr>
                <w:rFonts w:ascii="宋体" w:hAnsi="宋体" w:cs="宋体"/>
                <w:b/>
                <w:bCs/>
                <w:color w:val="000000"/>
                <w:kern w:val="0"/>
                <w:sz w:val="18"/>
                <w:szCs w:val="18"/>
              </w:rPr>
            </w:pPr>
          </w:p>
        </w:tc>
        <w:tc>
          <w:tcPr>
            <w:tcW w:w="908" w:type="dxa"/>
            <w:tcBorders>
              <w:top w:val="nil"/>
              <w:left w:val="nil"/>
              <w:bottom w:val="single" w:color="auto" w:sz="4" w:space="0"/>
              <w:right w:val="single" w:color="auto" w:sz="4" w:space="0"/>
            </w:tcBorders>
            <w:shd w:val="clear" w:color="auto" w:fill="auto"/>
            <w:vAlign w:val="center"/>
          </w:tcPr>
          <w:p>
            <w:pPr>
              <w:widowControl/>
              <w:snapToGrid w:val="0"/>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门票收入（万元）</w:t>
            </w:r>
          </w:p>
        </w:tc>
        <w:tc>
          <w:tcPr>
            <w:tcW w:w="654"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62.28</w:t>
            </w:r>
          </w:p>
        </w:tc>
        <w:tc>
          <w:tcPr>
            <w:tcW w:w="704"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65.98</w:t>
            </w:r>
          </w:p>
        </w:tc>
        <w:tc>
          <w:tcPr>
            <w:tcW w:w="708"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35.69</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42.84</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78.72</w:t>
            </w:r>
          </w:p>
        </w:tc>
        <w:tc>
          <w:tcPr>
            <w:tcW w:w="709" w:type="dxa"/>
            <w:vMerge w:val="continue"/>
            <w:tcBorders>
              <w:top w:val="nil"/>
              <w:left w:val="single" w:color="auto" w:sz="4" w:space="0"/>
              <w:bottom w:val="single" w:color="000000" w:sz="4" w:space="0"/>
              <w:right w:val="single" w:color="auto" w:sz="4" w:space="0"/>
            </w:tcBorders>
            <w:vAlign w:val="center"/>
          </w:tcPr>
          <w:p>
            <w:pPr>
              <w:widowControl/>
              <w:snapToGrid w:val="0"/>
              <w:spacing w:line="240" w:lineRule="auto"/>
              <w:ind w:firstLine="0" w:firstLineChars="0"/>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67.85</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72.51</w:t>
            </w:r>
          </w:p>
        </w:tc>
        <w:tc>
          <w:tcPr>
            <w:tcW w:w="744"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19.77</w:t>
            </w:r>
          </w:p>
        </w:tc>
        <w:tc>
          <w:tcPr>
            <w:tcW w:w="725"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87.81</w:t>
            </w:r>
          </w:p>
        </w:tc>
      </w:tr>
      <w:tr>
        <w:tblPrEx>
          <w:tblLayout w:type="fixed"/>
          <w:tblCellMar>
            <w:top w:w="0" w:type="dxa"/>
            <w:left w:w="28" w:type="dxa"/>
            <w:bottom w:w="0" w:type="dxa"/>
            <w:right w:w="28" w:type="dxa"/>
          </w:tblCellMar>
        </w:tblPrEx>
        <w:trPr>
          <w:trHeight w:val="58" w:hRule="atLeast"/>
          <w:jc w:val="center"/>
        </w:trPr>
        <w:tc>
          <w:tcPr>
            <w:tcW w:w="71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春节</w:t>
            </w:r>
          </w:p>
        </w:tc>
        <w:tc>
          <w:tcPr>
            <w:tcW w:w="908" w:type="dxa"/>
            <w:tcBorders>
              <w:top w:val="nil"/>
              <w:left w:val="nil"/>
              <w:bottom w:val="single" w:color="auto" w:sz="4" w:space="0"/>
              <w:right w:val="single" w:color="auto" w:sz="4" w:space="0"/>
            </w:tcBorders>
            <w:shd w:val="clear" w:color="auto" w:fill="auto"/>
            <w:vAlign w:val="center"/>
          </w:tcPr>
          <w:p>
            <w:pPr>
              <w:widowControl/>
              <w:snapToGrid w:val="0"/>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游客人次（万人）</w:t>
            </w:r>
          </w:p>
        </w:tc>
        <w:tc>
          <w:tcPr>
            <w:tcW w:w="654"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32.13</w:t>
            </w:r>
          </w:p>
        </w:tc>
        <w:tc>
          <w:tcPr>
            <w:tcW w:w="704"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36.01</w:t>
            </w:r>
          </w:p>
        </w:tc>
        <w:tc>
          <w:tcPr>
            <w:tcW w:w="708"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40.32</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39.34</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53.42</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51.82</w:t>
            </w:r>
          </w:p>
        </w:tc>
        <w:tc>
          <w:tcPr>
            <w:tcW w:w="708"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8.50</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9.56</w:t>
            </w:r>
          </w:p>
        </w:tc>
        <w:tc>
          <w:tcPr>
            <w:tcW w:w="744"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33.89</w:t>
            </w:r>
          </w:p>
        </w:tc>
        <w:tc>
          <w:tcPr>
            <w:tcW w:w="725"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57.50</w:t>
            </w:r>
          </w:p>
        </w:tc>
      </w:tr>
      <w:tr>
        <w:tblPrEx>
          <w:tblLayout w:type="fixed"/>
          <w:tblCellMar>
            <w:top w:w="0" w:type="dxa"/>
            <w:left w:w="28" w:type="dxa"/>
            <w:bottom w:w="0" w:type="dxa"/>
            <w:right w:w="28" w:type="dxa"/>
          </w:tblCellMar>
        </w:tblPrEx>
        <w:trPr>
          <w:trHeight w:val="58" w:hRule="atLeast"/>
          <w:jc w:val="center"/>
        </w:trPr>
        <w:tc>
          <w:tcPr>
            <w:tcW w:w="715" w:type="dxa"/>
            <w:vMerge w:val="continue"/>
            <w:tcBorders>
              <w:top w:val="nil"/>
              <w:left w:val="single" w:color="auto" w:sz="4" w:space="0"/>
              <w:bottom w:val="single" w:color="auto" w:sz="4" w:space="0"/>
              <w:right w:val="single" w:color="auto" w:sz="4" w:space="0"/>
            </w:tcBorders>
            <w:vAlign w:val="center"/>
          </w:tcPr>
          <w:p>
            <w:pPr>
              <w:widowControl/>
              <w:snapToGrid w:val="0"/>
              <w:spacing w:line="240" w:lineRule="auto"/>
              <w:ind w:firstLine="0" w:firstLineChars="0"/>
              <w:jc w:val="left"/>
              <w:rPr>
                <w:rFonts w:ascii="宋体" w:hAnsi="宋体" w:cs="宋体"/>
                <w:b/>
                <w:bCs/>
                <w:color w:val="000000"/>
                <w:kern w:val="0"/>
                <w:sz w:val="18"/>
                <w:szCs w:val="18"/>
              </w:rPr>
            </w:pPr>
          </w:p>
        </w:tc>
        <w:tc>
          <w:tcPr>
            <w:tcW w:w="908" w:type="dxa"/>
            <w:tcBorders>
              <w:top w:val="nil"/>
              <w:left w:val="nil"/>
              <w:bottom w:val="single" w:color="auto" w:sz="4" w:space="0"/>
              <w:right w:val="single" w:color="auto" w:sz="4" w:space="0"/>
            </w:tcBorders>
            <w:shd w:val="clear" w:color="auto" w:fill="auto"/>
            <w:vAlign w:val="center"/>
          </w:tcPr>
          <w:p>
            <w:pPr>
              <w:widowControl/>
              <w:snapToGrid w:val="0"/>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门票收入（万元）</w:t>
            </w:r>
          </w:p>
        </w:tc>
        <w:tc>
          <w:tcPr>
            <w:tcW w:w="654"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172.63</w:t>
            </w:r>
          </w:p>
        </w:tc>
        <w:tc>
          <w:tcPr>
            <w:tcW w:w="704"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462.76</w:t>
            </w:r>
          </w:p>
        </w:tc>
        <w:tc>
          <w:tcPr>
            <w:tcW w:w="708"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518.33</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638.06</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755.82</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878.35</w:t>
            </w:r>
          </w:p>
        </w:tc>
        <w:tc>
          <w:tcPr>
            <w:tcW w:w="708"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75.45</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85.15</w:t>
            </w:r>
          </w:p>
        </w:tc>
        <w:tc>
          <w:tcPr>
            <w:tcW w:w="744"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270.79</w:t>
            </w:r>
          </w:p>
        </w:tc>
        <w:tc>
          <w:tcPr>
            <w:tcW w:w="725"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627.80</w:t>
            </w:r>
          </w:p>
        </w:tc>
      </w:tr>
      <w:tr>
        <w:tblPrEx>
          <w:tblLayout w:type="fixed"/>
          <w:tblCellMar>
            <w:top w:w="0" w:type="dxa"/>
            <w:left w:w="28" w:type="dxa"/>
            <w:bottom w:w="0" w:type="dxa"/>
            <w:right w:w="28" w:type="dxa"/>
          </w:tblCellMar>
        </w:tblPrEx>
        <w:trPr>
          <w:trHeight w:val="58" w:hRule="atLeast"/>
          <w:jc w:val="center"/>
        </w:trPr>
        <w:tc>
          <w:tcPr>
            <w:tcW w:w="71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清明</w:t>
            </w:r>
          </w:p>
        </w:tc>
        <w:tc>
          <w:tcPr>
            <w:tcW w:w="908" w:type="dxa"/>
            <w:tcBorders>
              <w:top w:val="nil"/>
              <w:left w:val="nil"/>
              <w:bottom w:val="single" w:color="auto" w:sz="4" w:space="0"/>
              <w:right w:val="single" w:color="auto" w:sz="4" w:space="0"/>
            </w:tcBorders>
            <w:shd w:val="clear" w:color="auto" w:fill="auto"/>
            <w:vAlign w:val="center"/>
          </w:tcPr>
          <w:p>
            <w:pPr>
              <w:widowControl/>
              <w:snapToGrid w:val="0"/>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游客人次（万人）</w:t>
            </w:r>
          </w:p>
        </w:tc>
        <w:tc>
          <w:tcPr>
            <w:tcW w:w="654"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9.45</w:t>
            </w:r>
          </w:p>
        </w:tc>
        <w:tc>
          <w:tcPr>
            <w:tcW w:w="704"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10.52</w:t>
            </w:r>
          </w:p>
        </w:tc>
        <w:tc>
          <w:tcPr>
            <w:tcW w:w="708"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11.07</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12.08</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5.18</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2.92</w:t>
            </w:r>
          </w:p>
        </w:tc>
        <w:tc>
          <w:tcPr>
            <w:tcW w:w="708"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3.18</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1.55</w:t>
            </w:r>
          </w:p>
        </w:tc>
        <w:tc>
          <w:tcPr>
            <w:tcW w:w="744"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1.80</w:t>
            </w:r>
          </w:p>
        </w:tc>
        <w:tc>
          <w:tcPr>
            <w:tcW w:w="725"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13.41</w:t>
            </w:r>
          </w:p>
        </w:tc>
      </w:tr>
      <w:tr>
        <w:tblPrEx>
          <w:tblLayout w:type="fixed"/>
          <w:tblCellMar>
            <w:top w:w="0" w:type="dxa"/>
            <w:left w:w="28" w:type="dxa"/>
            <w:bottom w:w="0" w:type="dxa"/>
            <w:right w:w="28" w:type="dxa"/>
          </w:tblCellMar>
        </w:tblPrEx>
        <w:trPr>
          <w:trHeight w:val="58" w:hRule="atLeast"/>
          <w:jc w:val="center"/>
        </w:trPr>
        <w:tc>
          <w:tcPr>
            <w:tcW w:w="715" w:type="dxa"/>
            <w:vMerge w:val="continue"/>
            <w:tcBorders>
              <w:top w:val="nil"/>
              <w:left w:val="single" w:color="auto" w:sz="4" w:space="0"/>
              <w:bottom w:val="single" w:color="auto" w:sz="4" w:space="0"/>
              <w:right w:val="single" w:color="auto" w:sz="4" w:space="0"/>
            </w:tcBorders>
            <w:vAlign w:val="center"/>
          </w:tcPr>
          <w:p>
            <w:pPr>
              <w:widowControl/>
              <w:snapToGrid w:val="0"/>
              <w:spacing w:line="240" w:lineRule="auto"/>
              <w:ind w:firstLine="0" w:firstLineChars="0"/>
              <w:jc w:val="left"/>
              <w:rPr>
                <w:rFonts w:ascii="宋体" w:hAnsi="宋体" w:cs="宋体"/>
                <w:b/>
                <w:bCs/>
                <w:color w:val="000000"/>
                <w:kern w:val="0"/>
                <w:sz w:val="18"/>
                <w:szCs w:val="18"/>
              </w:rPr>
            </w:pPr>
          </w:p>
        </w:tc>
        <w:tc>
          <w:tcPr>
            <w:tcW w:w="908" w:type="dxa"/>
            <w:tcBorders>
              <w:top w:val="nil"/>
              <w:left w:val="nil"/>
              <w:bottom w:val="single" w:color="auto" w:sz="4" w:space="0"/>
              <w:right w:val="single" w:color="auto" w:sz="4" w:space="0"/>
            </w:tcBorders>
            <w:shd w:val="clear" w:color="auto" w:fill="auto"/>
            <w:vAlign w:val="center"/>
          </w:tcPr>
          <w:p>
            <w:pPr>
              <w:widowControl/>
              <w:snapToGrid w:val="0"/>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门票收入（万元）</w:t>
            </w:r>
          </w:p>
        </w:tc>
        <w:tc>
          <w:tcPr>
            <w:tcW w:w="654"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58.03</w:t>
            </w:r>
          </w:p>
        </w:tc>
        <w:tc>
          <w:tcPr>
            <w:tcW w:w="704"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99.97</w:t>
            </w:r>
          </w:p>
        </w:tc>
        <w:tc>
          <w:tcPr>
            <w:tcW w:w="708"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54.67</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60.62</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111.84</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4.40</w:t>
            </w:r>
          </w:p>
        </w:tc>
        <w:tc>
          <w:tcPr>
            <w:tcW w:w="708"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33.73</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15.01</w:t>
            </w:r>
          </w:p>
        </w:tc>
        <w:tc>
          <w:tcPr>
            <w:tcW w:w="744"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27.24</w:t>
            </w:r>
          </w:p>
        </w:tc>
        <w:tc>
          <w:tcPr>
            <w:tcW w:w="725"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186.44</w:t>
            </w:r>
          </w:p>
        </w:tc>
      </w:tr>
      <w:tr>
        <w:tblPrEx>
          <w:tblLayout w:type="fixed"/>
          <w:tblCellMar>
            <w:top w:w="0" w:type="dxa"/>
            <w:left w:w="28" w:type="dxa"/>
            <w:bottom w:w="0" w:type="dxa"/>
            <w:right w:w="28" w:type="dxa"/>
          </w:tblCellMar>
        </w:tblPrEx>
        <w:trPr>
          <w:trHeight w:val="58" w:hRule="atLeast"/>
          <w:jc w:val="center"/>
        </w:trPr>
        <w:tc>
          <w:tcPr>
            <w:tcW w:w="71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五一</w:t>
            </w:r>
          </w:p>
        </w:tc>
        <w:tc>
          <w:tcPr>
            <w:tcW w:w="908" w:type="dxa"/>
            <w:tcBorders>
              <w:top w:val="nil"/>
              <w:left w:val="nil"/>
              <w:bottom w:val="single" w:color="auto" w:sz="4" w:space="0"/>
              <w:right w:val="single" w:color="auto" w:sz="4" w:space="0"/>
            </w:tcBorders>
            <w:shd w:val="clear" w:color="auto" w:fill="auto"/>
            <w:vAlign w:val="center"/>
          </w:tcPr>
          <w:p>
            <w:pPr>
              <w:widowControl/>
              <w:snapToGrid w:val="0"/>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游客人次（万人）</w:t>
            </w:r>
          </w:p>
        </w:tc>
        <w:tc>
          <w:tcPr>
            <w:tcW w:w="654"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21.25</w:t>
            </w:r>
          </w:p>
        </w:tc>
        <w:tc>
          <w:tcPr>
            <w:tcW w:w="704"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19.96</w:t>
            </w:r>
          </w:p>
        </w:tc>
        <w:tc>
          <w:tcPr>
            <w:tcW w:w="708"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20.75</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26.15</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46.67</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15.41</w:t>
            </w:r>
          </w:p>
        </w:tc>
        <w:tc>
          <w:tcPr>
            <w:tcW w:w="708"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24.10</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26.56</w:t>
            </w:r>
          </w:p>
        </w:tc>
        <w:tc>
          <w:tcPr>
            <w:tcW w:w="744"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35.42</w:t>
            </w:r>
          </w:p>
        </w:tc>
        <w:tc>
          <w:tcPr>
            <w:tcW w:w="725"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59.02</w:t>
            </w:r>
          </w:p>
        </w:tc>
      </w:tr>
      <w:tr>
        <w:tblPrEx>
          <w:tblLayout w:type="fixed"/>
          <w:tblCellMar>
            <w:top w:w="0" w:type="dxa"/>
            <w:left w:w="28" w:type="dxa"/>
            <w:bottom w:w="0" w:type="dxa"/>
            <w:right w:w="28" w:type="dxa"/>
          </w:tblCellMar>
        </w:tblPrEx>
        <w:trPr>
          <w:trHeight w:val="212" w:hRule="atLeast"/>
          <w:jc w:val="center"/>
        </w:trPr>
        <w:tc>
          <w:tcPr>
            <w:tcW w:w="715" w:type="dxa"/>
            <w:vMerge w:val="continue"/>
            <w:tcBorders>
              <w:top w:val="nil"/>
              <w:left w:val="single" w:color="auto" w:sz="4" w:space="0"/>
              <w:bottom w:val="single" w:color="auto" w:sz="4" w:space="0"/>
              <w:right w:val="single" w:color="auto" w:sz="4" w:space="0"/>
            </w:tcBorders>
            <w:vAlign w:val="center"/>
          </w:tcPr>
          <w:p>
            <w:pPr>
              <w:widowControl/>
              <w:snapToGrid w:val="0"/>
              <w:spacing w:line="240" w:lineRule="auto"/>
              <w:ind w:firstLine="0" w:firstLineChars="0"/>
              <w:jc w:val="left"/>
              <w:rPr>
                <w:rFonts w:ascii="宋体" w:hAnsi="宋体" w:cs="宋体"/>
                <w:b/>
                <w:bCs/>
                <w:color w:val="000000"/>
                <w:kern w:val="0"/>
                <w:sz w:val="18"/>
                <w:szCs w:val="18"/>
              </w:rPr>
            </w:pPr>
          </w:p>
        </w:tc>
        <w:tc>
          <w:tcPr>
            <w:tcW w:w="908" w:type="dxa"/>
            <w:tcBorders>
              <w:top w:val="nil"/>
              <w:left w:val="nil"/>
              <w:bottom w:val="single" w:color="auto" w:sz="4" w:space="0"/>
              <w:right w:val="single" w:color="auto" w:sz="4" w:space="0"/>
            </w:tcBorders>
            <w:shd w:val="clear" w:color="auto" w:fill="auto"/>
            <w:vAlign w:val="center"/>
          </w:tcPr>
          <w:p>
            <w:pPr>
              <w:widowControl/>
              <w:snapToGrid w:val="0"/>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门票收入（万元）</w:t>
            </w:r>
          </w:p>
        </w:tc>
        <w:tc>
          <w:tcPr>
            <w:tcW w:w="654"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223.51</w:t>
            </w:r>
          </w:p>
        </w:tc>
        <w:tc>
          <w:tcPr>
            <w:tcW w:w="704"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231.20</w:t>
            </w:r>
          </w:p>
        </w:tc>
        <w:tc>
          <w:tcPr>
            <w:tcW w:w="708"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195.69</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219.43</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289.08</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343.72</w:t>
            </w:r>
          </w:p>
        </w:tc>
        <w:tc>
          <w:tcPr>
            <w:tcW w:w="708"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771.73</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38.18</w:t>
            </w:r>
          </w:p>
        </w:tc>
        <w:tc>
          <w:tcPr>
            <w:tcW w:w="744"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243.35</w:t>
            </w:r>
          </w:p>
        </w:tc>
        <w:tc>
          <w:tcPr>
            <w:tcW w:w="725"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959.10</w:t>
            </w:r>
          </w:p>
        </w:tc>
      </w:tr>
      <w:tr>
        <w:tblPrEx>
          <w:tblLayout w:type="fixed"/>
          <w:tblCellMar>
            <w:top w:w="0" w:type="dxa"/>
            <w:left w:w="28" w:type="dxa"/>
            <w:bottom w:w="0" w:type="dxa"/>
            <w:right w:w="28" w:type="dxa"/>
          </w:tblCellMar>
        </w:tblPrEx>
        <w:trPr>
          <w:trHeight w:val="58" w:hRule="atLeast"/>
          <w:jc w:val="center"/>
        </w:trPr>
        <w:tc>
          <w:tcPr>
            <w:tcW w:w="71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端午</w:t>
            </w:r>
          </w:p>
        </w:tc>
        <w:tc>
          <w:tcPr>
            <w:tcW w:w="908" w:type="dxa"/>
            <w:tcBorders>
              <w:top w:val="nil"/>
              <w:left w:val="nil"/>
              <w:bottom w:val="single" w:color="auto" w:sz="4" w:space="0"/>
              <w:right w:val="single" w:color="auto" w:sz="4" w:space="0"/>
            </w:tcBorders>
            <w:shd w:val="clear" w:color="auto" w:fill="auto"/>
            <w:vAlign w:val="center"/>
          </w:tcPr>
          <w:p>
            <w:pPr>
              <w:widowControl/>
              <w:snapToGrid w:val="0"/>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游客人次（万人）</w:t>
            </w:r>
          </w:p>
        </w:tc>
        <w:tc>
          <w:tcPr>
            <w:tcW w:w="654"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5.62</w:t>
            </w:r>
          </w:p>
        </w:tc>
        <w:tc>
          <w:tcPr>
            <w:tcW w:w="704"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8.77</w:t>
            </w:r>
          </w:p>
        </w:tc>
        <w:tc>
          <w:tcPr>
            <w:tcW w:w="708"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9.49</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9.98</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11.47</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13.76</w:t>
            </w:r>
          </w:p>
        </w:tc>
        <w:tc>
          <w:tcPr>
            <w:tcW w:w="708"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3.67</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3.80</w:t>
            </w:r>
          </w:p>
        </w:tc>
        <w:tc>
          <w:tcPr>
            <w:tcW w:w="744"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9.02</w:t>
            </w:r>
          </w:p>
        </w:tc>
        <w:tc>
          <w:tcPr>
            <w:tcW w:w="725"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color w:val="000000"/>
                <w:kern w:val="0"/>
                <w:sz w:val="18"/>
                <w:szCs w:val="18"/>
              </w:rPr>
            </w:pPr>
          </w:p>
        </w:tc>
      </w:tr>
      <w:tr>
        <w:tblPrEx>
          <w:tblLayout w:type="fixed"/>
          <w:tblCellMar>
            <w:top w:w="0" w:type="dxa"/>
            <w:left w:w="28" w:type="dxa"/>
            <w:bottom w:w="0" w:type="dxa"/>
            <w:right w:w="28" w:type="dxa"/>
          </w:tblCellMar>
        </w:tblPrEx>
        <w:trPr>
          <w:trHeight w:val="58" w:hRule="atLeast"/>
          <w:jc w:val="center"/>
        </w:trPr>
        <w:tc>
          <w:tcPr>
            <w:tcW w:w="715" w:type="dxa"/>
            <w:vMerge w:val="continue"/>
            <w:tcBorders>
              <w:top w:val="nil"/>
              <w:left w:val="single" w:color="auto" w:sz="4" w:space="0"/>
              <w:bottom w:val="single" w:color="auto" w:sz="4" w:space="0"/>
              <w:right w:val="single" w:color="auto" w:sz="4" w:space="0"/>
            </w:tcBorders>
            <w:vAlign w:val="center"/>
          </w:tcPr>
          <w:p>
            <w:pPr>
              <w:widowControl/>
              <w:snapToGrid w:val="0"/>
              <w:spacing w:line="240" w:lineRule="auto"/>
              <w:ind w:firstLine="0" w:firstLineChars="0"/>
              <w:jc w:val="left"/>
              <w:rPr>
                <w:rFonts w:ascii="宋体" w:hAnsi="宋体" w:cs="宋体"/>
                <w:b/>
                <w:bCs/>
                <w:color w:val="000000"/>
                <w:kern w:val="0"/>
                <w:sz w:val="18"/>
                <w:szCs w:val="18"/>
              </w:rPr>
            </w:pPr>
          </w:p>
        </w:tc>
        <w:tc>
          <w:tcPr>
            <w:tcW w:w="908" w:type="dxa"/>
            <w:tcBorders>
              <w:top w:val="nil"/>
              <w:left w:val="nil"/>
              <w:bottom w:val="single" w:color="auto" w:sz="4" w:space="0"/>
              <w:right w:val="single" w:color="auto" w:sz="4" w:space="0"/>
            </w:tcBorders>
            <w:shd w:val="clear" w:color="auto" w:fill="auto"/>
            <w:vAlign w:val="center"/>
          </w:tcPr>
          <w:p>
            <w:pPr>
              <w:widowControl/>
              <w:snapToGrid w:val="0"/>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门票收入（万元）</w:t>
            </w:r>
          </w:p>
        </w:tc>
        <w:tc>
          <w:tcPr>
            <w:tcW w:w="654"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42.08</w:t>
            </w:r>
          </w:p>
        </w:tc>
        <w:tc>
          <w:tcPr>
            <w:tcW w:w="704"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78.82</w:t>
            </w:r>
          </w:p>
        </w:tc>
        <w:tc>
          <w:tcPr>
            <w:tcW w:w="708"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85.50</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92.60</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114.91</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137.89</w:t>
            </w:r>
          </w:p>
        </w:tc>
        <w:tc>
          <w:tcPr>
            <w:tcW w:w="708"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73.83</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74.80</w:t>
            </w:r>
          </w:p>
        </w:tc>
        <w:tc>
          <w:tcPr>
            <w:tcW w:w="744"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150.95</w:t>
            </w:r>
          </w:p>
        </w:tc>
        <w:tc>
          <w:tcPr>
            <w:tcW w:w="725"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color w:val="000000"/>
                <w:kern w:val="0"/>
                <w:sz w:val="18"/>
                <w:szCs w:val="18"/>
              </w:rPr>
            </w:pPr>
          </w:p>
        </w:tc>
      </w:tr>
      <w:tr>
        <w:tblPrEx>
          <w:tblLayout w:type="fixed"/>
          <w:tblCellMar>
            <w:top w:w="0" w:type="dxa"/>
            <w:left w:w="28" w:type="dxa"/>
            <w:bottom w:w="0" w:type="dxa"/>
            <w:right w:w="28" w:type="dxa"/>
          </w:tblCellMar>
        </w:tblPrEx>
        <w:trPr>
          <w:trHeight w:val="58" w:hRule="atLeast"/>
          <w:jc w:val="center"/>
        </w:trPr>
        <w:tc>
          <w:tcPr>
            <w:tcW w:w="71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中秋</w:t>
            </w:r>
          </w:p>
        </w:tc>
        <w:tc>
          <w:tcPr>
            <w:tcW w:w="908" w:type="dxa"/>
            <w:tcBorders>
              <w:top w:val="nil"/>
              <w:left w:val="nil"/>
              <w:bottom w:val="single" w:color="auto" w:sz="4" w:space="0"/>
              <w:right w:val="single" w:color="auto" w:sz="4" w:space="0"/>
            </w:tcBorders>
            <w:shd w:val="clear" w:color="auto" w:fill="auto"/>
            <w:vAlign w:val="center"/>
          </w:tcPr>
          <w:p>
            <w:pPr>
              <w:widowControl/>
              <w:snapToGrid w:val="0"/>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游客人次（万人）</w:t>
            </w:r>
          </w:p>
        </w:tc>
        <w:tc>
          <w:tcPr>
            <w:tcW w:w="654" w:type="dxa"/>
            <w:vMerge w:val="restart"/>
            <w:tcBorders>
              <w:top w:val="nil"/>
              <w:left w:val="single" w:color="auto" w:sz="4" w:space="0"/>
              <w:bottom w:val="single" w:color="000000" w:sz="4" w:space="0"/>
              <w:right w:val="single" w:color="auto" w:sz="4" w:space="0"/>
            </w:tcBorders>
            <w:shd w:val="clear" w:color="auto" w:fill="auto"/>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无相关数据</w:t>
            </w:r>
          </w:p>
        </w:tc>
        <w:tc>
          <w:tcPr>
            <w:tcW w:w="704" w:type="dxa"/>
            <w:vMerge w:val="restart"/>
            <w:tcBorders>
              <w:top w:val="nil"/>
              <w:left w:val="single" w:color="auto" w:sz="4" w:space="0"/>
              <w:bottom w:val="single" w:color="000000" w:sz="4" w:space="0"/>
              <w:right w:val="single" w:color="auto" w:sz="4" w:space="0"/>
            </w:tcBorders>
            <w:shd w:val="clear" w:color="auto" w:fill="auto"/>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无相关数据</w:t>
            </w:r>
          </w:p>
        </w:tc>
        <w:tc>
          <w:tcPr>
            <w:tcW w:w="708" w:type="dxa"/>
            <w:vMerge w:val="restart"/>
            <w:tcBorders>
              <w:top w:val="nil"/>
              <w:left w:val="single" w:color="auto" w:sz="4" w:space="0"/>
              <w:bottom w:val="single" w:color="000000" w:sz="4" w:space="0"/>
              <w:right w:val="single" w:color="auto" w:sz="4" w:space="0"/>
            </w:tcBorders>
            <w:shd w:val="clear" w:color="auto" w:fill="auto"/>
            <w:vAlign w:val="center"/>
          </w:tcPr>
          <w:p>
            <w:pPr>
              <w:widowControl/>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数据计入国庆</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12.15</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15.23</w:t>
            </w:r>
          </w:p>
        </w:tc>
        <w:tc>
          <w:tcPr>
            <w:tcW w:w="709" w:type="dxa"/>
            <w:vMerge w:val="restart"/>
            <w:tcBorders>
              <w:top w:val="nil"/>
              <w:left w:val="single" w:color="auto" w:sz="4" w:space="0"/>
              <w:bottom w:val="single" w:color="000000" w:sz="4" w:space="0"/>
              <w:right w:val="single" w:color="auto" w:sz="4" w:space="0"/>
            </w:tcBorders>
            <w:shd w:val="clear" w:color="auto" w:fill="auto"/>
            <w:vAlign w:val="center"/>
          </w:tcPr>
          <w:p>
            <w:pPr>
              <w:widowControl/>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数据计入国庆</w:t>
            </w:r>
          </w:p>
        </w:tc>
        <w:tc>
          <w:tcPr>
            <w:tcW w:w="708"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5.51</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6.94</w:t>
            </w:r>
          </w:p>
        </w:tc>
        <w:tc>
          <w:tcPr>
            <w:tcW w:w="744" w:type="dxa"/>
            <w:vMerge w:val="restart"/>
            <w:tcBorders>
              <w:top w:val="nil"/>
              <w:left w:val="single" w:color="auto" w:sz="4" w:space="0"/>
              <w:bottom w:val="single" w:color="000000" w:sz="4" w:space="0"/>
              <w:right w:val="single" w:color="auto" w:sz="4" w:space="0"/>
            </w:tcBorders>
            <w:shd w:val="clear" w:color="auto" w:fill="auto"/>
            <w:vAlign w:val="center"/>
          </w:tcPr>
          <w:p>
            <w:pPr>
              <w:widowControl/>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数据计入国庆</w:t>
            </w:r>
          </w:p>
        </w:tc>
        <w:tc>
          <w:tcPr>
            <w:tcW w:w="725"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color w:val="000000"/>
                <w:kern w:val="0"/>
                <w:sz w:val="18"/>
                <w:szCs w:val="18"/>
              </w:rPr>
            </w:pPr>
          </w:p>
        </w:tc>
      </w:tr>
      <w:tr>
        <w:tblPrEx>
          <w:tblLayout w:type="fixed"/>
          <w:tblCellMar>
            <w:top w:w="0" w:type="dxa"/>
            <w:left w:w="28" w:type="dxa"/>
            <w:bottom w:w="0" w:type="dxa"/>
            <w:right w:w="28" w:type="dxa"/>
          </w:tblCellMar>
        </w:tblPrEx>
        <w:trPr>
          <w:trHeight w:val="544" w:hRule="atLeast"/>
          <w:jc w:val="center"/>
        </w:trPr>
        <w:tc>
          <w:tcPr>
            <w:tcW w:w="715" w:type="dxa"/>
            <w:vMerge w:val="continue"/>
            <w:tcBorders>
              <w:top w:val="nil"/>
              <w:left w:val="single" w:color="auto" w:sz="4" w:space="0"/>
              <w:bottom w:val="single" w:color="auto" w:sz="4" w:space="0"/>
              <w:right w:val="single" w:color="auto" w:sz="4" w:space="0"/>
            </w:tcBorders>
            <w:vAlign w:val="center"/>
          </w:tcPr>
          <w:p>
            <w:pPr>
              <w:widowControl/>
              <w:snapToGrid w:val="0"/>
              <w:spacing w:line="240" w:lineRule="auto"/>
              <w:ind w:firstLine="0" w:firstLineChars="0"/>
              <w:jc w:val="left"/>
              <w:rPr>
                <w:rFonts w:ascii="宋体" w:hAnsi="宋体" w:cs="宋体"/>
                <w:b/>
                <w:bCs/>
                <w:color w:val="000000"/>
                <w:kern w:val="0"/>
                <w:sz w:val="18"/>
                <w:szCs w:val="18"/>
              </w:rPr>
            </w:pPr>
          </w:p>
        </w:tc>
        <w:tc>
          <w:tcPr>
            <w:tcW w:w="908" w:type="dxa"/>
            <w:tcBorders>
              <w:top w:val="nil"/>
              <w:left w:val="nil"/>
              <w:bottom w:val="single" w:color="auto" w:sz="4" w:space="0"/>
              <w:right w:val="single" w:color="auto" w:sz="4" w:space="0"/>
            </w:tcBorders>
            <w:shd w:val="clear" w:color="auto" w:fill="auto"/>
            <w:vAlign w:val="center"/>
          </w:tcPr>
          <w:p>
            <w:pPr>
              <w:widowControl/>
              <w:snapToGrid w:val="0"/>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门票收入（万元）</w:t>
            </w:r>
          </w:p>
        </w:tc>
        <w:tc>
          <w:tcPr>
            <w:tcW w:w="654" w:type="dxa"/>
            <w:vMerge w:val="continue"/>
            <w:tcBorders>
              <w:top w:val="nil"/>
              <w:left w:val="single" w:color="auto" w:sz="4" w:space="0"/>
              <w:bottom w:val="single" w:color="000000" w:sz="4" w:space="0"/>
              <w:right w:val="single" w:color="auto" w:sz="4" w:space="0"/>
            </w:tcBorders>
            <w:vAlign w:val="center"/>
          </w:tcPr>
          <w:p>
            <w:pPr>
              <w:widowControl/>
              <w:snapToGrid w:val="0"/>
              <w:spacing w:line="240" w:lineRule="auto"/>
              <w:ind w:firstLine="0" w:firstLineChars="0"/>
              <w:jc w:val="center"/>
              <w:rPr>
                <w:rFonts w:ascii="宋体" w:hAnsi="宋体" w:cs="宋体"/>
                <w:kern w:val="0"/>
                <w:sz w:val="18"/>
                <w:szCs w:val="18"/>
              </w:rPr>
            </w:pPr>
          </w:p>
        </w:tc>
        <w:tc>
          <w:tcPr>
            <w:tcW w:w="704" w:type="dxa"/>
            <w:vMerge w:val="continue"/>
            <w:tcBorders>
              <w:top w:val="nil"/>
              <w:left w:val="single" w:color="auto" w:sz="4" w:space="0"/>
              <w:bottom w:val="single" w:color="000000" w:sz="4" w:space="0"/>
              <w:right w:val="single" w:color="auto" w:sz="4" w:space="0"/>
            </w:tcBorders>
            <w:vAlign w:val="center"/>
          </w:tcPr>
          <w:p>
            <w:pPr>
              <w:widowControl/>
              <w:snapToGrid w:val="0"/>
              <w:spacing w:line="240" w:lineRule="auto"/>
              <w:ind w:firstLine="0" w:firstLineChars="0"/>
              <w:jc w:val="center"/>
              <w:rPr>
                <w:rFonts w:ascii="宋体" w:hAnsi="宋体" w:cs="宋体"/>
                <w:kern w:val="0"/>
                <w:sz w:val="18"/>
                <w:szCs w:val="18"/>
              </w:rPr>
            </w:pPr>
          </w:p>
        </w:tc>
        <w:tc>
          <w:tcPr>
            <w:tcW w:w="708" w:type="dxa"/>
            <w:vMerge w:val="continue"/>
            <w:tcBorders>
              <w:top w:val="nil"/>
              <w:left w:val="single" w:color="auto" w:sz="4" w:space="0"/>
              <w:bottom w:val="single" w:color="000000" w:sz="4" w:space="0"/>
              <w:right w:val="single" w:color="auto" w:sz="4" w:space="0"/>
            </w:tcBorders>
            <w:vAlign w:val="center"/>
          </w:tcPr>
          <w:p>
            <w:pPr>
              <w:widowControl/>
              <w:snapToGrid w:val="0"/>
              <w:spacing w:line="240" w:lineRule="auto"/>
              <w:ind w:firstLine="0" w:firstLineChars="0"/>
              <w:jc w:val="center"/>
              <w:rPr>
                <w:rFonts w:ascii="宋体" w:hAnsi="宋体" w:cs="宋体"/>
                <w:color w:val="000000"/>
                <w:kern w:val="0"/>
                <w:sz w:val="18"/>
                <w:szCs w:val="18"/>
              </w:rPr>
            </w:pP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93.65</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106.45</w:t>
            </w:r>
          </w:p>
        </w:tc>
        <w:tc>
          <w:tcPr>
            <w:tcW w:w="709" w:type="dxa"/>
            <w:vMerge w:val="continue"/>
            <w:tcBorders>
              <w:top w:val="nil"/>
              <w:left w:val="single" w:color="auto" w:sz="4" w:space="0"/>
              <w:bottom w:val="single" w:color="000000" w:sz="4" w:space="0"/>
              <w:right w:val="single" w:color="auto" w:sz="4" w:space="0"/>
            </w:tcBorders>
            <w:vAlign w:val="center"/>
          </w:tcPr>
          <w:p>
            <w:pPr>
              <w:widowControl/>
              <w:snapToGrid w:val="0"/>
              <w:spacing w:line="240" w:lineRule="auto"/>
              <w:ind w:firstLine="0" w:firstLineChars="0"/>
              <w:jc w:val="center"/>
              <w:rPr>
                <w:rFonts w:ascii="宋体" w:hAnsi="宋体" w:cs="宋体"/>
                <w:color w:val="000000"/>
                <w:kern w:val="0"/>
                <w:sz w:val="18"/>
                <w:szCs w:val="18"/>
              </w:rPr>
            </w:pPr>
          </w:p>
        </w:tc>
        <w:tc>
          <w:tcPr>
            <w:tcW w:w="708"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113.55</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146.69</w:t>
            </w:r>
          </w:p>
        </w:tc>
        <w:tc>
          <w:tcPr>
            <w:tcW w:w="744" w:type="dxa"/>
            <w:vMerge w:val="continue"/>
            <w:tcBorders>
              <w:top w:val="nil"/>
              <w:left w:val="single" w:color="auto" w:sz="4" w:space="0"/>
              <w:bottom w:val="single" w:color="000000" w:sz="4" w:space="0"/>
              <w:right w:val="single" w:color="auto" w:sz="4" w:space="0"/>
            </w:tcBorders>
            <w:vAlign w:val="center"/>
          </w:tcPr>
          <w:p>
            <w:pPr>
              <w:widowControl/>
              <w:snapToGrid w:val="0"/>
              <w:spacing w:line="240" w:lineRule="auto"/>
              <w:ind w:firstLine="0" w:firstLineChars="0"/>
              <w:jc w:val="center"/>
              <w:rPr>
                <w:rFonts w:ascii="宋体" w:hAnsi="宋体" w:cs="宋体"/>
                <w:color w:val="000000"/>
                <w:kern w:val="0"/>
                <w:sz w:val="18"/>
                <w:szCs w:val="18"/>
              </w:rPr>
            </w:pPr>
          </w:p>
        </w:tc>
        <w:tc>
          <w:tcPr>
            <w:tcW w:w="725"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color w:val="000000"/>
                <w:kern w:val="0"/>
                <w:sz w:val="18"/>
                <w:szCs w:val="18"/>
              </w:rPr>
            </w:pPr>
          </w:p>
        </w:tc>
      </w:tr>
      <w:tr>
        <w:tblPrEx>
          <w:tblLayout w:type="fixed"/>
          <w:tblCellMar>
            <w:top w:w="0" w:type="dxa"/>
            <w:left w:w="28" w:type="dxa"/>
            <w:bottom w:w="0" w:type="dxa"/>
            <w:right w:w="28" w:type="dxa"/>
          </w:tblCellMar>
        </w:tblPrEx>
        <w:trPr>
          <w:trHeight w:val="58" w:hRule="atLeast"/>
          <w:jc w:val="center"/>
        </w:trPr>
        <w:tc>
          <w:tcPr>
            <w:tcW w:w="71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国庆</w:t>
            </w:r>
          </w:p>
        </w:tc>
        <w:tc>
          <w:tcPr>
            <w:tcW w:w="908" w:type="dxa"/>
            <w:tcBorders>
              <w:top w:val="nil"/>
              <w:left w:val="nil"/>
              <w:bottom w:val="single" w:color="auto" w:sz="4" w:space="0"/>
              <w:right w:val="single" w:color="auto" w:sz="4" w:space="0"/>
            </w:tcBorders>
            <w:shd w:val="clear" w:color="auto" w:fill="auto"/>
            <w:vAlign w:val="center"/>
          </w:tcPr>
          <w:p>
            <w:pPr>
              <w:widowControl/>
              <w:snapToGrid w:val="0"/>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游客人次（万人）</w:t>
            </w:r>
          </w:p>
        </w:tc>
        <w:tc>
          <w:tcPr>
            <w:tcW w:w="654"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43.42</w:t>
            </w:r>
          </w:p>
        </w:tc>
        <w:tc>
          <w:tcPr>
            <w:tcW w:w="704"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14.92</w:t>
            </w:r>
          </w:p>
        </w:tc>
        <w:tc>
          <w:tcPr>
            <w:tcW w:w="708"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30.82</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33.87</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50.32</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83.24</w:t>
            </w:r>
          </w:p>
        </w:tc>
        <w:tc>
          <w:tcPr>
            <w:tcW w:w="708"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18.83</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22.73</w:t>
            </w:r>
          </w:p>
        </w:tc>
        <w:tc>
          <w:tcPr>
            <w:tcW w:w="744"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54.17</w:t>
            </w:r>
          </w:p>
        </w:tc>
        <w:tc>
          <w:tcPr>
            <w:tcW w:w="725"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color w:val="000000"/>
                <w:kern w:val="0"/>
                <w:sz w:val="18"/>
                <w:szCs w:val="18"/>
              </w:rPr>
            </w:pPr>
          </w:p>
        </w:tc>
      </w:tr>
      <w:tr>
        <w:tblPrEx>
          <w:tblLayout w:type="fixed"/>
          <w:tblCellMar>
            <w:top w:w="0" w:type="dxa"/>
            <w:left w:w="28" w:type="dxa"/>
            <w:bottom w:w="0" w:type="dxa"/>
            <w:right w:w="28" w:type="dxa"/>
          </w:tblCellMar>
        </w:tblPrEx>
        <w:trPr>
          <w:trHeight w:val="58" w:hRule="atLeast"/>
          <w:jc w:val="center"/>
        </w:trPr>
        <w:tc>
          <w:tcPr>
            <w:tcW w:w="715" w:type="dxa"/>
            <w:vMerge w:val="continue"/>
            <w:tcBorders>
              <w:top w:val="nil"/>
              <w:left w:val="single" w:color="auto" w:sz="4" w:space="0"/>
              <w:bottom w:val="single" w:color="auto" w:sz="4" w:space="0"/>
              <w:right w:val="single" w:color="auto" w:sz="4" w:space="0"/>
            </w:tcBorders>
            <w:vAlign w:val="center"/>
          </w:tcPr>
          <w:p>
            <w:pPr>
              <w:widowControl/>
              <w:snapToGrid w:val="0"/>
              <w:spacing w:line="240" w:lineRule="auto"/>
              <w:ind w:firstLine="0" w:firstLineChars="0"/>
              <w:jc w:val="left"/>
              <w:rPr>
                <w:rFonts w:ascii="宋体" w:hAnsi="宋体" w:cs="宋体"/>
                <w:b/>
                <w:bCs/>
                <w:color w:val="000000"/>
                <w:kern w:val="0"/>
                <w:sz w:val="18"/>
                <w:szCs w:val="18"/>
              </w:rPr>
            </w:pPr>
          </w:p>
        </w:tc>
        <w:tc>
          <w:tcPr>
            <w:tcW w:w="908" w:type="dxa"/>
            <w:tcBorders>
              <w:top w:val="nil"/>
              <w:left w:val="nil"/>
              <w:bottom w:val="single" w:color="auto" w:sz="4" w:space="0"/>
              <w:right w:val="single" w:color="auto" w:sz="4" w:space="0"/>
            </w:tcBorders>
            <w:shd w:val="clear" w:color="auto" w:fill="auto"/>
            <w:vAlign w:val="center"/>
          </w:tcPr>
          <w:p>
            <w:pPr>
              <w:widowControl/>
              <w:snapToGrid w:val="0"/>
              <w:spacing w:line="240" w:lineRule="auto"/>
              <w:ind w:firstLine="0" w:firstLineChars="0"/>
              <w:jc w:val="left"/>
              <w:rPr>
                <w:rFonts w:ascii="宋体" w:hAnsi="宋体" w:cs="宋体"/>
                <w:color w:val="000000"/>
                <w:kern w:val="0"/>
                <w:sz w:val="18"/>
                <w:szCs w:val="18"/>
              </w:rPr>
            </w:pPr>
            <w:r>
              <w:rPr>
                <w:rFonts w:hint="eastAsia" w:ascii="宋体" w:hAnsi="宋体" w:cs="宋体"/>
                <w:color w:val="000000"/>
                <w:kern w:val="0"/>
                <w:sz w:val="18"/>
                <w:szCs w:val="18"/>
              </w:rPr>
              <w:t>门票收入（万元）</w:t>
            </w:r>
          </w:p>
        </w:tc>
        <w:tc>
          <w:tcPr>
            <w:tcW w:w="654"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400.02</w:t>
            </w:r>
          </w:p>
        </w:tc>
        <w:tc>
          <w:tcPr>
            <w:tcW w:w="704"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77.16</w:t>
            </w:r>
          </w:p>
        </w:tc>
        <w:tc>
          <w:tcPr>
            <w:tcW w:w="708"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300.09</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465.90</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608.33</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838.16</w:t>
            </w:r>
          </w:p>
        </w:tc>
        <w:tc>
          <w:tcPr>
            <w:tcW w:w="708"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213.91</w:t>
            </w:r>
          </w:p>
        </w:tc>
        <w:tc>
          <w:tcPr>
            <w:tcW w:w="709"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255.20</w:t>
            </w:r>
          </w:p>
        </w:tc>
        <w:tc>
          <w:tcPr>
            <w:tcW w:w="744"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1118.43</w:t>
            </w:r>
          </w:p>
        </w:tc>
        <w:tc>
          <w:tcPr>
            <w:tcW w:w="725" w:type="dxa"/>
            <w:tcBorders>
              <w:top w:val="nil"/>
              <w:left w:val="nil"/>
              <w:bottom w:val="single" w:color="auto" w:sz="4" w:space="0"/>
              <w:right w:val="single" w:color="auto" w:sz="4" w:space="0"/>
            </w:tcBorders>
            <w:shd w:val="clear" w:color="auto" w:fill="auto"/>
            <w:noWrap/>
            <w:vAlign w:val="center"/>
          </w:tcPr>
          <w:p>
            <w:pPr>
              <w:widowControl/>
              <w:snapToGrid w:val="0"/>
              <w:spacing w:line="240" w:lineRule="auto"/>
              <w:ind w:firstLine="0" w:firstLineChars="0"/>
              <w:jc w:val="center"/>
              <w:rPr>
                <w:rFonts w:ascii="宋体" w:hAnsi="宋体" w:cs="宋体"/>
                <w:color w:val="000000"/>
                <w:kern w:val="0"/>
                <w:sz w:val="18"/>
                <w:szCs w:val="18"/>
              </w:rPr>
            </w:pPr>
          </w:p>
        </w:tc>
      </w:tr>
    </w:tbl>
    <w:p>
      <w:pPr>
        <w:spacing w:before="93" w:beforeLines="30" w:line="240" w:lineRule="auto"/>
        <w:ind w:firstLine="0" w:firstLineChars="0"/>
        <w:rPr>
          <w:rFonts w:ascii="宋体" w:hAnsi="宋体"/>
          <w:b/>
          <w:sz w:val="21"/>
          <w:szCs w:val="21"/>
        </w:rPr>
      </w:pPr>
    </w:p>
    <w:p>
      <w:pPr>
        <w:spacing w:before="93" w:beforeLines="30"/>
        <w:ind w:firstLine="480"/>
        <w:rPr>
          <w:rFonts w:cs="宋体"/>
        </w:rPr>
      </w:pPr>
      <w:r>
        <w:rPr>
          <w:rFonts w:hint="eastAsia" w:cs="宋体"/>
        </w:rPr>
        <w:t>百丈漈景区、刘基庙景区的游客量在2</w:t>
      </w:r>
      <w:r>
        <w:rPr>
          <w:rFonts w:cs="宋体"/>
        </w:rPr>
        <w:t>023</w:t>
      </w:r>
      <w:r>
        <w:rPr>
          <w:rFonts w:hint="eastAsia" w:cs="宋体"/>
        </w:rPr>
        <w:t>年迅速增加，尤其是百丈漈景区，年游客量近百万人。</w:t>
      </w:r>
    </w:p>
    <w:p>
      <w:pPr>
        <w:spacing w:before="93" w:beforeLines="30" w:line="240" w:lineRule="auto"/>
        <w:ind w:firstLine="422"/>
        <w:jc w:val="center"/>
        <w:rPr>
          <w:rFonts w:ascii="宋体" w:hAnsi="宋体"/>
          <w:b/>
          <w:sz w:val="21"/>
          <w:szCs w:val="21"/>
        </w:rPr>
      </w:pPr>
    </w:p>
    <w:p>
      <w:pPr>
        <w:spacing w:before="93" w:beforeLines="30" w:line="240" w:lineRule="auto"/>
        <w:ind w:firstLine="422"/>
        <w:jc w:val="center"/>
        <w:rPr>
          <w:rFonts w:ascii="宋体" w:hAnsi="宋体"/>
          <w:b/>
          <w:sz w:val="21"/>
          <w:szCs w:val="21"/>
        </w:rPr>
      </w:pPr>
      <w:r>
        <w:rPr>
          <w:rFonts w:hint="eastAsia" w:ascii="宋体" w:hAnsi="宋体"/>
          <w:b/>
          <w:sz w:val="21"/>
          <w:szCs w:val="21"/>
        </w:rPr>
        <w:t>表4</w:t>
      </w:r>
      <w:r>
        <w:rPr>
          <w:rFonts w:ascii="宋体" w:hAnsi="宋体"/>
          <w:b/>
          <w:sz w:val="21"/>
          <w:szCs w:val="21"/>
        </w:rPr>
        <w:t xml:space="preserve">-7 </w:t>
      </w:r>
      <w:r>
        <w:rPr>
          <w:rFonts w:hint="eastAsia" w:ascii="宋体" w:hAnsi="宋体"/>
          <w:b/>
          <w:sz w:val="21"/>
          <w:szCs w:val="21"/>
        </w:rPr>
        <w:t>201</w:t>
      </w:r>
      <w:r>
        <w:rPr>
          <w:rFonts w:ascii="宋体" w:hAnsi="宋体"/>
          <w:b/>
          <w:sz w:val="21"/>
          <w:szCs w:val="21"/>
        </w:rPr>
        <w:t>9</w:t>
      </w:r>
      <w:r>
        <w:rPr>
          <w:rFonts w:hint="eastAsia" w:ascii="宋体" w:hAnsi="宋体"/>
          <w:b/>
          <w:sz w:val="21"/>
          <w:szCs w:val="21"/>
        </w:rPr>
        <w:t>-20</w:t>
      </w:r>
      <w:r>
        <w:rPr>
          <w:rFonts w:ascii="宋体" w:hAnsi="宋体"/>
          <w:b/>
          <w:sz w:val="21"/>
          <w:szCs w:val="21"/>
        </w:rPr>
        <w:t>23</w:t>
      </w:r>
      <w:r>
        <w:rPr>
          <w:rFonts w:hint="eastAsia" w:ascii="宋体" w:hAnsi="宋体"/>
          <w:b/>
          <w:sz w:val="21"/>
          <w:szCs w:val="21"/>
        </w:rPr>
        <w:t>年文成县及各大景区游客量变化情况</w:t>
      </w:r>
    </w:p>
    <w:tbl>
      <w:tblPr>
        <w:tblStyle w:val="43"/>
        <w:tblW w:w="872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829"/>
        <w:gridCol w:w="2612"/>
        <w:gridCol w:w="1327"/>
        <w:gridCol w:w="2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49" w:type="dxa"/>
            <w:shd w:val="clear" w:color="auto" w:fill="E2E2E2"/>
            <w:vAlign w:val="center"/>
          </w:tcPr>
          <w:p>
            <w:pPr>
              <w:widowControl/>
              <w:spacing w:line="240" w:lineRule="auto"/>
              <w:ind w:firstLine="0" w:firstLineChars="0"/>
              <w:jc w:val="center"/>
              <w:rPr>
                <w:rFonts w:ascii="宋体" w:hAnsi="宋体" w:cs="宋体"/>
                <w:b/>
                <w:kern w:val="0"/>
                <w:sz w:val="18"/>
                <w:szCs w:val="18"/>
              </w:rPr>
            </w:pPr>
            <w:r>
              <w:rPr>
                <w:rFonts w:hint="eastAsia" w:ascii="宋体" w:hAnsi="宋体" w:cs="宋体"/>
                <w:b/>
                <w:kern w:val="0"/>
                <w:sz w:val="18"/>
                <w:szCs w:val="18"/>
              </w:rPr>
              <w:t>年份</w:t>
            </w:r>
          </w:p>
        </w:tc>
        <w:tc>
          <w:tcPr>
            <w:tcW w:w="1829" w:type="dxa"/>
            <w:shd w:val="clear" w:color="auto" w:fill="E2E2E2"/>
            <w:vAlign w:val="center"/>
          </w:tcPr>
          <w:p>
            <w:pPr>
              <w:widowControl/>
              <w:spacing w:line="240" w:lineRule="auto"/>
              <w:ind w:firstLine="0" w:firstLineChars="0"/>
              <w:jc w:val="center"/>
              <w:rPr>
                <w:rFonts w:ascii="宋体" w:hAnsi="宋体" w:cs="宋体"/>
                <w:b/>
                <w:kern w:val="0"/>
                <w:sz w:val="18"/>
                <w:szCs w:val="18"/>
              </w:rPr>
            </w:pPr>
            <w:r>
              <w:rPr>
                <w:rFonts w:hint="eastAsia" w:ascii="宋体" w:hAnsi="宋体" w:cs="宋体"/>
                <w:b/>
                <w:kern w:val="0"/>
                <w:sz w:val="18"/>
                <w:szCs w:val="18"/>
              </w:rPr>
              <w:t>百丈漈景区游客量（万人）</w:t>
            </w:r>
          </w:p>
        </w:tc>
        <w:tc>
          <w:tcPr>
            <w:tcW w:w="2612" w:type="dxa"/>
            <w:shd w:val="clear" w:color="auto" w:fill="E2E2E2"/>
            <w:vAlign w:val="center"/>
          </w:tcPr>
          <w:p>
            <w:pPr>
              <w:widowControl/>
              <w:spacing w:line="240" w:lineRule="auto"/>
              <w:ind w:firstLine="0" w:firstLineChars="0"/>
              <w:jc w:val="center"/>
              <w:rPr>
                <w:rFonts w:ascii="宋体" w:hAnsi="宋体" w:cs="宋体"/>
                <w:b/>
                <w:kern w:val="0"/>
                <w:sz w:val="18"/>
                <w:szCs w:val="18"/>
              </w:rPr>
            </w:pPr>
            <w:r>
              <w:rPr>
                <w:rFonts w:hint="eastAsia" w:ascii="宋体" w:hAnsi="宋体" w:cs="宋体"/>
                <w:b/>
                <w:kern w:val="0"/>
                <w:sz w:val="18"/>
                <w:szCs w:val="18"/>
              </w:rPr>
              <w:t>百丈漈景区单日最高游客接待量（万人）</w:t>
            </w:r>
          </w:p>
        </w:tc>
        <w:tc>
          <w:tcPr>
            <w:tcW w:w="1327" w:type="dxa"/>
            <w:shd w:val="clear" w:color="auto" w:fill="E2E2E2"/>
            <w:vAlign w:val="center"/>
          </w:tcPr>
          <w:p>
            <w:pPr>
              <w:widowControl/>
              <w:spacing w:line="240" w:lineRule="auto"/>
              <w:ind w:firstLine="0" w:firstLineChars="0"/>
              <w:jc w:val="center"/>
              <w:rPr>
                <w:rFonts w:ascii="宋体" w:hAnsi="宋体" w:cs="宋体"/>
                <w:b/>
                <w:kern w:val="0"/>
                <w:sz w:val="18"/>
                <w:szCs w:val="18"/>
              </w:rPr>
            </w:pPr>
            <w:r>
              <w:rPr>
                <w:rFonts w:hint="eastAsia" w:ascii="宋体" w:hAnsi="宋体" w:cs="宋体"/>
                <w:b/>
                <w:kern w:val="0"/>
                <w:sz w:val="18"/>
                <w:szCs w:val="18"/>
              </w:rPr>
              <w:t>刘基庙景区游客量（万人）</w:t>
            </w:r>
          </w:p>
        </w:tc>
        <w:tc>
          <w:tcPr>
            <w:tcW w:w="2109" w:type="dxa"/>
            <w:shd w:val="clear" w:color="auto" w:fill="E2E2E2"/>
            <w:vAlign w:val="center"/>
          </w:tcPr>
          <w:p>
            <w:pPr>
              <w:widowControl/>
              <w:spacing w:line="240" w:lineRule="auto"/>
              <w:ind w:firstLine="0" w:firstLineChars="0"/>
              <w:jc w:val="center"/>
              <w:rPr>
                <w:rFonts w:ascii="宋体" w:hAnsi="宋体" w:cs="宋体"/>
                <w:b/>
                <w:kern w:val="0"/>
                <w:sz w:val="18"/>
                <w:szCs w:val="18"/>
              </w:rPr>
            </w:pPr>
            <w:r>
              <w:rPr>
                <w:rFonts w:hint="eastAsia" w:ascii="宋体" w:hAnsi="宋体" w:cs="宋体"/>
                <w:b/>
                <w:kern w:val="0"/>
                <w:sz w:val="18"/>
                <w:szCs w:val="18"/>
              </w:rPr>
              <w:t>刘基庙单日最高游客接待量（万人）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9" w:type="dxa"/>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20</w:t>
            </w:r>
            <w:r>
              <w:rPr>
                <w:rFonts w:ascii="宋体" w:hAnsi="宋体" w:cs="宋体"/>
                <w:kern w:val="0"/>
                <w:sz w:val="18"/>
                <w:szCs w:val="18"/>
              </w:rPr>
              <w:t>19</w:t>
            </w:r>
            <w:r>
              <w:rPr>
                <w:rFonts w:hint="eastAsia" w:ascii="宋体" w:hAnsi="宋体" w:cs="宋体"/>
                <w:kern w:val="0"/>
                <w:sz w:val="18"/>
                <w:szCs w:val="18"/>
              </w:rPr>
              <w:t>年</w:t>
            </w:r>
          </w:p>
        </w:tc>
        <w:tc>
          <w:tcPr>
            <w:tcW w:w="1829" w:type="dxa"/>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2</w:t>
            </w:r>
            <w:r>
              <w:rPr>
                <w:rFonts w:ascii="宋体" w:hAnsi="宋体" w:cs="宋体"/>
                <w:kern w:val="0"/>
                <w:sz w:val="18"/>
                <w:szCs w:val="18"/>
              </w:rPr>
              <w:t>7.7</w:t>
            </w:r>
          </w:p>
        </w:tc>
        <w:tc>
          <w:tcPr>
            <w:tcW w:w="2612" w:type="dxa"/>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0</w:t>
            </w:r>
            <w:r>
              <w:rPr>
                <w:rFonts w:ascii="宋体" w:hAnsi="宋体" w:cs="宋体"/>
                <w:kern w:val="0"/>
                <w:sz w:val="18"/>
                <w:szCs w:val="18"/>
              </w:rPr>
              <w:t>.8</w:t>
            </w:r>
          </w:p>
        </w:tc>
        <w:tc>
          <w:tcPr>
            <w:tcW w:w="1327" w:type="dxa"/>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7</w:t>
            </w:r>
            <w:r>
              <w:rPr>
                <w:rFonts w:ascii="宋体" w:hAnsi="宋体" w:cs="宋体"/>
                <w:kern w:val="0"/>
                <w:sz w:val="18"/>
                <w:szCs w:val="18"/>
              </w:rPr>
              <w:t>.5</w:t>
            </w:r>
          </w:p>
        </w:tc>
        <w:tc>
          <w:tcPr>
            <w:tcW w:w="2109" w:type="dxa"/>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0</w:t>
            </w:r>
            <w:r>
              <w:rPr>
                <w:rFonts w:ascii="宋体" w:hAnsi="宋体"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9" w:type="dxa"/>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2</w:t>
            </w:r>
            <w:r>
              <w:rPr>
                <w:rFonts w:ascii="宋体" w:hAnsi="宋体" w:cs="宋体"/>
                <w:kern w:val="0"/>
                <w:sz w:val="18"/>
                <w:szCs w:val="18"/>
              </w:rPr>
              <w:t>020</w:t>
            </w:r>
            <w:r>
              <w:rPr>
                <w:rFonts w:hint="eastAsia" w:ascii="宋体" w:hAnsi="宋体" w:cs="宋体"/>
                <w:kern w:val="0"/>
                <w:sz w:val="18"/>
                <w:szCs w:val="18"/>
              </w:rPr>
              <w:t>年</w:t>
            </w:r>
          </w:p>
        </w:tc>
        <w:tc>
          <w:tcPr>
            <w:tcW w:w="1829" w:type="dxa"/>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3</w:t>
            </w:r>
            <w:r>
              <w:rPr>
                <w:rFonts w:ascii="宋体" w:hAnsi="宋体" w:cs="宋体"/>
                <w:kern w:val="0"/>
                <w:sz w:val="18"/>
                <w:szCs w:val="18"/>
              </w:rPr>
              <w:t>0.8</w:t>
            </w:r>
          </w:p>
        </w:tc>
        <w:tc>
          <w:tcPr>
            <w:tcW w:w="2612" w:type="dxa"/>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0</w:t>
            </w:r>
            <w:r>
              <w:rPr>
                <w:rFonts w:ascii="宋体" w:hAnsi="宋体" w:cs="宋体"/>
                <w:kern w:val="0"/>
                <w:sz w:val="18"/>
                <w:szCs w:val="18"/>
              </w:rPr>
              <w:t>.9</w:t>
            </w:r>
          </w:p>
        </w:tc>
        <w:tc>
          <w:tcPr>
            <w:tcW w:w="1327" w:type="dxa"/>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0.4</w:t>
            </w:r>
          </w:p>
        </w:tc>
        <w:tc>
          <w:tcPr>
            <w:tcW w:w="2109" w:type="dxa"/>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0</w:t>
            </w:r>
            <w:r>
              <w:rPr>
                <w:rFonts w:ascii="宋体" w:hAnsi="宋体"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9" w:type="dxa"/>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2</w:t>
            </w:r>
            <w:r>
              <w:rPr>
                <w:rFonts w:ascii="宋体" w:hAnsi="宋体" w:cs="宋体"/>
                <w:kern w:val="0"/>
                <w:sz w:val="18"/>
                <w:szCs w:val="18"/>
              </w:rPr>
              <w:t>021</w:t>
            </w:r>
            <w:r>
              <w:rPr>
                <w:rFonts w:hint="eastAsia" w:ascii="宋体" w:hAnsi="宋体" w:cs="宋体"/>
                <w:kern w:val="0"/>
                <w:sz w:val="18"/>
                <w:szCs w:val="18"/>
              </w:rPr>
              <w:t>年</w:t>
            </w:r>
          </w:p>
        </w:tc>
        <w:tc>
          <w:tcPr>
            <w:tcW w:w="1829" w:type="dxa"/>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2</w:t>
            </w:r>
            <w:r>
              <w:rPr>
                <w:rFonts w:ascii="宋体" w:hAnsi="宋体" w:cs="宋体"/>
                <w:kern w:val="0"/>
                <w:sz w:val="18"/>
                <w:szCs w:val="18"/>
              </w:rPr>
              <w:t>9.2</w:t>
            </w:r>
          </w:p>
        </w:tc>
        <w:tc>
          <w:tcPr>
            <w:tcW w:w="2612" w:type="dxa"/>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.1</w:t>
            </w:r>
          </w:p>
        </w:tc>
        <w:tc>
          <w:tcPr>
            <w:tcW w:w="1327" w:type="dxa"/>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8</w:t>
            </w:r>
            <w:r>
              <w:rPr>
                <w:rFonts w:ascii="宋体" w:hAnsi="宋体" w:cs="宋体"/>
                <w:kern w:val="0"/>
                <w:sz w:val="18"/>
                <w:szCs w:val="18"/>
              </w:rPr>
              <w:t>.7</w:t>
            </w:r>
          </w:p>
        </w:tc>
        <w:tc>
          <w:tcPr>
            <w:tcW w:w="2109" w:type="dxa"/>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0</w:t>
            </w:r>
            <w:r>
              <w:rPr>
                <w:rFonts w:ascii="宋体" w:hAnsi="宋体"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9" w:type="dxa"/>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2</w:t>
            </w:r>
            <w:r>
              <w:rPr>
                <w:rFonts w:ascii="宋体" w:hAnsi="宋体" w:cs="宋体"/>
                <w:kern w:val="0"/>
                <w:sz w:val="18"/>
                <w:szCs w:val="18"/>
              </w:rPr>
              <w:t>022</w:t>
            </w:r>
            <w:r>
              <w:rPr>
                <w:rFonts w:hint="eastAsia" w:ascii="宋体" w:hAnsi="宋体" w:cs="宋体"/>
                <w:kern w:val="0"/>
                <w:sz w:val="18"/>
                <w:szCs w:val="18"/>
              </w:rPr>
              <w:t>年</w:t>
            </w:r>
          </w:p>
        </w:tc>
        <w:tc>
          <w:tcPr>
            <w:tcW w:w="1829" w:type="dxa"/>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6.1</w:t>
            </w:r>
          </w:p>
        </w:tc>
        <w:tc>
          <w:tcPr>
            <w:tcW w:w="2612" w:type="dxa"/>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0</w:t>
            </w:r>
            <w:r>
              <w:rPr>
                <w:rFonts w:ascii="宋体" w:hAnsi="宋体" w:cs="宋体"/>
                <w:kern w:val="0"/>
                <w:sz w:val="18"/>
                <w:szCs w:val="18"/>
              </w:rPr>
              <w:t>.6</w:t>
            </w:r>
          </w:p>
        </w:tc>
        <w:tc>
          <w:tcPr>
            <w:tcW w:w="1327" w:type="dxa"/>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6</w:t>
            </w:r>
            <w:r>
              <w:rPr>
                <w:rFonts w:ascii="宋体" w:hAnsi="宋体" w:cs="宋体"/>
                <w:kern w:val="0"/>
                <w:sz w:val="18"/>
                <w:szCs w:val="18"/>
              </w:rPr>
              <w:t>.6</w:t>
            </w:r>
          </w:p>
        </w:tc>
        <w:tc>
          <w:tcPr>
            <w:tcW w:w="2109" w:type="dxa"/>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0</w:t>
            </w:r>
            <w:r>
              <w:rPr>
                <w:rFonts w:ascii="宋体" w:hAnsi="宋体"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9" w:type="dxa"/>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2</w:t>
            </w:r>
            <w:r>
              <w:rPr>
                <w:rFonts w:ascii="宋体" w:hAnsi="宋体" w:cs="宋体"/>
                <w:kern w:val="0"/>
                <w:sz w:val="18"/>
                <w:szCs w:val="18"/>
              </w:rPr>
              <w:t>023</w:t>
            </w:r>
            <w:r>
              <w:rPr>
                <w:rFonts w:hint="eastAsia" w:ascii="宋体" w:hAnsi="宋体" w:cs="宋体"/>
                <w:kern w:val="0"/>
                <w:sz w:val="18"/>
                <w:szCs w:val="18"/>
              </w:rPr>
              <w:t>年</w:t>
            </w:r>
          </w:p>
        </w:tc>
        <w:tc>
          <w:tcPr>
            <w:tcW w:w="1829" w:type="dxa"/>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9</w:t>
            </w:r>
            <w:r>
              <w:rPr>
                <w:rFonts w:ascii="宋体" w:hAnsi="宋体" w:cs="宋体"/>
                <w:kern w:val="0"/>
                <w:sz w:val="18"/>
                <w:szCs w:val="18"/>
              </w:rPr>
              <w:t>7.2</w:t>
            </w:r>
          </w:p>
        </w:tc>
        <w:tc>
          <w:tcPr>
            <w:tcW w:w="2612" w:type="dxa"/>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.7</w:t>
            </w:r>
          </w:p>
        </w:tc>
        <w:tc>
          <w:tcPr>
            <w:tcW w:w="1327" w:type="dxa"/>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2</w:t>
            </w:r>
            <w:r>
              <w:rPr>
                <w:rFonts w:ascii="宋体" w:hAnsi="宋体" w:cs="宋体"/>
                <w:kern w:val="0"/>
                <w:sz w:val="18"/>
                <w:szCs w:val="18"/>
              </w:rPr>
              <w:t>3.4</w:t>
            </w:r>
          </w:p>
        </w:tc>
        <w:tc>
          <w:tcPr>
            <w:tcW w:w="2109" w:type="dxa"/>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0</w:t>
            </w:r>
            <w:r>
              <w:rPr>
                <w:rFonts w:ascii="宋体" w:hAnsi="宋体" w:cs="宋体"/>
                <w:kern w:val="0"/>
                <w:sz w:val="18"/>
                <w:szCs w:val="18"/>
              </w:rPr>
              <w:t>.5</w:t>
            </w:r>
          </w:p>
        </w:tc>
      </w:tr>
    </w:tbl>
    <w:p>
      <w:pPr>
        <w:spacing w:before="93" w:beforeLines="30"/>
        <w:ind w:firstLine="0" w:firstLineChars="0"/>
        <w:rPr>
          <w:rFonts w:cs="宋体"/>
        </w:rPr>
      </w:pPr>
    </w:p>
    <w:p>
      <w:pPr>
        <w:spacing w:before="93" w:beforeLines="30"/>
        <w:ind w:firstLine="482"/>
        <w:rPr>
          <w:rFonts w:cs="宋体"/>
          <w:b/>
        </w:rPr>
      </w:pPr>
      <w:r>
        <w:rPr>
          <w:rFonts w:hint="eastAsia" w:cs="宋体"/>
          <w:b/>
        </w:rPr>
        <w:t>2、游客规模预测</w:t>
      </w:r>
    </w:p>
    <w:p>
      <w:pPr>
        <w:spacing w:before="93" w:beforeLines="30"/>
        <w:ind w:firstLine="480"/>
        <w:rPr>
          <w:rFonts w:cs="宋体"/>
        </w:rPr>
      </w:pPr>
      <w:r>
        <w:rPr>
          <w:rFonts w:hint="eastAsia" w:cs="宋体"/>
        </w:rPr>
        <w:t>（1）游人规模预测</w:t>
      </w:r>
    </w:p>
    <w:p>
      <w:pPr>
        <w:spacing w:before="93" w:beforeLines="30"/>
        <w:ind w:firstLine="480"/>
        <w:rPr>
          <w:rFonts w:cs="宋体"/>
        </w:rPr>
      </w:pPr>
      <w:r>
        <w:rPr>
          <w:rFonts w:hint="eastAsia" w:cs="宋体"/>
        </w:rPr>
        <w:t>游人规模预测在发展实践中受到多重因素的影响，应当不断依据新的条件做出微调。现有预测遵循近期加速发展、中远期平稳发展的原则，每预测年分别给出高速、中速、低速3种预测方案，规划推荐中速方案。</w:t>
      </w:r>
    </w:p>
    <w:p>
      <w:pPr>
        <w:spacing w:before="93" w:beforeLines="30"/>
        <w:ind w:firstLine="480"/>
        <w:rPr>
          <w:rFonts w:cs="宋体"/>
        </w:rPr>
      </w:pPr>
      <w:r>
        <w:rPr>
          <w:rFonts w:hint="eastAsia" w:cs="宋体"/>
        </w:rPr>
        <w:t>中速方案游客以20</w:t>
      </w:r>
      <w:r>
        <w:rPr>
          <w:rFonts w:cs="宋体"/>
        </w:rPr>
        <w:t>23</w:t>
      </w:r>
      <w:r>
        <w:rPr>
          <w:rFonts w:hint="eastAsia" w:cs="宋体"/>
        </w:rPr>
        <w:t>年的</w:t>
      </w:r>
      <w:r>
        <w:rPr>
          <w:rFonts w:cs="宋体"/>
        </w:rPr>
        <w:t>355</w:t>
      </w:r>
      <w:r>
        <w:rPr>
          <w:rFonts w:hint="eastAsia" w:cs="宋体"/>
        </w:rPr>
        <w:t>万人次为基数，20</w:t>
      </w:r>
      <w:r>
        <w:rPr>
          <w:rFonts w:cs="宋体"/>
        </w:rPr>
        <w:t>23</w:t>
      </w:r>
      <w:r>
        <w:rPr>
          <w:rFonts w:hint="eastAsia" w:cs="宋体"/>
        </w:rPr>
        <w:t>～2025年按年均10％的速度增长，2025～2035按年均5％的速度增长预测。规划预测至2</w:t>
      </w:r>
      <w:r>
        <w:rPr>
          <w:rFonts w:cs="宋体"/>
        </w:rPr>
        <w:t>025</w:t>
      </w:r>
      <w:r>
        <w:rPr>
          <w:rFonts w:hint="eastAsia" w:cs="宋体"/>
        </w:rPr>
        <w:t>年，年游客量约为4</w:t>
      </w:r>
      <w:r>
        <w:rPr>
          <w:rFonts w:cs="宋体"/>
        </w:rPr>
        <w:t>29.55</w:t>
      </w:r>
      <w:r>
        <w:rPr>
          <w:rFonts w:hint="eastAsia" w:cs="宋体"/>
        </w:rPr>
        <w:t>万人次；至2</w:t>
      </w:r>
      <w:r>
        <w:rPr>
          <w:rFonts w:cs="宋体"/>
        </w:rPr>
        <w:t>030</w:t>
      </w:r>
      <w:r>
        <w:rPr>
          <w:rFonts w:hint="eastAsia" w:cs="宋体"/>
        </w:rPr>
        <w:t>年，年游客量约为6</w:t>
      </w:r>
      <w:r>
        <w:rPr>
          <w:rFonts w:cs="宋体"/>
        </w:rPr>
        <w:t>91.80</w:t>
      </w:r>
      <w:r>
        <w:rPr>
          <w:rFonts w:hint="eastAsia" w:cs="宋体"/>
        </w:rPr>
        <w:t>万人次；至2</w:t>
      </w:r>
      <w:r>
        <w:rPr>
          <w:rFonts w:cs="宋体"/>
        </w:rPr>
        <w:t>035</w:t>
      </w:r>
      <w:r>
        <w:rPr>
          <w:rFonts w:hint="eastAsia" w:cs="宋体"/>
        </w:rPr>
        <w:t>年，年游客量约为1</w:t>
      </w:r>
      <w:r>
        <w:rPr>
          <w:rFonts w:cs="宋体"/>
        </w:rPr>
        <w:t>114.14</w:t>
      </w:r>
      <w:r>
        <w:rPr>
          <w:rFonts w:hint="eastAsia" w:cs="宋体"/>
        </w:rPr>
        <w:t>万人次。</w:t>
      </w:r>
    </w:p>
    <w:p>
      <w:pPr>
        <w:adjustRightInd w:val="0"/>
        <w:snapToGrid w:val="0"/>
        <w:spacing w:before="156" w:beforeLines="50" w:after="156" w:afterLines="50" w:line="600" w:lineRule="exact"/>
        <w:ind w:firstLine="422"/>
        <w:jc w:val="center"/>
        <w:rPr>
          <w:rFonts w:ascii="宋体" w:hAnsi="宋体"/>
          <w:b/>
          <w:sz w:val="21"/>
          <w:szCs w:val="21"/>
        </w:rPr>
      </w:pPr>
      <w:r>
        <w:rPr>
          <w:rFonts w:hint="eastAsia" w:ascii="宋体" w:hAnsi="宋体"/>
          <w:b/>
          <w:sz w:val="21"/>
          <w:szCs w:val="21"/>
        </w:rPr>
        <w:t>表4</w:t>
      </w:r>
      <w:r>
        <w:rPr>
          <w:rFonts w:ascii="宋体" w:hAnsi="宋体"/>
          <w:b/>
          <w:sz w:val="21"/>
          <w:szCs w:val="21"/>
        </w:rPr>
        <w:t xml:space="preserve">-8 </w:t>
      </w:r>
      <w:r>
        <w:rPr>
          <w:rFonts w:hint="eastAsia" w:ascii="宋体" w:hAnsi="宋体"/>
          <w:b/>
          <w:sz w:val="21"/>
          <w:szCs w:val="21"/>
        </w:rPr>
        <w:t>游客</w:t>
      </w:r>
      <w:r>
        <w:rPr>
          <w:rFonts w:ascii="宋体" w:hAnsi="宋体"/>
          <w:b/>
          <w:sz w:val="21"/>
          <w:szCs w:val="21"/>
        </w:rPr>
        <w:t>规模预测表</w:t>
      </w:r>
      <w:r>
        <w:rPr>
          <w:rFonts w:hint="eastAsia" w:ascii="宋体" w:hAnsi="宋体"/>
          <w:b/>
          <w:sz w:val="21"/>
          <w:szCs w:val="21"/>
        </w:rPr>
        <w:t>（万人次）</w:t>
      </w:r>
    </w:p>
    <w:tbl>
      <w:tblPr>
        <w:tblStyle w:val="42"/>
        <w:tblW w:w="8795"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
      <w:tblGrid>
        <w:gridCol w:w="924"/>
        <w:gridCol w:w="841"/>
        <w:gridCol w:w="733"/>
        <w:gridCol w:w="775"/>
        <w:gridCol w:w="775"/>
        <w:gridCol w:w="775"/>
        <w:gridCol w:w="775"/>
        <w:gridCol w:w="775"/>
        <w:gridCol w:w="872"/>
        <w:gridCol w:w="775"/>
        <w:gridCol w:w="77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Ex>
        <w:trPr>
          <w:trHeight w:val="297" w:hRule="atLeast"/>
          <w:jc w:val="center"/>
        </w:trPr>
        <w:tc>
          <w:tcPr>
            <w:tcW w:w="924" w:type="dxa"/>
            <w:shd w:val="clear" w:color="auto" w:fill="E2E2E2"/>
            <w:vAlign w:val="center"/>
          </w:tcPr>
          <w:p>
            <w:pPr>
              <w:widowControl/>
              <w:spacing w:line="240" w:lineRule="auto"/>
              <w:ind w:firstLine="0" w:firstLineChars="0"/>
              <w:jc w:val="center"/>
              <w:rPr>
                <w:rFonts w:ascii="宋体" w:hAnsi="宋体" w:cs="宋体"/>
                <w:b/>
                <w:kern w:val="0"/>
                <w:sz w:val="18"/>
                <w:szCs w:val="18"/>
              </w:rPr>
            </w:pPr>
            <w:r>
              <w:rPr>
                <w:rFonts w:hint="eastAsia" w:ascii="宋体" w:hAnsi="宋体" w:cs="宋体"/>
                <w:b/>
                <w:kern w:val="0"/>
                <w:sz w:val="18"/>
                <w:szCs w:val="18"/>
              </w:rPr>
              <w:t>年份</w:t>
            </w:r>
          </w:p>
        </w:tc>
        <w:tc>
          <w:tcPr>
            <w:tcW w:w="841" w:type="dxa"/>
            <w:shd w:val="clear" w:color="auto" w:fill="E2E2E2"/>
            <w:vAlign w:val="center"/>
          </w:tcPr>
          <w:p>
            <w:pPr>
              <w:widowControl/>
              <w:spacing w:line="240" w:lineRule="auto"/>
              <w:ind w:firstLine="0" w:firstLineChars="0"/>
              <w:jc w:val="center"/>
              <w:rPr>
                <w:rFonts w:ascii="宋体" w:hAnsi="宋体" w:cs="宋体"/>
                <w:b/>
                <w:kern w:val="0"/>
                <w:sz w:val="18"/>
                <w:szCs w:val="18"/>
              </w:rPr>
            </w:pPr>
            <w:r>
              <w:rPr>
                <w:rFonts w:hint="eastAsia" w:ascii="宋体" w:hAnsi="宋体" w:cs="宋体"/>
                <w:b/>
                <w:kern w:val="0"/>
                <w:sz w:val="18"/>
                <w:szCs w:val="18"/>
              </w:rPr>
              <w:t>20</w:t>
            </w:r>
            <w:r>
              <w:rPr>
                <w:rFonts w:ascii="宋体" w:hAnsi="宋体" w:cs="宋体"/>
                <w:b/>
                <w:kern w:val="0"/>
                <w:sz w:val="18"/>
                <w:szCs w:val="18"/>
              </w:rPr>
              <w:t>23</w:t>
            </w:r>
            <w:r>
              <w:rPr>
                <w:rFonts w:hint="eastAsia" w:ascii="宋体" w:hAnsi="宋体" w:cs="宋体"/>
                <w:b/>
                <w:kern w:val="0"/>
                <w:sz w:val="18"/>
                <w:szCs w:val="18"/>
              </w:rPr>
              <w:t>年</w:t>
            </w:r>
          </w:p>
        </w:tc>
        <w:tc>
          <w:tcPr>
            <w:tcW w:w="2283" w:type="dxa"/>
            <w:gridSpan w:val="3"/>
            <w:shd w:val="clear" w:color="auto" w:fill="E2E2E2"/>
            <w:vAlign w:val="center"/>
          </w:tcPr>
          <w:p>
            <w:pPr>
              <w:widowControl/>
              <w:spacing w:line="240" w:lineRule="auto"/>
              <w:ind w:firstLine="0" w:firstLineChars="0"/>
              <w:jc w:val="center"/>
              <w:rPr>
                <w:rFonts w:ascii="宋体" w:hAnsi="宋体" w:cs="宋体"/>
                <w:b/>
                <w:kern w:val="0"/>
                <w:sz w:val="18"/>
                <w:szCs w:val="18"/>
              </w:rPr>
            </w:pPr>
            <w:r>
              <w:rPr>
                <w:rFonts w:hint="eastAsia" w:ascii="宋体" w:hAnsi="宋体" w:cs="宋体"/>
                <w:b/>
                <w:kern w:val="0"/>
                <w:sz w:val="18"/>
                <w:szCs w:val="18"/>
              </w:rPr>
              <w:t>20</w:t>
            </w:r>
            <w:r>
              <w:rPr>
                <w:rFonts w:ascii="宋体" w:hAnsi="宋体" w:cs="宋体"/>
                <w:b/>
                <w:kern w:val="0"/>
                <w:sz w:val="18"/>
                <w:szCs w:val="18"/>
              </w:rPr>
              <w:t>25</w:t>
            </w:r>
            <w:r>
              <w:rPr>
                <w:rFonts w:hint="eastAsia" w:ascii="宋体" w:hAnsi="宋体" w:cs="宋体"/>
                <w:b/>
                <w:kern w:val="0"/>
                <w:sz w:val="18"/>
                <w:szCs w:val="18"/>
              </w:rPr>
              <w:t>年</w:t>
            </w:r>
          </w:p>
        </w:tc>
        <w:tc>
          <w:tcPr>
            <w:tcW w:w="2325" w:type="dxa"/>
            <w:gridSpan w:val="3"/>
            <w:shd w:val="clear" w:color="auto" w:fill="E2E2E2"/>
            <w:vAlign w:val="center"/>
          </w:tcPr>
          <w:p>
            <w:pPr>
              <w:widowControl/>
              <w:spacing w:line="240" w:lineRule="auto"/>
              <w:ind w:firstLine="0" w:firstLineChars="0"/>
              <w:jc w:val="center"/>
              <w:rPr>
                <w:rFonts w:ascii="宋体" w:hAnsi="宋体" w:cs="宋体"/>
                <w:b/>
                <w:kern w:val="0"/>
                <w:sz w:val="18"/>
                <w:szCs w:val="18"/>
              </w:rPr>
            </w:pPr>
            <w:r>
              <w:rPr>
                <w:rFonts w:hint="eastAsia" w:ascii="宋体" w:hAnsi="宋体" w:cs="宋体"/>
                <w:b/>
                <w:kern w:val="0"/>
                <w:sz w:val="18"/>
                <w:szCs w:val="18"/>
              </w:rPr>
              <w:t>20</w:t>
            </w:r>
            <w:r>
              <w:rPr>
                <w:rFonts w:ascii="宋体" w:hAnsi="宋体" w:cs="宋体"/>
                <w:b/>
                <w:kern w:val="0"/>
                <w:sz w:val="18"/>
                <w:szCs w:val="18"/>
              </w:rPr>
              <w:t>30</w:t>
            </w:r>
            <w:r>
              <w:rPr>
                <w:rFonts w:hint="eastAsia" w:ascii="宋体" w:hAnsi="宋体" w:cs="宋体"/>
                <w:b/>
                <w:kern w:val="0"/>
                <w:sz w:val="18"/>
                <w:szCs w:val="18"/>
              </w:rPr>
              <w:t>年</w:t>
            </w:r>
          </w:p>
        </w:tc>
        <w:tc>
          <w:tcPr>
            <w:tcW w:w="2422" w:type="dxa"/>
            <w:gridSpan w:val="3"/>
            <w:shd w:val="clear" w:color="auto" w:fill="E2E2E2"/>
            <w:vAlign w:val="center"/>
          </w:tcPr>
          <w:p>
            <w:pPr>
              <w:widowControl/>
              <w:spacing w:line="240" w:lineRule="auto"/>
              <w:ind w:firstLine="0" w:firstLineChars="0"/>
              <w:jc w:val="center"/>
              <w:rPr>
                <w:rFonts w:ascii="宋体" w:hAnsi="宋体" w:cs="宋体"/>
                <w:b/>
                <w:kern w:val="0"/>
                <w:sz w:val="18"/>
                <w:szCs w:val="18"/>
              </w:rPr>
            </w:pPr>
            <w:r>
              <w:rPr>
                <w:rFonts w:hint="eastAsia" w:ascii="宋体" w:hAnsi="宋体" w:cs="宋体"/>
                <w:b/>
                <w:kern w:val="0"/>
                <w:sz w:val="18"/>
                <w:szCs w:val="18"/>
              </w:rPr>
              <w:t>20</w:t>
            </w:r>
            <w:r>
              <w:rPr>
                <w:rFonts w:ascii="宋体" w:hAnsi="宋体" w:cs="宋体"/>
                <w:b/>
                <w:kern w:val="0"/>
                <w:sz w:val="18"/>
                <w:szCs w:val="18"/>
              </w:rPr>
              <w:t>35</w:t>
            </w:r>
            <w:r>
              <w:rPr>
                <w:rFonts w:hint="eastAsia" w:ascii="宋体" w:hAnsi="宋体" w:cs="宋体"/>
                <w:b/>
                <w:kern w:val="0"/>
                <w:sz w:val="18"/>
                <w:szCs w:val="18"/>
              </w:rPr>
              <w:t>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Ex>
        <w:trPr>
          <w:trHeight w:val="176" w:hRule="atLeast"/>
          <w:jc w:val="center"/>
        </w:trPr>
        <w:tc>
          <w:tcPr>
            <w:tcW w:w="924" w:type="dxa"/>
            <w:shd w:val="clear" w:color="auto" w:fill="auto"/>
            <w:vAlign w:val="center"/>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方案</w:t>
            </w:r>
          </w:p>
        </w:tc>
        <w:tc>
          <w:tcPr>
            <w:tcW w:w="841" w:type="dxa"/>
            <w:shd w:val="clear" w:color="auto" w:fill="auto"/>
            <w:vAlign w:val="center"/>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基年</w:t>
            </w:r>
          </w:p>
        </w:tc>
        <w:tc>
          <w:tcPr>
            <w:tcW w:w="733" w:type="dxa"/>
            <w:shd w:val="clear" w:color="auto" w:fill="auto"/>
            <w:vAlign w:val="center"/>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高</w:t>
            </w:r>
          </w:p>
        </w:tc>
        <w:tc>
          <w:tcPr>
            <w:tcW w:w="775" w:type="dxa"/>
            <w:shd w:val="clear" w:color="auto" w:fill="auto"/>
            <w:vAlign w:val="center"/>
          </w:tcPr>
          <w:p>
            <w:pPr>
              <w:widowControl/>
              <w:spacing w:line="240" w:lineRule="auto"/>
              <w:ind w:firstLine="0" w:firstLineChars="0"/>
              <w:jc w:val="center"/>
              <w:rPr>
                <w:rFonts w:ascii="宋体" w:hAnsi="宋体" w:cs="宋体"/>
                <w:b/>
                <w:kern w:val="0"/>
                <w:sz w:val="18"/>
                <w:szCs w:val="18"/>
              </w:rPr>
            </w:pPr>
            <w:r>
              <w:rPr>
                <w:rFonts w:hint="eastAsia" w:ascii="宋体" w:hAnsi="宋体" w:cs="宋体"/>
                <w:b/>
                <w:kern w:val="0"/>
                <w:sz w:val="18"/>
                <w:szCs w:val="18"/>
              </w:rPr>
              <w:t>中</w:t>
            </w:r>
          </w:p>
        </w:tc>
        <w:tc>
          <w:tcPr>
            <w:tcW w:w="775" w:type="dxa"/>
            <w:shd w:val="clear" w:color="auto" w:fill="auto"/>
            <w:vAlign w:val="center"/>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低</w:t>
            </w:r>
          </w:p>
        </w:tc>
        <w:tc>
          <w:tcPr>
            <w:tcW w:w="775" w:type="dxa"/>
            <w:shd w:val="clear" w:color="auto" w:fill="auto"/>
            <w:vAlign w:val="center"/>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高</w:t>
            </w:r>
          </w:p>
        </w:tc>
        <w:tc>
          <w:tcPr>
            <w:tcW w:w="775" w:type="dxa"/>
            <w:shd w:val="clear" w:color="auto" w:fill="auto"/>
            <w:vAlign w:val="center"/>
          </w:tcPr>
          <w:p>
            <w:pPr>
              <w:widowControl/>
              <w:spacing w:line="240" w:lineRule="auto"/>
              <w:ind w:firstLine="0" w:firstLineChars="0"/>
              <w:jc w:val="center"/>
              <w:rPr>
                <w:rFonts w:ascii="宋体" w:hAnsi="宋体" w:cs="宋体"/>
                <w:b/>
                <w:kern w:val="0"/>
                <w:sz w:val="18"/>
                <w:szCs w:val="18"/>
              </w:rPr>
            </w:pPr>
            <w:r>
              <w:rPr>
                <w:rFonts w:hint="eastAsia" w:ascii="宋体" w:hAnsi="宋体" w:cs="宋体"/>
                <w:b/>
                <w:kern w:val="0"/>
                <w:sz w:val="18"/>
                <w:szCs w:val="18"/>
              </w:rPr>
              <w:t>中</w:t>
            </w:r>
          </w:p>
        </w:tc>
        <w:tc>
          <w:tcPr>
            <w:tcW w:w="775" w:type="dxa"/>
            <w:shd w:val="clear" w:color="auto" w:fill="auto"/>
            <w:vAlign w:val="center"/>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低</w:t>
            </w:r>
          </w:p>
        </w:tc>
        <w:tc>
          <w:tcPr>
            <w:tcW w:w="872" w:type="dxa"/>
            <w:shd w:val="clear" w:color="auto" w:fill="auto"/>
            <w:vAlign w:val="center"/>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高</w:t>
            </w:r>
          </w:p>
        </w:tc>
        <w:tc>
          <w:tcPr>
            <w:tcW w:w="775" w:type="dxa"/>
            <w:shd w:val="clear" w:color="auto" w:fill="auto"/>
            <w:vAlign w:val="center"/>
          </w:tcPr>
          <w:p>
            <w:pPr>
              <w:widowControl/>
              <w:spacing w:line="240" w:lineRule="auto"/>
              <w:ind w:firstLine="0" w:firstLineChars="0"/>
              <w:jc w:val="center"/>
              <w:rPr>
                <w:rFonts w:ascii="宋体" w:hAnsi="宋体" w:cs="宋体"/>
                <w:b/>
                <w:kern w:val="0"/>
                <w:sz w:val="18"/>
                <w:szCs w:val="18"/>
              </w:rPr>
            </w:pPr>
            <w:r>
              <w:rPr>
                <w:rFonts w:hint="eastAsia" w:ascii="宋体" w:hAnsi="宋体" w:cs="宋体"/>
                <w:b/>
                <w:kern w:val="0"/>
                <w:sz w:val="18"/>
                <w:szCs w:val="18"/>
              </w:rPr>
              <w:t>中</w:t>
            </w:r>
          </w:p>
        </w:tc>
        <w:tc>
          <w:tcPr>
            <w:tcW w:w="775" w:type="dxa"/>
            <w:shd w:val="clear" w:color="auto" w:fill="auto"/>
            <w:vAlign w:val="center"/>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低</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Ex>
        <w:trPr>
          <w:trHeight w:val="176" w:hRule="atLeast"/>
          <w:jc w:val="center"/>
        </w:trPr>
        <w:tc>
          <w:tcPr>
            <w:tcW w:w="924" w:type="dxa"/>
            <w:shd w:val="clear" w:color="auto" w:fill="auto"/>
            <w:vAlign w:val="center"/>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增速</w:t>
            </w:r>
          </w:p>
        </w:tc>
        <w:tc>
          <w:tcPr>
            <w:tcW w:w="841" w:type="dxa"/>
            <w:shd w:val="clear" w:color="auto" w:fill="auto"/>
            <w:vAlign w:val="center"/>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w:t>
            </w:r>
          </w:p>
        </w:tc>
        <w:tc>
          <w:tcPr>
            <w:tcW w:w="733" w:type="dxa"/>
            <w:shd w:val="clear" w:color="auto" w:fill="auto"/>
            <w:vAlign w:val="center"/>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2</w:t>
            </w:r>
            <w:r>
              <w:rPr>
                <w:rFonts w:hint="eastAsia" w:ascii="宋体" w:hAnsi="宋体" w:cs="宋体"/>
                <w:kern w:val="0"/>
                <w:sz w:val="18"/>
                <w:szCs w:val="18"/>
              </w:rPr>
              <w:t>%</w:t>
            </w:r>
          </w:p>
        </w:tc>
        <w:tc>
          <w:tcPr>
            <w:tcW w:w="775" w:type="dxa"/>
            <w:shd w:val="clear" w:color="auto" w:fill="auto"/>
            <w:vAlign w:val="center"/>
          </w:tcPr>
          <w:p>
            <w:pPr>
              <w:widowControl/>
              <w:spacing w:line="240" w:lineRule="auto"/>
              <w:ind w:firstLine="0" w:firstLineChars="0"/>
              <w:jc w:val="center"/>
              <w:rPr>
                <w:rFonts w:ascii="宋体" w:hAnsi="宋体" w:cs="宋体"/>
                <w:b/>
                <w:kern w:val="0"/>
                <w:sz w:val="18"/>
                <w:szCs w:val="18"/>
              </w:rPr>
            </w:pPr>
            <w:r>
              <w:rPr>
                <w:rFonts w:hint="eastAsia" w:ascii="宋体" w:hAnsi="宋体" w:cs="宋体"/>
                <w:b/>
                <w:kern w:val="0"/>
                <w:sz w:val="18"/>
                <w:szCs w:val="18"/>
              </w:rPr>
              <w:t>1</w:t>
            </w:r>
            <w:r>
              <w:rPr>
                <w:rFonts w:ascii="宋体" w:hAnsi="宋体" w:cs="宋体"/>
                <w:b/>
                <w:kern w:val="0"/>
                <w:sz w:val="18"/>
                <w:szCs w:val="18"/>
              </w:rPr>
              <w:t>0</w:t>
            </w:r>
            <w:r>
              <w:rPr>
                <w:rFonts w:hint="eastAsia" w:ascii="宋体" w:hAnsi="宋体" w:cs="宋体"/>
                <w:b/>
                <w:kern w:val="0"/>
                <w:sz w:val="18"/>
                <w:szCs w:val="18"/>
              </w:rPr>
              <w:t>%</w:t>
            </w:r>
          </w:p>
        </w:tc>
        <w:tc>
          <w:tcPr>
            <w:tcW w:w="775" w:type="dxa"/>
            <w:shd w:val="clear" w:color="auto" w:fill="auto"/>
            <w:vAlign w:val="center"/>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8%</w:t>
            </w:r>
          </w:p>
        </w:tc>
        <w:tc>
          <w:tcPr>
            <w:tcW w:w="775" w:type="dxa"/>
            <w:shd w:val="clear" w:color="auto" w:fill="auto"/>
            <w:vAlign w:val="center"/>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8%</w:t>
            </w:r>
          </w:p>
        </w:tc>
        <w:tc>
          <w:tcPr>
            <w:tcW w:w="775" w:type="dxa"/>
            <w:shd w:val="clear" w:color="auto" w:fill="auto"/>
            <w:vAlign w:val="center"/>
          </w:tcPr>
          <w:p>
            <w:pPr>
              <w:widowControl/>
              <w:spacing w:line="240" w:lineRule="auto"/>
              <w:ind w:firstLine="0" w:firstLineChars="0"/>
              <w:jc w:val="center"/>
              <w:rPr>
                <w:rFonts w:ascii="宋体" w:hAnsi="宋体" w:cs="宋体"/>
                <w:b/>
                <w:kern w:val="0"/>
                <w:sz w:val="18"/>
                <w:szCs w:val="18"/>
              </w:rPr>
            </w:pPr>
            <w:r>
              <w:rPr>
                <w:rFonts w:hint="eastAsia" w:ascii="宋体" w:hAnsi="宋体" w:cs="宋体"/>
                <w:b/>
                <w:kern w:val="0"/>
                <w:sz w:val="18"/>
                <w:szCs w:val="18"/>
              </w:rPr>
              <w:t>5%</w:t>
            </w:r>
          </w:p>
        </w:tc>
        <w:tc>
          <w:tcPr>
            <w:tcW w:w="775" w:type="dxa"/>
            <w:shd w:val="clear" w:color="auto" w:fill="auto"/>
            <w:vAlign w:val="center"/>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3%</w:t>
            </w:r>
          </w:p>
        </w:tc>
        <w:tc>
          <w:tcPr>
            <w:tcW w:w="872" w:type="dxa"/>
            <w:shd w:val="clear" w:color="auto" w:fill="auto"/>
            <w:vAlign w:val="center"/>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8%</w:t>
            </w:r>
          </w:p>
        </w:tc>
        <w:tc>
          <w:tcPr>
            <w:tcW w:w="775" w:type="dxa"/>
            <w:shd w:val="clear" w:color="auto" w:fill="auto"/>
            <w:vAlign w:val="center"/>
          </w:tcPr>
          <w:p>
            <w:pPr>
              <w:widowControl/>
              <w:spacing w:line="240" w:lineRule="auto"/>
              <w:ind w:firstLine="0" w:firstLineChars="0"/>
              <w:jc w:val="center"/>
              <w:rPr>
                <w:rFonts w:ascii="宋体" w:hAnsi="宋体" w:cs="宋体"/>
                <w:b/>
                <w:kern w:val="0"/>
                <w:sz w:val="18"/>
                <w:szCs w:val="18"/>
              </w:rPr>
            </w:pPr>
            <w:r>
              <w:rPr>
                <w:rFonts w:hint="eastAsia" w:ascii="宋体" w:hAnsi="宋体" w:cs="宋体"/>
                <w:b/>
                <w:kern w:val="0"/>
                <w:sz w:val="18"/>
                <w:szCs w:val="18"/>
              </w:rPr>
              <w:t>5%</w:t>
            </w:r>
          </w:p>
        </w:tc>
        <w:tc>
          <w:tcPr>
            <w:tcW w:w="775" w:type="dxa"/>
            <w:shd w:val="clear" w:color="auto" w:fill="auto"/>
            <w:vAlign w:val="center"/>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Ex>
        <w:trPr>
          <w:trHeight w:val="176" w:hRule="atLeast"/>
          <w:jc w:val="center"/>
        </w:trPr>
        <w:tc>
          <w:tcPr>
            <w:tcW w:w="924" w:type="dxa"/>
            <w:vAlign w:val="center"/>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游客规模</w:t>
            </w:r>
          </w:p>
        </w:tc>
        <w:tc>
          <w:tcPr>
            <w:tcW w:w="841" w:type="dxa"/>
            <w:shd w:val="clear" w:color="auto" w:fill="auto"/>
            <w:vAlign w:val="center"/>
          </w:tcPr>
          <w:p>
            <w:pPr>
              <w:widowControl/>
              <w:spacing w:line="240" w:lineRule="auto"/>
              <w:ind w:firstLine="0" w:firstLineChars="0"/>
              <w:jc w:val="center"/>
              <w:rPr>
                <w:rFonts w:ascii="宋体" w:hAnsi="宋体" w:cs="宋体"/>
                <w:kern w:val="0"/>
                <w:sz w:val="18"/>
                <w:szCs w:val="18"/>
              </w:rPr>
            </w:pPr>
            <w:r>
              <w:rPr>
                <w:rFonts w:ascii="宋体" w:hAnsi="宋体" w:cs="宋体"/>
                <w:kern w:val="0"/>
                <w:sz w:val="18"/>
                <w:szCs w:val="18"/>
              </w:rPr>
              <w:t>355</w:t>
            </w:r>
          </w:p>
        </w:tc>
        <w:tc>
          <w:tcPr>
            <w:tcW w:w="733" w:type="dxa"/>
            <w:shd w:val="clear" w:color="auto" w:fill="auto"/>
            <w:vAlign w:val="center"/>
          </w:tcPr>
          <w:p>
            <w:pPr>
              <w:widowControl/>
              <w:spacing w:line="240" w:lineRule="auto"/>
              <w:ind w:firstLine="0" w:firstLineChars="0"/>
              <w:jc w:val="center"/>
              <w:rPr>
                <w:rFonts w:ascii="宋体" w:hAnsi="宋体" w:cs="宋体"/>
                <w:kern w:val="0"/>
                <w:sz w:val="18"/>
                <w:szCs w:val="18"/>
              </w:rPr>
            </w:pPr>
            <w:r>
              <w:rPr>
                <w:rFonts w:ascii="宋体" w:hAnsi="宋体" w:cs="宋体"/>
                <w:kern w:val="0"/>
                <w:sz w:val="18"/>
                <w:szCs w:val="18"/>
              </w:rPr>
              <w:t>445.31</w:t>
            </w:r>
          </w:p>
        </w:tc>
        <w:tc>
          <w:tcPr>
            <w:tcW w:w="775" w:type="dxa"/>
            <w:shd w:val="clear" w:color="auto" w:fill="auto"/>
            <w:vAlign w:val="center"/>
          </w:tcPr>
          <w:p>
            <w:pPr>
              <w:widowControl/>
              <w:spacing w:line="240" w:lineRule="auto"/>
              <w:ind w:firstLine="0" w:firstLineChars="0"/>
              <w:jc w:val="center"/>
              <w:rPr>
                <w:rFonts w:ascii="宋体" w:hAnsi="宋体" w:cs="宋体"/>
                <w:b/>
                <w:kern w:val="0"/>
                <w:sz w:val="18"/>
                <w:szCs w:val="18"/>
              </w:rPr>
            </w:pPr>
            <w:r>
              <w:rPr>
                <w:rFonts w:ascii="宋体" w:hAnsi="宋体" w:cs="宋体"/>
                <w:b/>
                <w:kern w:val="0"/>
                <w:sz w:val="18"/>
                <w:szCs w:val="18"/>
              </w:rPr>
              <w:t>429.55</w:t>
            </w:r>
          </w:p>
        </w:tc>
        <w:tc>
          <w:tcPr>
            <w:tcW w:w="775" w:type="dxa"/>
            <w:shd w:val="clear" w:color="auto" w:fill="auto"/>
            <w:vAlign w:val="center"/>
          </w:tcPr>
          <w:p>
            <w:pPr>
              <w:widowControl/>
              <w:spacing w:line="240" w:lineRule="auto"/>
              <w:ind w:firstLine="0" w:firstLineChars="0"/>
              <w:jc w:val="center"/>
              <w:rPr>
                <w:rFonts w:ascii="宋体" w:hAnsi="宋体" w:cs="宋体"/>
                <w:kern w:val="0"/>
                <w:sz w:val="18"/>
                <w:szCs w:val="18"/>
              </w:rPr>
            </w:pPr>
            <w:r>
              <w:rPr>
                <w:rFonts w:ascii="宋体" w:hAnsi="宋体" w:cs="宋体"/>
                <w:kern w:val="0"/>
                <w:sz w:val="18"/>
                <w:szCs w:val="18"/>
              </w:rPr>
              <w:t>414.07</w:t>
            </w:r>
          </w:p>
        </w:tc>
        <w:tc>
          <w:tcPr>
            <w:tcW w:w="775" w:type="dxa"/>
            <w:shd w:val="clear" w:color="auto" w:fill="auto"/>
            <w:vAlign w:val="center"/>
          </w:tcPr>
          <w:p>
            <w:pPr>
              <w:widowControl/>
              <w:spacing w:line="240" w:lineRule="auto"/>
              <w:ind w:firstLine="0" w:firstLineChars="0"/>
              <w:jc w:val="center"/>
              <w:rPr>
                <w:rFonts w:ascii="宋体" w:hAnsi="宋体" w:cs="宋体"/>
                <w:kern w:val="0"/>
                <w:sz w:val="18"/>
                <w:szCs w:val="18"/>
              </w:rPr>
            </w:pPr>
            <w:r>
              <w:rPr>
                <w:rFonts w:ascii="宋体" w:hAnsi="宋体" w:cs="宋体"/>
                <w:kern w:val="0"/>
                <w:sz w:val="18"/>
                <w:szCs w:val="18"/>
              </w:rPr>
              <w:t>784.79</w:t>
            </w:r>
          </w:p>
        </w:tc>
        <w:tc>
          <w:tcPr>
            <w:tcW w:w="775" w:type="dxa"/>
            <w:shd w:val="clear" w:color="auto" w:fill="auto"/>
            <w:vAlign w:val="center"/>
          </w:tcPr>
          <w:p>
            <w:pPr>
              <w:widowControl/>
              <w:spacing w:line="240" w:lineRule="auto"/>
              <w:ind w:firstLine="0" w:firstLineChars="0"/>
              <w:jc w:val="center"/>
              <w:rPr>
                <w:rFonts w:ascii="宋体" w:hAnsi="宋体" w:cs="宋体"/>
                <w:b/>
                <w:kern w:val="0"/>
                <w:sz w:val="18"/>
                <w:szCs w:val="18"/>
              </w:rPr>
            </w:pPr>
            <w:r>
              <w:rPr>
                <w:rFonts w:ascii="宋体" w:hAnsi="宋体" w:cs="宋体"/>
                <w:b/>
                <w:kern w:val="0"/>
                <w:sz w:val="18"/>
                <w:szCs w:val="18"/>
              </w:rPr>
              <w:t>691.80</w:t>
            </w:r>
          </w:p>
        </w:tc>
        <w:tc>
          <w:tcPr>
            <w:tcW w:w="775" w:type="dxa"/>
            <w:shd w:val="clear" w:color="auto" w:fill="auto"/>
            <w:vAlign w:val="center"/>
          </w:tcPr>
          <w:p>
            <w:pPr>
              <w:widowControl/>
              <w:spacing w:line="240" w:lineRule="auto"/>
              <w:ind w:firstLine="0" w:firstLineChars="0"/>
              <w:jc w:val="center"/>
              <w:rPr>
                <w:rFonts w:ascii="宋体" w:hAnsi="宋体" w:cs="宋体"/>
                <w:kern w:val="0"/>
                <w:sz w:val="18"/>
                <w:szCs w:val="18"/>
              </w:rPr>
            </w:pPr>
            <w:r>
              <w:rPr>
                <w:rFonts w:ascii="宋体" w:hAnsi="宋体" w:cs="宋体"/>
                <w:kern w:val="0"/>
                <w:sz w:val="18"/>
                <w:szCs w:val="18"/>
              </w:rPr>
              <w:t>608.41</w:t>
            </w:r>
          </w:p>
        </w:tc>
        <w:tc>
          <w:tcPr>
            <w:tcW w:w="872" w:type="dxa"/>
            <w:shd w:val="clear" w:color="auto" w:fill="auto"/>
            <w:vAlign w:val="center"/>
          </w:tcPr>
          <w:p>
            <w:pPr>
              <w:widowControl/>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383.07</w:t>
            </w:r>
          </w:p>
        </w:tc>
        <w:tc>
          <w:tcPr>
            <w:tcW w:w="775" w:type="dxa"/>
            <w:shd w:val="clear" w:color="auto" w:fill="auto"/>
            <w:vAlign w:val="center"/>
          </w:tcPr>
          <w:p>
            <w:pPr>
              <w:widowControl/>
              <w:spacing w:line="240" w:lineRule="auto"/>
              <w:ind w:firstLine="0" w:firstLineChars="0"/>
              <w:jc w:val="center"/>
              <w:rPr>
                <w:rFonts w:ascii="宋体" w:hAnsi="宋体" w:cs="宋体"/>
                <w:b/>
                <w:kern w:val="0"/>
                <w:sz w:val="18"/>
                <w:szCs w:val="18"/>
              </w:rPr>
            </w:pPr>
            <w:r>
              <w:rPr>
                <w:rFonts w:ascii="宋体" w:hAnsi="宋体" w:cs="宋体"/>
                <w:b/>
                <w:kern w:val="0"/>
                <w:sz w:val="18"/>
                <w:szCs w:val="18"/>
              </w:rPr>
              <w:t>1114.14</w:t>
            </w:r>
          </w:p>
        </w:tc>
        <w:tc>
          <w:tcPr>
            <w:tcW w:w="775" w:type="dxa"/>
            <w:shd w:val="clear" w:color="auto" w:fill="auto"/>
            <w:vAlign w:val="center"/>
          </w:tcPr>
          <w:p>
            <w:pPr>
              <w:widowControl/>
              <w:spacing w:line="240" w:lineRule="auto"/>
              <w:ind w:firstLine="0" w:firstLineChars="0"/>
              <w:jc w:val="center"/>
              <w:rPr>
                <w:rFonts w:ascii="宋体" w:hAnsi="宋体" w:cs="宋体"/>
                <w:kern w:val="0"/>
                <w:sz w:val="18"/>
                <w:szCs w:val="18"/>
              </w:rPr>
            </w:pPr>
            <w:r>
              <w:rPr>
                <w:rFonts w:ascii="宋体" w:hAnsi="宋体" w:cs="宋体"/>
                <w:kern w:val="0"/>
                <w:sz w:val="18"/>
                <w:szCs w:val="18"/>
              </w:rPr>
              <w:t>893.95</w:t>
            </w:r>
          </w:p>
        </w:tc>
      </w:tr>
    </w:tbl>
    <w:p>
      <w:pPr>
        <w:spacing w:line="300" w:lineRule="auto"/>
        <w:ind w:firstLine="480"/>
        <w:rPr>
          <w:rFonts w:ascii="Calibri" w:hAnsi="Calibri"/>
          <w:szCs w:val="22"/>
        </w:rPr>
      </w:pPr>
    </w:p>
    <w:p>
      <w:pPr>
        <w:spacing w:before="93" w:beforeLines="30"/>
        <w:ind w:firstLine="480"/>
        <w:rPr>
          <w:rFonts w:cs="宋体"/>
        </w:rPr>
      </w:pPr>
      <w:r>
        <w:rPr>
          <w:rFonts w:hint="eastAsia" w:cs="宋体"/>
        </w:rPr>
        <w:t>（2）</w:t>
      </w:r>
      <w:r>
        <w:rPr>
          <w:rFonts w:cs="宋体"/>
        </w:rPr>
        <w:t>平均高峰日游客规模</w:t>
      </w:r>
      <w:r>
        <w:rPr>
          <w:rFonts w:hint="eastAsia" w:cs="宋体"/>
        </w:rPr>
        <w:t>预测</w:t>
      </w:r>
    </w:p>
    <w:p>
      <w:pPr>
        <w:spacing w:before="93" w:beforeLines="30"/>
        <w:ind w:firstLine="480"/>
        <w:rPr>
          <w:rFonts w:cs="宋体"/>
        </w:rPr>
      </w:pPr>
      <w:r>
        <w:rPr>
          <w:rFonts w:hint="eastAsia" w:cs="宋体"/>
        </w:rPr>
        <w:t>本规划中将平均</w:t>
      </w:r>
      <w:r>
        <w:rPr>
          <w:rFonts w:cs="宋体"/>
        </w:rPr>
        <w:t>高峰日游客规模</w:t>
      </w:r>
      <w:r>
        <w:rPr>
          <w:rFonts w:hint="eastAsia" w:cs="宋体"/>
        </w:rPr>
        <w:t>作为</w:t>
      </w:r>
      <w:r>
        <w:rPr>
          <w:rFonts w:cs="宋体"/>
        </w:rPr>
        <w:t>旅游设施</w:t>
      </w:r>
      <w:r>
        <w:rPr>
          <w:rFonts w:hint="eastAsia" w:cs="宋体"/>
        </w:rPr>
        <w:t>规模</w:t>
      </w:r>
      <w:r>
        <w:rPr>
          <w:rFonts w:cs="宋体"/>
        </w:rPr>
        <w:t>和服务人口规模</w:t>
      </w:r>
      <w:r>
        <w:rPr>
          <w:rFonts w:hint="eastAsia" w:cs="宋体"/>
        </w:rPr>
        <w:t>预测</w:t>
      </w:r>
      <w:r>
        <w:rPr>
          <w:rFonts w:cs="宋体"/>
        </w:rPr>
        <w:t>的主要依据。</w:t>
      </w:r>
      <w:r>
        <w:rPr>
          <w:rFonts w:hint="eastAsia" w:cs="宋体"/>
        </w:rPr>
        <w:t>文成县的旅游高峰集中在夏季，因此取7月-10月作为旅游高峰期，高峰期天数取120天。</w:t>
      </w:r>
    </w:p>
    <w:p>
      <w:pPr>
        <w:spacing w:before="93" w:beforeLines="30"/>
        <w:ind w:firstLine="480"/>
        <w:rPr>
          <w:rFonts w:cs="宋体"/>
        </w:rPr>
      </w:pPr>
      <w:r>
        <w:rPr>
          <w:rFonts w:hint="eastAsia" w:cs="宋体"/>
        </w:rPr>
        <w:t>平均</w:t>
      </w:r>
      <w:r>
        <w:rPr>
          <w:rFonts w:cs="宋体"/>
        </w:rPr>
        <w:t>高峰日游客规模=</w:t>
      </w:r>
      <w:r>
        <w:rPr>
          <w:rFonts w:hint="eastAsia" w:cs="宋体"/>
        </w:rPr>
        <w:t>年</w:t>
      </w:r>
      <w:r>
        <w:rPr>
          <w:rFonts w:cs="宋体"/>
        </w:rPr>
        <w:t>总游客量×1</w:t>
      </w:r>
      <w:r>
        <w:rPr>
          <w:rFonts w:hint="eastAsia" w:cs="宋体"/>
        </w:rPr>
        <w:t>20</w:t>
      </w:r>
      <w:r>
        <w:rPr>
          <w:rFonts w:cs="宋体"/>
        </w:rPr>
        <w:t>天游客比重</w:t>
      </w:r>
      <w:r>
        <w:rPr>
          <w:rFonts w:hint="eastAsia" w:cs="宋体"/>
        </w:rPr>
        <w:t>/</w:t>
      </w:r>
      <w:r>
        <w:rPr>
          <w:rFonts w:cs="宋体"/>
        </w:rPr>
        <w:t>120天</w:t>
      </w:r>
      <w:r>
        <w:rPr>
          <w:rFonts w:hint="eastAsia" w:cs="宋体"/>
        </w:rPr>
        <w:t>。</w:t>
      </w:r>
    </w:p>
    <w:p>
      <w:pPr>
        <w:spacing w:before="93" w:beforeLines="30"/>
        <w:ind w:firstLine="480"/>
        <w:rPr>
          <w:rFonts w:cs="宋体"/>
        </w:rPr>
      </w:pPr>
      <w:r>
        <w:rPr>
          <w:rFonts w:hint="eastAsia" w:cs="宋体"/>
        </w:rPr>
        <w:t>规划近期高峰期按120天中游客占全年的</w:t>
      </w:r>
      <w:r>
        <w:rPr>
          <w:rFonts w:cs="宋体"/>
        </w:rPr>
        <w:t>6</w:t>
      </w:r>
      <w:r>
        <w:rPr>
          <w:rFonts w:hint="eastAsia" w:cs="宋体"/>
        </w:rPr>
        <w:t>0％，远期高峰期按120天中游客占全年</w:t>
      </w:r>
      <w:r>
        <w:rPr>
          <w:rFonts w:cs="宋体"/>
        </w:rPr>
        <w:t>5</w:t>
      </w:r>
      <w:r>
        <w:rPr>
          <w:rFonts w:hint="eastAsia" w:cs="宋体"/>
        </w:rPr>
        <w:t>0％，则高峰日平均游客人数为：</w:t>
      </w:r>
    </w:p>
    <w:p>
      <w:pPr>
        <w:spacing w:before="93" w:beforeLines="30"/>
        <w:ind w:firstLine="480"/>
        <w:rPr>
          <w:rFonts w:cs="宋体"/>
        </w:rPr>
      </w:pPr>
      <w:r>
        <w:rPr>
          <w:rFonts w:hint="eastAsia" w:cs="宋体"/>
        </w:rPr>
        <w:t>20</w:t>
      </w:r>
      <w:r>
        <w:rPr>
          <w:rFonts w:cs="宋体"/>
        </w:rPr>
        <w:t>30</w:t>
      </w:r>
      <w:r>
        <w:rPr>
          <w:rFonts w:hint="eastAsia" w:cs="宋体"/>
        </w:rPr>
        <w:t>年：</w:t>
      </w:r>
      <w:r>
        <w:rPr>
          <w:rFonts w:cs="宋体"/>
        </w:rPr>
        <w:t>691.80</w:t>
      </w:r>
      <w:r>
        <w:rPr>
          <w:rFonts w:hint="eastAsia" w:cs="宋体"/>
        </w:rPr>
        <w:t>万人×</w:t>
      </w:r>
      <w:r>
        <w:rPr>
          <w:rFonts w:cs="宋体"/>
        </w:rPr>
        <w:t>6</w:t>
      </w:r>
      <w:r>
        <w:rPr>
          <w:rFonts w:hint="eastAsia" w:cs="宋体"/>
        </w:rPr>
        <w:t>0％÷120=3</w:t>
      </w:r>
      <w:r>
        <w:rPr>
          <w:rFonts w:cs="宋体"/>
        </w:rPr>
        <w:t>4590</w:t>
      </w:r>
      <w:r>
        <w:rPr>
          <w:rFonts w:hint="eastAsia" w:cs="宋体"/>
        </w:rPr>
        <w:t>人／日，取3</w:t>
      </w:r>
      <w:r>
        <w:rPr>
          <w:rFonts w:cs="宋体"/>
        </w:rPr>
        <w:t>46</w:t>
      </w:r>
      <w:r>
        <w:rPr>
          <w:rFonts w:hint="eastAsia" w:cs="宋体"/>
        </w:rPr>
        <w:t>00人。</w:t>
      </w:r>
    </w:p>
    <w:p>
      <w:pPr>
        <w:spacing w:before="93" w:beforeLines="30"/>
        <w:ind w:firstLine="480"/>
        <w:rPr>
          <w:rFonts w:ascii="Calibri" w:hAnsi="Calibri"/>
          <w:szCs w:val="22"/>
        </w:rPr>
      </w:pPr>
      <w:r>
        <w:rPr>
          <w:rFonts w:hint="eastAsia" w:cs="宋体"/>
        </w:rPr>
        <w:t>2035年：</w:t>
      </w:r>
      <w:r>
        <w:rPr>
          <w:rFonts w:cs="宋体"/>
        </w:rPr>
        <w:t>1114.14</w:t>
      </w:r>
      <w:r>
        <w:rPr>
          <w:rFonts w:hint="eastAsia" w:cs="宋体"/>
        </w:rPr>
        <w:t>万人×</w:t>
      </w:r>
      <w:r>
        <w:rPr>
          <w:rFonts w:cs="宋体"/>
        </w:rPr>
        <w:t>5</w:t>
      </w:r>
      <w:r>
        <w:rPr>
          <w:rFonts w:hint="eastAsia" w:cs="宋体"/>
        </w:rPr>
        <w:t>0％÷120=4</w:t>
      </w:r>
      <w:r>
        <w:rPr>
          <w:rFonts w:cs="宋体"/>
        </w:rPr>
        <w:t>6423</w:t>
      </w:r>
      <w:r>
        <w:rPr>
          <w:rFonts w:hint="eastAsia" w:cs="宋体"/>
        </w:rPr>
        <w:t>人／日，取4</w:t>
      </w:r>
      <w:r>
        <w:rPr>
          <w:rFonts w:cs="宋体"/>
        </w:rPr>
        <w:t>64</w:t>
      </w:r>
      <w:r>
        <w:rPr>
          <w:rFonts w:hint="eastAsia" w:cs="宋体"/>
        </w:rPr>
        <w:t>00人。</w:t>
      </w:r>
    </w:p>
    <w:p>
      <w:pPr>
        <w:pStyle w:val="4"/>
        <w:spacing w:before="156"/>
        <w:ind w:firstLine="360"/>
      </w:pPr>
      <w:r>
        <w:rPr>
          <w:rFonts w:hint="eastAsia"/>
        </w:rPr>
        <w:t>（二）设施现状分析</w:t>
      </w:r>
    </w:p>
    <w:p>
      <w:pPr>
        <w:spacing w:before="93" w:beforeLines="30"/>
        <w:ind w:firstLine="480"/>
        <w:rPr>
          <w:rFonts w:cs="宋体"/>
        </w:rPr>
      </w:pPr>
      <w:r>
        <w:rPr>
          <w:rFonts w:hint="eastAsia" w:cs="宋体"/>
        </w:rPr>
        <w:t>目前开放的几个景区，如百丈飞瀑景区、龙麒麟景区等已有小规模的游览服务设施，如入口售票点、小卖部、茶室等，但由于缺乏规范和引导，有部分设施离核心景点距离过近，体量过大，风貌不协调。其余景区如岩门大峡谷景区、飞云湖景区等尚无相应的设施配套。总体上看，现状游览服务设施分布不均衡，以自发建设为主，缺乏系统性引导。</w:t>
      </w:r>
    </w:p>
    <w:p>
      <w:pPr>
        <w:spacing w:before="93" w:beforeLines="30"/>
        <w:ind w:firstLine="480"/>
        <w:rPr>
          <w:rFonts w:cs="宋体"/>
        </w:rPr>
      </w:pPr>
      <w:r>
        <w:rPr>
          <w:rFonts w:hint="eastAsia" w:cs="宋体"/>
        </w:rPr>
        <w:t>随着千禧、希尔顿、雷迪森等高星级酒店建设，文成县住宿接待能力有了显著提升，但旅游服务设施分布不均衡，接待节假日大批量游客的服务设施仍然存在缺口，整个风景区的游览设施系统亟待丰富和完善。</w:t>
      </w:r>
    </w:p>
    <w:p>
      <w:pPr>
        <w:spacing w:before="93" w:beforeLines="30"/>
        <w:ind w:firstLine="480"/>
        <w:rPr>
          <w:rFonts w:cs="宋体"/>
        </w:rPr>
      </w:pPr>
      <w:r>
        <w:rPr>
          <w:rFonts w:hint="eastAsia" w:cs="宋体"/>
        </w:rPr>
        <w:t>从县域发展规划来看，百丈漈镇—南田镇板块依托省级天湖旅游度假区、文瑞山海协作生态旅游文化产业园等项目，将成为文成县重要的发展平台和旅游服务平台。</w:t>
      </w:r>
    </w:p>
    <w:p>
      <w:pPr>
        <w:pStyle w:val="4"/>
        <w:spacing w:before="156"/>
        <w:ind w:firstLine="360"/>
      </w:pPr>
      <w:r>
        <w:rPr>
          <w:rFonts w:hint="eastAsia"/>
        </w:rPr>
        <w:t>（三）设施规模预测</w:t>
      </w:r>
    </w:p>
    <w:p>
      <w:pPr>
        <w:spacing w:before="93" w:beforeLines="30"/>
        <w:ind w:firstLine="480"/>
        <w:rPr>
          <w:rFonts w:ascii="宋体" w:hAnsi="宋体"/>
          <w:szCs w:val="21"/>
        </w:rPr>
      </w:pPr>
      <w:r>
        <w:rPr>
          <w:rFonts w:hint="eastAsia" w:cs="宋体"/>
        </w:rPr>
        <w:t>根据旅游规模预测近期高峰期游人量为3</w:t>
      </w:r>
      <w:r>
        <w:rPr>
          <w:rFonts w:cs="宋体"/>
        </w:rPr>
        <w:t>46</w:t>
      </w:r>
      <w:r>
        <w:rPr>
          <w:rFonts w:hint="eastAsia" w:cs="宋体"/>
        </w:rPr>
        <w:t>00，远期高峰期游人量为4</w:t>
      </w:r>
      <w:r>
        <w:rPr>
          <w:rFonts w:cs="宋体"/>
        </w:rPr>
        <w:t>64</w:t>
      </w:r>
      <w:r>
        <w:rPr>
          <w:rFonts w:hint="eastAsia" w:cs="宋体"/>
        </w:rPr>
        <w:t>00人。由于近期当日往返的短途自驾游人数较多，因此预计近期游客住宿比为30%、远期随着铁路等公共交通的投入使用，预计游客住宿比为40%；游人平均住宿天数（天）：近期</w:t>
      </w:r>
      <w:r>
        <w:rPr>
          <w:rFonts w:cs="宋体"/>
        </w:rPr>
        <w:t>1</w:t>
      </w:r>
      <w:r>
        <w:rPr>
          <w:rFonts w:hint="eastAsia" w:cs="宋体"/>
        </w:rPr>
        <w:t>天；远期</w:t>
      </w:r>
      <w:r>
        <w:rPr>
          <w:rFonts w:cs="宋体"/>
        </w:rPr>
        <w:t>2</w:t>
      </w:r>
      <w:r>
        <w:rPr>
          <w:rFonts w:hint="eastAsia" w:cs="宋体"/>
        </w:rPr>
        <w:t>天。床位利用率按近期60%、</w:t>
      </w:r>
      <w:r>
        <w:rPr>
          <w:rFonts w:cs="宋体"/>
        </w:rPr>
        <w:t>远期</w:t>
      </w:r>
      <w:r>
        <w:rPr>
          <w:rFonts w:hint="eastAsia" w:cs="宋体"/>
        </w:rPr>
        <w:t>70</w:t>
      </w:r>
      <w:r>
        <w:rPr>
          <w:rFonts w:cs="宋体"/>
        </w:rPr>
        <w:t>%</w:t>
      </w:r>
      <w:r>
        <w:rPr>
          <w:rFonts w:hint="eastAsia" w:cs="宋体"/>
        </w:rPr>
        <w:t>计算，则：</w:t>
      </w:r>
    </w:p>
    <w:p>
      <w:pPr>
        <w:spacing w:line="300" w:lineRule="auto"/>
        <w:ind w:firstLine="480"/>
        <w:rPr>
          <w:rFonts w:ascii="宋体" w:hAnsi="宋体"/>
          <w:szCs w:val="21"/>
        </w:rPr>
      </w:pPr>
      <w:r>
        <w:rPr>
          <w:rFonts w:hint="eastAsia" w:ascii="宋体" w:hAnsi="宋体"/>
          <w:szCs w:val="21"/>
        </w:rPr>
        <w:t>　　　　　   旅客量</w:t>
      </w:r>
      <w:r>
        <w:rPr>
          <w:rFonts w:ascii="宋体" w:hAnsi="宋体"/>
          <w:szCs w:val="21"/>
        </w:rPr>
        <w:t>×</w:t>
      </w:r>
      <w:r>
        <w:rPr>
          <w:rFonts w:hint="eastAsia" w:ascii="宋体" w:hAnsi="宋体"/>
          <w:szCs w:val="21"/>
        </w:rPr>
        <w:t>住宿天数</w:t>
      </w:r>
      <w:r>
        <w:rPr>
          <w:rFonts w:ascii="宋体" w:hAnsi="宋体"/>
          <w:szCs w:val="21"/>
        </w:rPr>
        <w:t>×</w:t>
      </w:r>
      <w:r>
        <w:rPr>
          <w:rFonts w:hint="eastAsia" w:ascii="宋体" w:hAnsi="宋体"/>
          <w:szCs w:val="21"/>
        </w:rPr>
        <w:t>住宿比</w:t>
      </w:r>
    </w:p>
    <w:p>
      <w:pPr>
        <w:spacing w:line="300" w:lineRule="auto"/>
        <w:ind w:firstLine="480"/>
        <w:rPr>
          <w:rFonts w:ascii="宋体" w:hAnsi="宋体"/>
          <w:szCs w:val="21"/>
        </w:rPr>
      </w:pPr>
      <w:r>
        <w:rPr>
          <w:rFonts w:ascii="宋体" w:hAnsi="宋体"/>
          <w:szCs w:val="21"/>
        </w:rPr>
        <mc:AlternateContent>
          <mc:Choice Requires="wps">
            <w:drawing>
              <wp:anchor distT="0" distB="0" distL="114300" distR="114300" simplePos="0" relativeHeight="251660288" behindDoc="0" locked="0" layoutInCell="1" allowOverlap="1">
                <wp:simplePos x="0" y="0"/>
                <wp:positionH relativeFrom="column">
                  <wp:posOffset>1049655</wp:posOffset>
                </wp:positionH>
                <wp:positionV relativeFrom="paragraph">
                  <wp:posOffset>76835</wp:posOffset>
                </wp:positionV>
                <wp:extent cx="2286000" cy="0"/>
                <wp:effectExtent l="0" t="0" r="0" b="0"/>
                <wp:wrapNone/>
                <wp:docPr id="7174" name="直接连接符 7174"/>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82.65pt;margin-top:6.05pt;height:0pt;width:180pt;z-index:251660288;mso-width-relative:page;mso-height-relative:page;" filled="f" stroked="t" coordsize="21600,21600" o:gfxdata="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rIQyOdQAAAAJAQAADwAAAAAAAAABACAAAAAiAAAAZHJzL2Rv&#10;d25yZXYueG1sUEsBAhQAFAAAAAgAh07iQJONGcvMAQAAYgMAAA4AAAAAAAAAAQAgAAAAIwEAAGRy&#10;cy9lMm9Eb2MueG1sUEsFBgAAAAAGAAYAWQEAAGEFAAAAAA==&#10;">
                <v:fill on="f" focussize="0,0"/>
                <v:stroke color="#000000" joinstyle="round"/>
                <v:imagedata o:title=""/>
                <o:lock v:ext="edit" aspectratio="f"/>
              </v:line>
            </w:pict>
          </mc:Fallback>
        </mc:AlternateContent>
      </w:r>
      <w:r>
        <w:rPr>
          <w:rFonts w:hint="eastAsia" w:ascii="宋体" w:hAnsi="宋体"/>
          <w:szCs w:val="21"/>
        </w:rPr>
        <w:t>床位数＝</w:t>
      </w:r>
    </w:p>
    <w:p>
      <w:pPr>
        <w:spacing w:line="300" w:lineRule="auto"/>
        <w:ind w:firstLine="480"/>
        <w:rPr>
          <w:rFonts w:ascii="宋体" w:hAnsi="宋体"/>
          <w:szCs w:val="21"/>
        </w:rPr>
      </w:pPr>
      <w:r>
        <w:rPr>
          <w:rFonts w:hint="eastAsia" w:ascii="宋体" w:hAnsi="宋体"/>
          <w:szCs w:val="21"/>
        </w:rPr>
        <w:t>　　　　　       　床位利用率</w:t>
      </w:r>
    </w:p>
    <w:p>
      <w:pPr>
        <w:spacing w:line="300" w:lineRule="auto"/>
        <w:ind w:firstLine="480"/>
        <w:rPr>
          <w:rFonts w:ascii="宋体" w:hAnsi="宋体"/>
          <w:szCs w:val="21"/>
        </w:rPr>
      </w:pPr>
    </w:p>
    <w:p>
      <w:pPr>
        <w:spacing w:line="300" w:lineRule="auto"/>
        <w:ind w:firstLine="480"/>
        <w:rPr>
          <w:rFonts w:ascii="宋体" w:hAnsi="宋体"/>
          <w:szCs w:val="21"/>
        </w:rPr>
      </w:pPr>
      <w:r>
        <w:rPr>
          <w:rFonts w:hint="eastAsia" w:ascii="宋体" w:hAnsi="宋体"/>
          <w:szCs w:val="21"/>
        </w:rPr>
        <w:t>　　　　　　  3</w:t>
      </w:r>
      <w:r>
        <w:rPr>
          <w:rFonts w:ascii="宋体" w:hAnsi="宋体"/>
          <w:szCs w:val="21"/>
        </w:rPr>
        <w:t>46</w:t>
      </w:r>
      <w:r>
        <w:rPr>
          <w:rFonts w:hint="eastAsia" w:ascii="宋体" w:hAnsi="宋体"/>
          <w:szCs w:val="21"/>
        </w:rPr>
        <w:t>00</w:t>
      </w:r>
      <w:r>
        <w:rPr>
          <w:rFonts w:ascii="宋体" w:hAnsi="宋体"/>
          <w:szCs w:val="21"/>
        </w:rPr>
        <w:t>×1×</w:t>
      </w:r>
      <w:r>
        <w:rPr>
          <w:rFonts w:hint="eastAsia" w:ascii="宋体" w:hAnsi="宋体"/>
          <w:szCs w:val="21"/>
        </w:rPr>
        <w:t>30%</w:t>
      </w:r>
    </w:p>
    <w:p>
      <w:pPr>
        <w:spacing w:line="300" w:lineRule="auto"/>
        <w:ind w:firstLine="480"/>
        <w:rPr>
          <w:rFonts w:ascii="宋体" w:hAnsi="宋体"/>
          <w:szCs w:val="21"/>
        </w:rPr>
      </w:pPr>
      <w:r>
        <w:rPr>
          <w:rFonts w:ascii="宋体" w:hAnsi="宋体"/>
          <w:szCs w:val="21"/>
        </w:rPr>
        <mc:AlternateContent>
          <mc:Choice Requires="wps">
            <w:drawing>
              <wp:anchor distT="0" distB="0" distL="114300" distR="114300" simplePos="0" relativeHeight="251661312" behindDoc="0" locked="0" layoutInCell="1" allowOverlap="1">
                <wp:simplePos x="0" y="0"/>
                <wp:positionH relativeFrom="column">
                  <wp:posOffset>1305560</wp:posOffset>
                </wp:positionH>
                <wp:positionV relativeFrom="paragraph">
                  <wp:posOffset>113665</wp:posOffset>
                </wp:positionV>
                <wp:extent cx="1143000" cy="0"/>
                <wp:effectExtent l="0" t="0" r="0" b="0"/>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02.8pt;margin-top:8.95pt;height:0pt;width:90pt;z-index:251661312;mso-width-relative:page;mso-height-relative:page;" filled="f" stroked="t" coordsize="21600,21600" o:gfxdata="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CG+BidUAAAAJAQAADwAAAAAAAAABACAAAAAiAAAAZHJzL2Rvd25y&#10;ZXYueG1sUEsBAhQAFAAAAAgAh07iQPYaJ1zIAQAAXAMAAA4AAAAAAAAAAQAgAAAAJAEAAGRycy9l&#10;Mm9Eb2MueG1sUEsFBgAAAAAGAAYAWQEAAF4FAAAAAA==&#10;">
                <v:fill on="f" focussize="0,0"/>
                <v:stroke color="#000000" joinstyle="round"/>
                <v:imagedata o:title=""/>
                <o:lock v:ext="edit" aspectratio="f"/>
              </v:line>
            </w:pict>
          </mc:Fallback>
        </mc:AlternateContent>
      </w:r>
      <w:r>
        <w:rPr>
          <w:rFonts w:hint="eastAsia" w:ascii="宋体" w:hAnsi="宋体"/>
          <w:szCs w:val="21"/>
        </w:rPr>
        <w:t>近期床位数＝　　　　　　　       ＝1</w:t>
      </w:r>
      <w:r>
        <w:rPr>
          <w:rFonts w:ascii="宋体" w:hAnsi="宋体"/>
          <w:szCs w:val="21"/>
        </w:rPr>
        <w:t>7300</w:t>
      </w:r>
      <w:r>
        <w:rPr>
          <w:rFonts w:hint="eastAsia" w:ascii="宋体" w:hAnsi="宋体"/>
          <w:szCs w:val="21"/>
        </w:rPr>
        <w:t>个</w:t>
      </w:r>
    </w:p>
    <w:p>
      <w:pPr>
        <w:spacing w:line="300" w:lineRule="auto"/>
        <w:ind w:firstLine="480"/>
        <w:rPr>
          <w:rFonts w:ascii="宋体" w:hAnsi="宋体"/>
          <w:szCs w:val="21"/>
        </w:rPr>
      </w:pP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60%</w:t>
      </w:r>
    </w:p>
    <w:p>
      <w:pPr>
        <w:spacing w:before="156" w:beforeLines="50" w:line="300" w:lineRule="auto"/>
        <w:ind w:firstLine="2160" w:firstLineChars="900"/>
        <w:rPr>
          <w:rFonts w:ascii="宋体" w:hAnsi="宋体"/>
          <w:szCs w:val="21"/>
        </w:rPr>
      </w:pPr>
      <w:r>
        <w:rPr>
          <w:rFonts w:hint="eastAsia" w:ascii="宋体" w:hAnsi="宋体"/>
          <w:szCs w:val="21"/>
        </w:rPr>
        <w:t>4</w:t>
      </w:r>
      <w:r>
        <w:rPr>
          <w:rFonts w:ascii="宋体" w:hAnsi="宋体"/>
          <w:szCs w:val="21"/>
        </w:rPr>
        <w:t>64</w:t>
      </w:r>
      <w:r>
        <w:rPr>
          <w:rFonts w:hint="eastAsia" w:ascii="宋体" w:hAnsi="宋体"/>
          <w:szCs w:val="21"/>
        </w:rPr>
        <w:t>00</w:t>
      </w:r>
      <w:r>
        <w:rPr>
          <w:rFonts w:ascii="宋体" w:hAnsi="宋体"/>
          <w:szCs w:val="21"/>
        </w:rPr>
        <w:t>×2×</w:t>
      </w:r>
      <w:r>
        <w:rPr>
          <w:rFonts w:hint="eastAsia" w:ascii="宋体" w:hAnsi="宋体"/>
          <w:szCs w:val="21"/>
        </w:rPr>
        <w:t>40%</w:t>
      </w:r>
    </w:p>
    <w:p>
      <w:pPr>
        <w:spacing w:line="300" w:lineRule="auto"/>
        <w:ind w:firstLine="480"/>
        <w:rPr>
          <w:rFonts w:ascii="宋体" w:hAnsi="宋体"/>
          <w:szCs w:val="21"/>
        </w:rPr>
      </w:pPr>
      <w:r>
        <w:rPr>
          <w:rFonts w:ascii="Calibri" w:hAnsi="Calibri"/>
          <w:szCs w:val="21"/>
        </w:rPr>
        <mc:AlternateContent>
          <mc:Choice Requires="wps">
            <w:drawing>
              <wp:anchor distT="0" distB="0" distL="114300" distR="114300" simplePos="0" relativeHeight="251659264" behindDoc="0" locked="0" layoutInCell="1" allowOverlap="1">
                <wp:simplePos x="0" y="0"/>
                <wp:positionH relativeFrom="column">
                  <wp:posOffset>1306195</wp:posOffset>
                </wp:positionH>
                <wp:positionV relativeFrom="paragraph">
                  <wp:posOffset>138430</wp:posOffset>
                </wp:positionV>
                <wp:extent cx="1119505" cy="9525"/>
                <wp:effectExtent l="0" t="0" r="23495" b="28575"/>
                <wp:wrapNone/>
                <wp:docPr id="1"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1119773" cy="9779"/>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02.85pt;margin-top:10.9pt;height:0.75pt;width:88.15pt;z-index:251659264;mso-width-relative:page;mso-height-relative:page;" filled="f" stroked="t" coordsize="21600,21600" o:gfxdata="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CIUU/1gAAAAkBAAAPAAAAAAAAAAEAIAAAACIAAABkcnMvZG93&#10;bnJldi54bWxQSwECFAAUAAAACACHTuJAOrZE6ckBAABfAwAADgAAAAAAAAABACAAAAAlAQAAZHJz&#10;L2Uyb0RvYy54bWxQSwUGAAAAAAYABgBZAQAAYAUAAAAA&#10;">
                <v:fill on="f" focussize="0,0"/>
                <v:stroke color="#000000" joinstyle="round"/>
                <v:imagedata o:title=""/>
                <o:lock v:ext="edit" aspectratio="f"/>
              </v:line>
            </w:pict>
          </mc:Fallback>
        </mc:AlternateContent>
      </w:r>
      <w:r>
        <w:rPr>
          <w:rFonts w:hint="eastAsia" w:ascii="宋体" w:hAnsi="宋体"/>
          <w:szCs w:val="21"/>
        </w:rPr>
        <w:t>远期床位数＝　　 　　　　　　    ＝</w:t>
      </w:r>
      <w:r>
        <w:rPr>
          <w:rFonts w:ascii="宋体" w:hAnsi="宋体"/>
          <w:szCs w:val="21"/>
        </w:rPr>
        <w:t>53028</w:t>
      </w:r>
      <w:r>
        <w:rPr>
          <w:rFonts w:hint="eastAsia" w:ascii="宋体" w:hAnsi="宋体"/>
          <w:szCs w:val="21"/>
        </w:rPr>
        <w:t>个，</w:t>
      </w:r>
      <w:r>
        <w:rPr>
          <w:rFonts w:ascii="宋体" w:hAnsi="宋体"/>
          <w:szCs w:val="21"/>
        </w:rPr>
        <w:t>取整后为53000</w:t>
      </w:r>
      <w:r>
        <w:rPr>
          <w:rFonts w:hint="eastAsia" w:ascii="宋体" w:hAnsi="宋体"/>
          <w:szCs w:val="21"/>
        </w:rPr>
        <w:t>个</w:t>
      </w:r>
    </w:p>
    <w:p>
      <w:pPr>
        <w:spacing w:line="300" w:lineRule="auto"/>
        <w:ind w:firstLine="480"/>
        <w:rPr>
          <w:rFonts w:ascii="宋体" w:hAnsi="宋体"/>
          <w:szCs w:val="21"/>
        </w:rPr>
      </w:pPr>
      <w:r>
        <w:rPr>
          <w:rFonts w:hint="eastAsia" w:ascii="宋体" w:hAnsi="宋体"/>
          <w:szCs w:val="21"/>
        </w:rPr>
        <w:t xml:space="preserve">　　　　　　　　  </w:t>
      </w:r>
      <w:r>
        <w:rPr>
          <w:rFonts w:ascii="宋体" w:hAnsi="宋体"/>
          <w:szCs w:val="21"/>
        </w:rPr>
        <w:t xml:space="preserve"> </w:t>
      </w:r>
      <w:r>
        <w:rPr>
          <w:rFonts w:hint="eastAsia" w:ascii="宋体" w:hAnsi="宋体"/>
          <w:szCs w:val="21"/>
        </w:rPr>
        <w:t>70%</w:t>
      </w:r>
    </w:p>
    <w:p>
      <w:pPr>
        <w:pStyle w:val="4"/>
        <w:spacing w:before="156"/>
        <w:ind w:firstLine="360"/>
      </w:pPr>
      <w:bookmarkStart w:id="47" w:name="_Toc517293066"/>
      <w:r>
        <w:rPr>
          <w:rFonts w:hint="eastAsia"/>
        </w:rPr>
        <w:t>（四）设施分级</w:t>
      </w:r>
      <w:bookmarkEnd w:id="47"/>
      <w:r>
        <w:rPr>
          <w:rFonts w:hint="eastAsia"/>
        </w:rPr>
        <w:t>规划</w:t>
      </w:r>
    </w:p>
    <w:p>
      <w:pPr>
        <w:spacing w:before="93" w:beforeLines="30"/>
        <w:ind w:firstLine="480"/>
        <w:rPr>
          <w:rFonts w:cs="宋体"/>
        </w:rPr>
      </w:pPr>
      <w:r>
        <w:rPr>
          <w:rFonts w:hint="eastAsia" w:cs="宋体"/>
        </w:rPr>
        <w:t>风景区旅游服务设施分为旅游城、旅游镇、旅游村、旅游点、服务部五级。旅游城将承担全域景区的旅游集散、服务设施配套等综合旅游服务功能，有比较完善的行游食宿购娱休等各类设施；旅游镇设置区域旅游集散功能，有较为健全的各类设施；旅游村大部分位于景区周边，可与旅游村的自然、文化资源以及周边旅游项目相结合，承担景区周边的旅游服务配套功能；旅游点主要位于景区入口处，主要承担游客服务及简易的宿食游购需求；服务部主要承担景区内部的旅游服务功能，可配置休憩设施、必要的小卖商亭、码头等。</w:t>
      </w:r>
    </w:p>
    <w:p>
      <w:pPr>
        <w:spacing w:before="72"/>
        <w:ind w:firstLine="422"/>
        <w:jc w:val="center"/>
        <w:rPr>
          <w:rFonts w:ascii="宋体" w:hAnsi="宋体"/>
          <w:b/>
          <w:color w:val="000000" w:themeColor="text1"/>
          <w:sz w:val="21"/>
          <w:szCs w:val="21"/>
          <w14:textFill>
            <w14:solidFill>
              <w14:schemeClr w14:val="tx1"/>
            </w14:solidFill>
          </w14:textFill>
        </w:rPr>
      </w:pPr>
      <w:r>
        <w:rPr>
          <w:rFonts w:hint="eastAsia" w:ascii="宋体" w:hAnsi="宋体"/>
          <w:b/>
          <w:color w:val="000000" w:themeColor="text1"/>
          <w:sz w:val="21"/>
          <w:szCs w:val="21"/>
          <w14:textFill>
            <w14:solidFill>
              <w14:schemeClr w14:val="tx1"/>
            </w14:solidFill>
          </w14:textFill>
        </w:rPr>
        <w:t>表</w:t>
      </w:r>
      <w:r>
        <w:rPr>
          <w:rFonts w:ascii="宋体" w:hAnsi="宋体"/>
          <w:b/>
          <w:color w:val="000000" w:themeColor="text1"/>
          <w:sz w:val="21"/>
          <w:szCs w:val="21"/>
          <w14:textFill>
            <w14:solidFill>
              <w14:schemeClr w14:val="tx1"/>
            </w14:solidFill>
          </w14:textFill>
        </w:rPr>
        <w:t>4-9</w:t>
      </w:r>
      <w:r>
        <w:rPr>
          <w:rFonts w:hint="eastAsia" w:ascii="宋体" w:hAnsi="宋体"/>
          <w:b/>
          <w:color w:val="000000" w:themeColor="text1"/>
          <w:sz w:val="21"/>
          <w:szCs w:val="21"/>
          <w14:textFill>
            <w14:solidFill>
              <w14:schemeClr w14:val="tx1"/>
            </w14:solidFill>
          </w14:textFill>
        </w:rPr>
        <w:t>各级旅游服务基地游览设施配置表</w:t>
      </w:r>
    </w:p>
    <w:tbl>
      <w:tblPr>
        <w:tblStyle w:val="42"/>
        <w:tblW w:w="85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430"/>
        <w:gridCol w:w="614"/>
        <w:gridCol w:w="641"/>
        <w:gridCol w:w="606"/>
        <w:gridCol w:w="595"/>
        <w:gridCol w:w="649"/>
        <w:gridCol w:w="3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exact"/>
          <w:tblHeader/>
          <w:jc w:val="center"/>
        </w:trPr>
        <w:tc>
          <w:tcPr>
            <w:tcW w:w="676" w:type="dxa"/>
            <w:shd w:val="pct10" w:color="auto" w:fill="auto"/>
            <w:vAlign w:val="center"/>
          </w:tcPr>
          <w:p>
            <w:pPr>
              <w:snapToGrid w:val="0"/>
              <w:spacing w:line="240" w:lineRule="auto"/>
              <w:ind w:firstLine="0" w:firstLineChars="0"/>
              <w:jc w:val="center"/>
              <w:rPr>
                <w:rFonts w:ascii="Calibri" w:hAnsi="Calibri"/>
                <w:b/>
                <w:sz w:val="18"/>
                <w:szCs w:val="18"/>
              </w:rPr>
            </w:pPr>
            <w:r>
              <w:rPr>
                <w:rFonts w:hint="eastAsia" w:ascii="Calibri" w:hAnsi="Calibri"/>
                <w:b/>
                <w:sz w:val="18"/>
                <w:szCs w:val="18"/>
              </w:rPr>
              <w:t>设施</w:t>
            </w:r>
          </w:p>
          <w:p>
            <w:pPr>
              <w:snapToGrid w:val="0"/>
              <w:spacing w:line="240" w:lineRule="auto"/>
              <w:ind w:firstLine="0" w:firstLineChars="0"/>
              <w:jc w:val="center"/>
              <w:rPr>
                <w:rFonts w:ascii="Calibri" w:hAnsi="Calibri"/>
                <w:b/>
                <w:sz w:val="18"/>
                <w:szCs w:val="18"/>
              </w:rPr>
            </w:pPr>
            <w:r>
              <w:rPr>
                <w:rFonts w:hint="eastAsia" w:ascii="Calibri" w:hAnsi="Calibri"/>
                <w:b/>
                <w:sz w:val="18"/>
                <w:szCs w:val="18"/>
              </w:rPr>
              <w:t>类型</w:t>
            </w:r>
          </w:p>
        </w:tc>
        <w:tc>
          <w:tcPr>
            <w:tcW w:w="1430" w:type="dxa"/>
            <w:shd w:val="pct10" w:color="auto" w:fill="auto"/>
            <w:vAlign w:val="center"/>
          </w:tcPr>
          <w:p>
            <w:pPr>
              <w:snapToGrid w:val="0"/>
              <w:spacing w:line="240" w:lineRule="auto"/>
              <w:ind w:firstLine="0" w:firstLineChars="0"/>
              <w:jc w:val="center"/>
              <w:rPr>
                <w:rFonts w:ascii="Calibri" w:hAnsi="Calibri"/>
                <w:b/>
                <w:sz w:val="18"/>
                <w:szCs w:val="18"/>
              </w:rPr>
            </w:pPr>
            <w:r>
              <w:rPr>
                <w:rFonts w:hint="eastAsia" w:ascii="Calibri" w:hAnsi="Calibri"/>
                <w:b/>
                <w:sz w:val="18"/>
                <w:szCs w:val="18"/>
              </w:rPr>
              <w:t>设施项目</w:t>
            </w:r>
          </w:p>
        </w:tc>
        <w:tc>
          <w:tcPr>
            <w:tcW w:w="614" w:type="dxa"/>
            <w:shd w:val="pct10" w:color="auto" w:fill="auto"/>
            <w:vAlign w:val="center"/>
          </w:tcPr>
          <w:p>
            <w:pPr>
              <w:snapToGrid w:val="0"/>
              <w:spacing w:line="240" w:lineRule="auto"/>
              <w:ind w:firstLine="0" w:firstLineChars="0"/>
              <w:jc w:val="center"/>
              <w:rPr>
                <w:rFonts w:ascii="Calibri" w:hAnsi="Calibri"/>
                <w:b/>
                <w:sz w:val="18"/>
                <w:szCs w:val="18"/>
              </w:rPr>
            </w:pPr>
            <w:r>
              <w:rPr>
                <w:rFonts w:hint="eastAsia" w:ascii="Calibri" w:hAnsi="Calibri"/>
                <w:b/>
                <w:sz w:val="18"/>
                <w:szCs w:val="18"/>
              </w:rPr>
              <w:t>旅游城</w:t>
            </w:r>
          </w:p>
        </w:tc>
        <w:tc>
          <w:tcPr>
            <w:tcW w:w="641" w:type="dxa"/>
            <w:shd w:val="pct10" w:color="auto" w:fill="auto"/>
            <w:vAlign w:val="center"/>
          </w:tcPr>
          <w:p>
            <w:pPr>
              <w:snapToGrid w:val="0"/>
              <w:spacing w:line="240" w:lineRule="auto"/>
              <w:ind w:firstLine="0" w:firstLineChars="0"/>
              <w:jc w:val="center"/>
              <w:rPr>
                <w:rFonts w:ascii="Calibri" w:hAnsi="Calibri"/>
                <w:b/>
                <w:sz w:val="18"/>
                <w:szCs w:val="18"/>
              </w:rPr>
            </w:pPr>
            <w:r>
              <w:rPr>
                <w:rFonts w:hint="eastAsia" w:ascii="Calibri" w:hAnsi="Calibri"/>
                <w:b/>
                <w:sz w:val="18"/>
                <w:szCs w:val="18"/>
              </w:rPr>
              <w:t>旅游镇</w:t>
            </w:r>
          </w:p>
        </w:tc>
        <w:tc>
          <w:tcPr>
            <w:tcW w:w="606" w:type="dxa"/>
            <w:shd w:val="pct10" w:color="auto" w:fill="auto"/>
            <w:vAlign w:val="center"/>
          </w:tcPr>
          <w:p>
            <w:pPr>
              <w:snapToGrid w:val="0"/>
              <w:spacing w:line="240" w:lineRule="auto"/>
              <w:ind w:firstLine="0" w:firstLineChars="0"/>
              <w:jc w:val="center"/>
              <w:rPr>
                <w:rFonts w:ascii="Calibri" w:hAnsi="Calibri"/>
                <w:b/>
                <w:sz w:val="18"/>
                <w:szCs w:val="18"/>
              </w:rPr>
            </w:pPr>
            <w:r>
              <w:rPr>
                <w:rFonts w:hint="eastAsia" w:ascii="Calibri" w:hAnsi="Calibri"/>
                <w:b/>
                <w:sz w:val="18"/>
                <w:szCs w:val="18"/>
              </w:rPr>
              <w:t>旅游村</w:t>
            </w:r>
          </w:p>
        </w:tc>
        <w:tc>
          <w:tcPr>
            <w:tcW w:w="595" w:type="dxa"/>
            <w:shd w:val="pct10" w:color="auto" w:fill="auto"/>
            <w:vAlign w:val="center"/>
          </w:tcPr>
          <w:p>
            <w:pPr>
              <w:snapToGrid w:val="0"/>
              <w:spacing w:line="240" w:lineRule="auto"/>
              <w:ind w:firstLine="0" w:firstLineChars="0"/>
              <w:jc w:val="center"/>
              <w:rPr>
                <w:rFonts w:ascii="Calibri" w:hAnsi="Calibri"/>
                <w:b/>
                <w:sz w:val="18"/>
                <w:szCs w:val="18"/>
              </w:rPr>
            </w:pPr>
            <w:r>
              <w:rPr>
                <w:rFonts w:hint="eastAsia" w:ascii="Calibri" w:hAnsi="Calibri"/>
                <w:b/>
                <w:sz w:val="18"/>
                <w:szCs w:val="18"/>
              </w:rPr>
              <w:t>旅游点</w:t>
            </w:r>
          </w:p>
        </w:tc>
        <w:tc>
          <w:tcPr>
            <w:tcW w:w="649" w:type="dxa"/>
            <w:shd w:val="pct10" w:color="auto" w:fill="auto"/>
            <w:vAlign w:val="center"/>
          </w:tcPr>
          <w:p>
            <w:pPr>
              <w:snapToGrid w:val="0"/>
              <w:spacing w:line="240" w:lineRule="auto"/>
              <w:ind w:firstLine="0" w:firstLineChars="0"/>
              <w:jc w:val="center"/>
              <w:rPr>
                <w:rFonts w:ascii="Calibri" w:hAnsi="Calibri"/>
                <w:b/>
                <w:sz w:val="18"/>
                <w:szCs w:val="18"/>
              </w:rPr>
            </w:pPr>
            <w:r>
              <w:rPr>
                <w:rFonts w:hint="eastAsia" w:ascii="Calibri" w:hAnsi="Calibri"/>
                <w:b/>
                <w:sz w:val="18"/>
                <w:szCs w:val="18"/>
              </w:rPr>
              <w:t>服务部</w:t>
            </w:r>
          </w:p>
        </w:tc>
        <w:tc>
          <w:tcPr>
            <w:tcW w:w="3364" w:type="dxa"/>
            <w:shd w:val="pct10" w:color="auto" w:fill="auto"/>
            <w:vAlign w:val="center"/>
          </w:tcPr>
          <w:p>
            <w:pPr>
              <w:snapToGrid w:val="0"/>
              <w:spacing w:line="240" w:lineRule="auto"/>
              <w:ind w:firstLine="0" w:firstLineChars="0"/>
              <w:jc w:val="center"/>
              <w:rPr>
                <w:rFonts w:ascii="Calibri" w:hAnsi="Calibri"/>
                <w:b/>
                <w:sz w:val="18"/>
                <w:szCs w:val="18"/>
              </w:rPr>
            </w:pPr>
            <w:r>
              <w:rPr>
                <w:rFonts w:hint="eastAsia" w:ascii="Calibri" w:hAnsi="Calibri"/>
                <w:b/>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676" w:type="dxa"/>
            <w:vMerge w:val="restart"/>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游览</w:t>
            </w:r>
          </w:p>
        </w:tc>
        <w:tc>
          <w:tcPr>
            <w:tcW w:w="1430"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1．导游小品</w:t>
            </w:r>
          </w:p>
        </w:tc>
        <w:tc>
          <w:tcPr>
            <w:tcW w:w="614" w:type="dxa"/>
            <w:vAlign w:val="center"/>
          </w:tcPr>
          <w:p>
            <w:pPr>
              <w:adjustRightInd w:val="0"/>
              <w:snapToGrid w:val="0"/>
              <w:spacing w:line="240" w:lineRule="auto"/>
              <w:ind w:firstLine="0" w:firstLineChars="0"/>
              <w:jc w:val="center"/>
              <w:rPr>
                <w:rFonts w:ascii="宋体" w:hAnsi="宋体" w:cs="Arial Unicode MS"/>
                <w:sz w:val="18"/>
                <w:szCs w:val="18"/>
              </w:rPr>
            </w:pPr>
            <w:r>
              <w:rPr>
                <w:rFonts w:hint="eastAsia" w:ascii="宋体" w:hAnsi="宋体" w:cs="Arial Unicode MS"/>
                <w:sz w:val="18"/>
                <w:szCs w:val="18"/>
              </w:rPr>
              <w:t>▲</w:t>
            </w:r>
          </w:p>
        </w:tc>
        <w:tc>
          <w:tcPr>
            <w:tcW w:w="641" w:type="dxa"/>
            <w:vAlign w:val="center"/>
          </w:tcPr>
          <w:p>
            <w:pPr>
              <w:adjustRightInd w:val="0"/>
              <w:snapToGrid w:val="0"/>
              <w:spacing w:line="240" w:lineRule="auto"/>
              <w:ind w:firstLine="0" w:firstLineChars="0"/>
              <w:jc w:val="center"/>
              <w:rPr>
                <w:rFonts w:ascii="宋体" w:hAnsi="宋体" w:cs="Arial Unicode MS"/>
                <w:sz w:val="18"/>
                <w:szCs w:val="18"/>
              </w:rPr>
            </w:pPr>
            <w:r>
              <w:rPr>
                <w:rFonts w:hint="eastAsia" w:ascii="宋体" w:hAnsi="宋体" w:cs="Arial Unicode MS"/>
                <w:sz w:val="18"/>
                <w:szCs w:val="18"/>
              </w:rPr>
              <w:t>▲</w:t>
            </w:r>
          </w:p>
        </w:tc>
        <w:tc>
          <w:tcPr>
            <w:tcW w:w="606"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595"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49"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3364"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标示、标志、公告牌、图示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exact"/>
          <w:jc w:val="center"/>
        </w:trPr>
        <w:tc>
          <w:tcPr>
            <w:tcW w:w="676" w:type="dxa"/>
            <w:vMerge w:val="continue"/>
            <w:vAlign w:val="center"/>
          </w:tcPr>
          <w:p>
            <w:pPr>
              <w:snapToGrid w:val="0"/>
              <w:spacing w:line="240" w:lineRule="auto"/>
              <w:ind w:firstLine="0" w:firstLineChars="0"/>
              <w:rPr>
                <w:rFonts w:ascii="Calibri" w:hAnsi="Calibri"/>
                <w:sz w:val="18"/>
                <w:szCs w:val="18"/>
              </w:rPr>
            </w:pPr>
          </w:p>
        </w:tc>
        <w:tc>
          <w:tcPr>
            <w:tcW w:w="1430"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2．休憩庇护</w:t>
            </w:r>
          </w:p>
        </w:tc>
        <w:tc>
          <w:tcPr>
            <w:tcW w:w="614" w:type="dxa"/>
            <w:vAlign w:val="center"/>
          </w:tcPr>
          <w:p>
            <w:pPr>
              <w:adjustRightInd w:val="0"/>
              <w:snapToGrid w:val="0"/>
              <w:spacing w:line="240" w:lineRule="auto"/>
              <w:ind w:firstLine="0" w:firstLineChars="0"/>
              <w:jc w:val="center"/>
              <w:rPr>
                <w:rFonts w:ascii="宋体" w:hAnsi="宋体" w:cs="Arial Unicode MS"/>
                <w:sz w:val="18"/>
                <w:szCs w:val="18"/>
              </w:rPr>
            </w:pPr>
            <w:r>
              <w:rPr>
                <w:rFonts w:hint="eastAsia" w:ascii="宋体" w:hAnsi="宋体" w:cs="Arial Unicode MS"/>
                <w:sz w:val="18"/>
                <w:szCs w:val="18"/>
              </w:rPr>
              <w:t>▲</w:t>
            </w:r>
          </w:p>
        </w:tc>
        <w:tc>
          <w:tcPr>
            <w:tcW w:w="641" w:type="dxa"/>
            <w:vAlign w:val="center"/>
          </w:tcPr>
          <w:p>
            <w:pPr>
              <w:adjustRightInd w:val="0"/>
              <w:snapToGrid w:val="0"/>
              <w:spacing w:line="240" w:lineRule="auto"/>
              <w:ind w:firstLine="0" w:firstLineChars="0"/>
              <w:jc w:val="center"/>
              <w:rPr>
                <w:rFonts w:ascii="宋体" w:hAnsi="宋体" w:cs="Arial Unicode MS"/>
                <w:sz w:val="18"/>
                <w:szCs w:val="18"/>
              </w:rPr>
            </w:pPr>
            <w:r>
              <w:rPr>
                <w:rFonts w:hint="eastAsia" w:ascii="宋体" w:hAnsi="宋体" w:cs="Arial Unicode MS"/>
                <w:sz w:val="18"/>
                <w:szCs w:val="18"/>
              </w:rPr>
              <w:t>▲</w:t>
            </w:r>
          </w:p>
        </w:tc>
        <w:tc>
          <w:tcPr>
            <w:tcW w:w="606"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595"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49"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3364"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坐椅桌、风雨亭、避难屋、集散点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676" w:type="dxa"/>
            <w:vMerge w:val="continue"/>
            <w:vAlign w:val="center"/>
          </w:tcPr>
          <w:p>
            <w:pPr>
              <w:snapToGrid w:val="0"/>
              <w:spacing w:line="240" w:lineRule="auto"/>
              <w:ind w:firstLine="0" w:firstLineChars="0"/>
              <w:rPr>
                <w:rFonts w:ascii="Calibri" w:hAnsi="Calibri"/>
                <w:sz w:val="18"/>
                <w:szCs w:val="18"/>
              </w:rPr>
            </w:pPr>
          </w:p>
        </w:tc>
        <w:tc>
          <w:tcPr>
            <w:tcW w:w="1430"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3．环境卫生</w:t>
            </w:r>
          </w:p>
        </w:tc>
        <w:tc>
          <w:tcPr>
            <w:tcW w:w="614" w:type="dxa"/>
            <w:vAlign w:val="center"/>
          </w:tcPr>
          <w:p>
            <w:pPr>
              <w:adjustRightInd w:val="0"/>
              <w:snapToGrid w:val="0"/>
              <w:spacing w:line="240" w:lineRule="auto"/>
              <w:ind w:firstLine="0" w:firstLineChars="0"/>
              <w:jc w:val="center"/>
              <w:rPr>
                <w:rFonts w:ascii="宋体" w:hAnsi="宋体" w:cs="Arial Unicode MS"/>
                <w:sz w:val="18"/>
                <w:szCs w:val="18"/>
              </w:rPr>
            </w:pPr>
            <w:r>
              <w:rPr>
                <w:rFonts w:hint="eastAsia" w:ascii="宋体" w:hAnsi="宋体" w:cs="Arial Unicode MS"/>
                <w:sz w:val="18"/>
                <w:szCs w:val="18"/>
              </w:rPr>
              <w:t>▲</w:t>
            </w:r>
          </w:p>
        </w:tc>
        <w:tc>
          <w:tcPr>
            <w:tcW w:w="641" w:type="dxa"/>
            <w:vAlign w:val="center"/>
          </w:tcPr>
          <w:p>
            <w:pPr>
              <w:adjustRightInd w:val="0"/>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06"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595"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49"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3364"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废弃物箱、公厕、盥洗处、垃圾站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676" w:type="dxa"/>
            <w:vMerge w:val="continue"/>
            <w:vAlign w:val="center"/>
          </w:tcPr>
          <w:p>
            <w:pPr>
              <w:snapToGrid w:val="0"/>
              <w:spacing w:line="240" w:lineRule="auto"/>
              <w:ind w:firstLine="0" w:firstLineChars="0"/>
              <w:rPr>
                <w:rFonts w:ascii="Calibri" w:hAnsi="Calibri"/>
                <w:sz w:val="18"/>
                <w:szCs w:val="18"/>
              </w:rPr>
            </w:pPr>
          </w:p>
        </w:tc>
        <w:tc>
          <w:tcPr>
            <w:tcW w:w="1430"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4．纪念展览</w:t>
            </w:r>
          </w:p>
        </w:tc>
        <w:tc>
          <w:tcPr>
            <w:tcW w:w="614" w:type="dxa"/>
            <w:vAlign w:val="center"/>
          </w:tcPr>
          <w:p>
            <w:pPr>
              <w:adjustRightInd w:val="0"/>
              <w:snapToGrid w:val="0"/>
              <w:spacing w:line="240" w:lineRule="auto"/>
              <w:ind w:firstLine="0" w:firstLineChars="0"/>
              <w:jc w:val="center"/>
              <w:rPr>
                <w:rFonts w:ascii="宋体" w:hAnsi="宋体" w:cs="Arial Unicode MS"/>
                <w:sz w:val="18"/>
                <w:szCs w:val="18"/>
              </w:rPr>
            </w:pPr>
            <w:r>
              <w:rPr>
                <w:rFonts w:hint="eastAsia" w:ascii="宋体" w:hAnsi="宋体" w:cs="Arial Unicode MS"/>
                <w:sz w:val="18"/>
                <w:szCs w:val="18"/>
              </w:rPr>
              <w:t>▲</w:t>
            </w:r>
          </w:p>
        </w:tc>
        <w:tc>
          <w:tcPr>
            <w:tcW w:w="641" w:type="dxa"/>
            <w:vAlign w:val="center"/>
          </w:tcPr>
          <w:p>
            <w:pPr>
              <w:adjustRightInd w:val="0"/>
              <w:snapToGrid w:val="0"/>
              <w:spacing w:line="240" w:lineRule="auto"/>
              <w:ind w:firstLine="0" w:firstLineChars="0"/>
              <w:jc w:val="center"/>
              <w:rPr>
                <w:rFonts w:ascii="宋体" w:hAnsi="宋体" w:cs="Arial Unicode MS"/>
                <w:sz w:val="18"/>
                <w:szCs w:val="18"/>
              </w:rPr>
            </w:pPr>
            <w:r>
              <w:rPr>
                <w:rFonts w:hint="eastAsia" w:ascii="宋体" w:hAnsi="宋体" w:cs="Arial Unicode MS"/>
                <w:sz w:val="18"/>
                <w:szCs w:val="18"/>
              </w:rPr>
              <w:t>△</w:t>
            </w:r>
          </w:p>
        </w:tc>
        <w:tc>
          <w:tcPr>
            <w:tcW w:w="606"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595"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49"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3364"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文化遗存展示、展览馆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676" w:type="dxa"/>
            <w:vMerge w:val="continue"/>
            <w:vAlign w:val="center"/>
          </w:tcPr>
          <w:p>
            <w:pPr>
              <w:snapToGrid w:val="0"/>
              <w:spacing w:line="240" w:lineRule="auto"/>
              <w:ind w:firstLine="0" w:firstLineChars="0"/>
              <w:rPr>
                <w:rFonts w:ascii="Calibri" w:hAnsi="Calibri"/>
                <w:sz w:val="18"/>
                <w:szCs w:val="18"/>
              </w:rPr>
            </w:pPr>
          </w:p>
        </w:tc>
        <w:tc>
          <w:tcPr>
            <w:tcW w:w="1430"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5．宣讲咨询</w:t>
            </w:r>
          </w:p>
        </w:tc>
        <w:tc>
          <w:tcPr>
            <w:tcW w:w="614" w:type="dxa"/>
            <w:vAlign w:val="center"/>
          </w:tcPr>
          <w:p>
            <w:pPr>
              <w:adjustRightInd w:val="0"/>
              <w:snapToGrid w:val="0"/>
              <w:spacing w:line="240" w:lineRule="auto"/>
              <w:ind w:firstLine="0" w:firstLineChars="0"/>
              <w:jc w:val="center"/>
              <w:rPr>
                <w:rFonts w:ascii="宋体" w:hAnsi="宋体" w:cs="Arial Unicode MS"/>
                <w:sz w:val="18"/>
                <w:szCs w:val="18"/>
              </w:rPr>
            </w:pPr>
            <w:r>
              <w:rPr>
                <w:rFonts w:hint="eastAsia" w:ascii="宋体" w:hAnsi="宋体" w:cs="Arial Unicode MS"/>
                <w:sz w:val="18"/>
                <w:szCs w:val="18"/>
              </w:rPr>
              <w:t>▲</w:t>
            </w:r>
          </w:p>
        </w:tc>
        <w:tc>
          <w:tcPr>
            <w:tcW w:w="641" w:type="dxa"/>
            <w:vAlign w:val="center"/>
          </w:tcPr>
          <w:p>
            <w:pPr>
              <w:adjustRightInd w:val="0"/>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06"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595"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49"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3364"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宣讲服务点、导游点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676" w:type="dxa"/>
            <w:vMerge w:val="continue"/>
            <w:vAlign w:val="center"/>
          </w:tcPr>
          <w:p>
            <w:pPr>
              <w:snapToGrid w:val="0"/>
              <w:spacing w:line="240" w:lineRule="auto"/>
              <w:ind w:firstLine="0" w:firstLineChars="0"/>
              <w:rPr>
                <w:rFonts w:ascii="Calibri" w:hAnsi="Calibri"/>
                <w:sz w:val="18"/>
                <w:szCs w:val="18"/>
              </w:rPr>
            </w:pPr>
          </w:p>
        </w:tc>
        <w:tc>
          <w:tcPr>
            <w:tcW w:w="1430"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6．民俗宗教</w:t>
            </w:r>
          </w:p>
        </w:tc>
        <w:tc>
          <w:tcPr>
            <w:tcW w:w="614" w:type="dxa"/>
            <w:vAlign w:val="center"/>
          </w:tcPr>
          <w:p>
            <w:pPr>
              <w:adjustRightInd w:val="0"/>
              <w:snapToGrid w:val="0"/>
              <w:spacing w:line="240" w:lineRule="auto"/>
              <w:ind w:firstLine="0" w:firstLineChars="0"/>
              <w:jc w:val="center"/>
              <w:rPr>
                <w:rFonts w:ascii="宋体" w:hAnsi="宋体" w:cs="Arial Unicode MS"/>
                <w:sz w:val="18"/>
                <w:szCs w:val="18"/>
              </w:rPr>
            </w:pPr>
            <w:r>
              <w:rPr>
                <w:rFonts w:hint="eastAsia" w:ascii="宋体" w:hAnsi="宋体" w:cs="Arial Unicode MS"/>
                <w:sz w:val="18"/>
                <w:szCs w:val="18"/>
              </w:rPr>
              <w:t>△</w:t>
            </w:r>
          </w:p>
        </w:tc>
        <w:tc>
          <w:tcPr>
            <w:tcW w:w="641" w:type="dxa"/>
            <w:vAlign w:val="center"/>
          </w:tcPr>
          <w:p>
            <w:pPr>
              <w:adjustRightInd w:val="0"/>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06"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595"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49"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3364"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民俗礼仪场所等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676" w:type="dxa"/>
            <w:vMerge w:val="restart"/>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餐饮</w:t>
            </w:r>
          </w:p>
        </w:tc>
        <w:tc>
          <w:tcPr>
            <w:tcW w:w="1430"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1．饮食点</w:t>
            </w:r>
          </w:p>
        </w:tc>
        <w:tc>
          <w:tcPr>
            <w:tcW w:w="614" w:type="dxa"/>
            <w:vAlign w:val="center"/>
          </w:tcPr>
          <w:p>
            <w:pPr>
              <w:adjustRightInd w:val="0"/>
              <w:snapToGrid w:val="0"/>
              <w:spacing w:line="240" w:lineRule="auto"/>
              <w:ind w:firstLine="0" w:firstLineChars="0"/>
              <w:jc w:val="center"/>
              <w:rPr>
                <w:rFonts w:ascii="宋体" w:hAnsi="宋体" w:cs="Arial Unicode MS"/>
                <w:sz w:val="18"/>
                <w:szCs w:val="18"/>
              </w:rPr>
            </w:pPr>
            <w:r>
              <w:rPr>
                <w:rFonts w:hint="eastAsia" w:ascii="宋体" w:hAnsi="宋体" w:cs="Arial Unicode MS"/>
                <w:sz w:val="18"/>
                <w:szCs w:val="18"/>
              </w:rPr>
              <w:t>▲</w:t>
            </w:r>
          </w:p>
        </w:tc>
        <w:tc>
          <w:tcPr>
            <w:tcW w:w="641" w:type="dxa"/>
            <w:vAlign w:val="center"/>
          </w:tcPr>
          <w:p>
            <w:pPr>
              <w:adjustRightInd w:val="0"/>
              <w:snapToGrid w:val="0"/>
              <w:spacing w:line="240" w:lineRule="auto"/>
              <w:ind w:firstLine="0" w:firstLineChars="0"/>
              <w:jc w:val="center"/>
              <w:rPr>
                <w:rFonts w:ascii="宋体" w:hAnsi="宋体" w:cs="Arial Unicode MS"/>
                <w:sz w:val="18"/>
                <w:szCs w:val="18"/>
              </w:rPr>
            </w:pPr>
            <w:r>
              <w:rPr>
                <w:rFonts w:hint="eastAsia" w:ascii="宋体" w:hAnsi="宋体" w:cs="Arial Unicode MS"/>
                <w:sz w:val="18"/>
                <w:szCs w:val="18"/>
              </w:rPr>
              <w:t>▲</w:t>
            </w:r>
          </w:p>
        </w:tc>
        <w:tc>
          <w:tcPr>
            <w:tcW w:w="606"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595"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49"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3364"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冷热饮料、礼品、面包、糕点等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676" w:type="dxa"/>
            <w:vMerge w:val="continue"/>
            <w:vAlign w:val="center"/>
          </w:tcPr>
          <w:p>
            <w:pPr>
              <w:snapToGrid w:val="0"/>
              <w:spacing w:line="240" w:lineRule="auto"/>
              <w:ind w:firstLine="0" w:firstLineChars="0"/>
              <w:rPr>
                <w:rFonts w:ascii="Calibri" w:hAnsi="Calibri"/>
                <w:sz w:val="18"/>
                <w:szCs w:val="18"/>
              </w:rPr>
            </w:pPr>
          </w:p>
        </w:tc>
        <w:tc>
          <w:tcPr>
            <w:tcW w:w="1430"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2．饮食店</w:t>
            </w:r>
          </w:p>
        </w:tc>
        <w:tc>
          <w:tcPr>
            <w:tcW w:w="614" w:type="dxa"/>
            <w:vAlign w:val="center"/>
          </w:tcPr>
          <w:p>
            <w:pPr>
              <w:adjustRightInd w:val="0"/>
              <w:snapToGrid w:val="0"/>
              <w:spacing w:line="240" w:lineRule="auto"/>
              <w:ind w:firstLine="0" w:firstLineChars="0"/>
              <w:jc w:val="center"/>
              <w:rPr>
                <w:rFonts w:ascii="宋体" w:hAnsi="宋体" w:cs="Arial Unicode MS"/>
                <w:sz w:val="18"/>
                <w:szCs w:val="18"/>
              </w:rPr>
            </w:pPr>
            <w:r>
              <w:rPr>
                <w:rFonts w:hint="eastAsia" w:ascii="宋体" w:hAnsi="宋体" w:cs="Arial Unicode MS"/>
                <w:sz w:val="18"/>
                <w:szCs w:val="18"/>
              </w:rPr>
              <w:t>▲</w:t>
            </w:r>
          </w:p>
        </w:tc>
        <w:tc>
          <w:tcPr>
            <w:tcW w:w="641" w:type="dxa"/>
            <w:vAlign w:val="center"/>
          </w:tcPr>
          <w:p>
            <w:pPr>
              <w:adjustRightInd w:val="0"/>
              <w:snapToGrid w:val="0"/>
              <w:spacing w:line="240" w:lineRule="auto"/>
              <w:ind w:firstLine="0" w:firstLineChars="0"/>
              <w:jc w:val="center"/>
              <w:rPr>
                <w:rFonts w:ascii="宋体" w:hAnsi="宋体" w:cs="Arial Unicode MS"/>
                <w:sz w:val="18"/>
                <w:szCs w:val="18"/>
              </w:rPr>
            </w:pPr>
            <w:r>
              <w:rPr>
                <w:rFonts w:hint="eastAsia" w:ascii="宋体" w:hAnsi="宋体" w:cs="Arial Unicode MS"/>
                <w:sz w:val="18"/>
                <w:szCs w:val="18"/>
              </w:rPr>
              <w:t>▲</w:t>
            </w:r>
          </w:p>
        </w:tc>
        <w:tc>
          <w:tcPr>
            <w:tcW w:w="606"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595"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49"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3364"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包括快餐、小吃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676" w:type="dxa"/>
            <w:vMerge w:val="continue"/>
            <w:vAlign w:val="center"/>
          </w:tcPr>
          <w:p>
            <w:pPr>
              <w:snapToGrid w:val="0"/>
              <w:spacing w:line="240" w:lineRule="auto"/>
              <w:ind w:firstLine="0" w:firstLineChars="0"/>
              <w:rPr>
                <w:rFonts w:ascii="Calibri" w:hAnsi="Calibri"/>
                <w:sz w:val="18"/>
                <w:szCs w:val="18"/>
              </w:rPr>
            </w:pPr>
          </w:p>
        </w:tc>
        <w:tc>
          <w:tcPr>
            <w:tcW w:w="1430"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3．一般餐厅</w:t>
            </w:r>
          </w:p>
        </w:tc>
        <w:tc>
          <w:tcPr>
            <w:tcW w:w="614" w:type="dxa"/>
            <w:vAlign w:val="center"/>
          </w:tcPr>
          <w:p>
            <w:pPr>
              <w:adjustRightInd w:val="0"/>
              <w:snapToGrid w:val="0"/>
              <w:spacing w:line="240" w:lineRule="auto"/>
              <w:ind w:firstLine="0" w:firstLineChars="0"/>
              <w:jc w:val="center"/>
              <w:rPr>
                <w:rFonts w:ascii="宋体" w:hAnsi="宋体" w:cs="Arial Unicode MS"/>
                <w:sz w:val="18"/>
                <w:szCs w:val="18"/>
              </w:rPr>
            </w:pPr>
            <w:r>
              <w:rPr>
                <w:rFonts w:hint="eastAsia" w:ascii="宋体" w:hAnsi="宋体" w:cs="Arial Unicode MS"/>
                <w:sz w:val="18"/>
                <w:szCs w:val="18"/>
              </w:rPr>
              <w:t>▲</w:t>
            </w:r>
          </w:p>
        </w:tc>
        <w:tc>
          <w:tcPr>
            <w:tcW w:w="641" w:type="dxa"/>
            <w:vAlign w:val="center"/>
          </w:tcPr>
          <w:p>
            <w:pPr>
              <w:adjustRightInd w:val="0"/>
              <w:snapToGrid w:val="0"/>
              <w:spacing w:line="240" w:lineRule="auto"/>
              <w:ind w:firstLine="0" w:firstLineChars="0"/>
              <w:jc w:val="center"/>
              <w:rPr>
                <w:rFonts w:ascii="宋体" w:hAnsi="宋体" w:cs="Arial Unicode MS"/>
                <w:sz w:val="18"/>
                <w:szCs w:val="18"/>
              </w:rPr>
            </w:pPr>
            <w:r>
              <w:rPr>
                <w:rFonts w:hint="eastAsia" w:ascii="宋体" w:hAnsi="宋体" w:cs="Arial Unicode MS"/>
                <w:sz w:val="18"/>
                <w:szCs w:val="18"/>
              </w:rPr>
              <w:t>▲</w:t>
            </w:r>
          </w:p>
        </w:tc>
        <w:tc>
          <w:tcPr>
            <w:tcW w:w="606"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595"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49"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3364"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饭馆、饭铺、食堂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676" w:type="dxa"/>
            <w:vMerge w:val="continue"/>
            <w:vAlign w:val="center"/>
          </w:tcPr>
          <w:p>
            <w:pPr>
              <w:snapToGrid w:val="0"/>
              <w:spacing w:line="240" w:lineRule="auto"/>
              <w:ind w:firstLine="0" w:firstLineChars="0"/>
              <w:rPr>
                <w:rFonts w:ascii="Calibri" w:hAnsi="Calibri"/>
                <w:sz w:val="18"/>
                <w:szCs w:val="18"/>
              </w:rPr>
            </w:pPr>
          </w:p>
        </w:tc>
        <w:tc>
          <w:tcPr>
            <w:tcW w:w="1430"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4．中级餐厅</w:t>
            </w:r>
          </w:p>
        </w:tc>
        <w:tc>
          <w:tcPr>
            <w:tcW w:w="614" w:type="dxa"/>
            <w:vAlign w:val="center"/>
          </w:tcPr>
          <w:p>
            <w:pPr>
              <w:snapToGrid w:val="0"/>
              <w:spacing w:line="240" w:lineRule="auto"/>
              <w:ind w:firstLine="0" w:firstLineChars="0"/>
              <w:jc w:val="center"/>
              <w:rPr>
                <w:rFonts w:ascii="宋体" w:hAnsi="宋体" w:cs="Arial Unicode MS"/>
                <w:sz w:val="18"/>
                <w:szCs w:val="18"/>
              </w:rPr>
            </w:pPr>
            <w:r>
              <w:rPr>
                <w:rFonts w:hint="eastAsia" w:ascii="宋体" w:hAnsi="宋体" w:cs="Arial Unicode MS"/>
                <w:sz w:val="18"/>
                <w:szCs w:val="18"/>
              </w:rPr>
              <w:t>▲</w:t>
            </w:r>
          </w:p>
        </w:tc>
        <w:tc>
          <w:tcPr>
            <w:tcW w:w="641"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06"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595"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49"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3364"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饭馆、有停车位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676" w:type="dxa"/>
            <w:vMerge w:val="continue"/>
            <w:vAlign w:val="center"/>
          </w:tcPr>
          <w:p>
            <w:pPr>
              <w:snapToGrid w:val="0"/>
              <w:spacing w:line="240" w:lineRule="auto"/>
              <w:ind w:firstLine="0" w:firstLineChars="0"/>
              <w:rPr>
                <w:rFonts w:ascii="Calibri" w:hAnsi="Calibri"/>
                <w:sz w:val="18"/>
                <w:szCs w:val="18"/>
              </w:rPr>
            </w:pPr>
          </w:p>
        </w:tc>
        <w:tc>
          <w:tcPr>
            <w:tcW w:w="1430"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5．高级餐厅</w:t>
            </w:r>
          </w:p>
        </w:tc>
        <w:tc>
          <w:tcPr>
            <w:tcW w:w="614" w:type="dxa"/>
            <w:vAlign w:val="center"/>
          </w:tcPr>
          <w:p>
            <w:pPr>
              <w:snapToGrid w:val="0"/>
              <w:spacing w:line="240" w:lineRule="auto"/>
              <w:ind w:firstLine="0" w:firstLineChars="0"/>
              <w:jc w:val="center"/>
              <w:rPr>
                <w:rFonts w:ascii="宋体" w:hAnsi="宋体" w:cs="Arial Unicode MS"/>
                <w:sz w:val="18"/>
                <w:szCs w:val="18"/>
              </w:rPr>
            </w:pPr>
            <w:r>
              <w:rPr>
                <w:rFonts w:hint="eastAsia" w:ascii="宋体" w:hAnsi="宋体" w:cs="Arial Unicode MS"/>
                <w:sz w:val="18"/>
                <w:szCs w:val="18"/>
              </w:rPr>
              <w:t>▲</w:t>
            </w:r>
          </w:p>
        </w:tc>
        <w:tc>
          <w:tcPr>
            <w:tcW w:w="641"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06"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595"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49"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3364"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饭店、有停车位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exact"/>
          <w:jc w:val="center"/>
        </w:trPr>
        <w:tc>
          <w:tcPr>
            <w:tcW w:w="676" w:type="dxa"/>
            <w:vMerge w:val="restart"/>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住宿</w:t>
            </w:r>
          </w:p>
        </w:tc>
        <w:tc>
          <w:tcPr>
            <w:tcW w:w="1430"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1．简易旅宿点</w:t>
            </w:r>
          </w:p>
        </w:tc>
        <w:tc>
          <w:tcPr>
            <w:tcW w:w="614" w:type="dxa"/>
            <w:vAlign w:val="center"/>
          </w:tcPr>
          <w:p>
            <w:pPr>
              <w:snapToGrid w:val="0"/>
              <w:spacing w:line="240" w:lineRule="auto"/>
              <w:ind w:firstLine="0" w:firstLineChars="0"/>
              <w:jc w:val="center"/>
              <w:rPr>
                <w:rFonts w:ascii="宋体" w:hAnsi="宋体" w:cs="Arial Unicode MS"/>
                <w:sz w:val="18"/>
                <w:szCs w:val="18"/>
              </w:rPr>
            </w:pPr>
            <w:r>
              <w:rPr>
                <w:rFonts w:hint="eastAsia" w:ascii="宋体" w:hAnsi="宋体" w:cs="Arial Unicode MS"/>
                <w:sz w:val="18"/>
                <w:szCs w:val="18"/>
              </w:rPr>
              <w:t>▲</w:t>
            </w:r>
          </w:p>
        </w:tc>
        <w:tc>
          <w:tcPr>
            <w:tcW w:w="641"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06"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595"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49"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3364"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包括野营点、公用卫生间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676" w:type="dxa"/>
            <w:vMerge w:val="continue"/>
            <w:vAlign w:val="center"/>
          </w:tcPr>
          <w:p>
            <w:pPr>
              <w:snapToGrid w:val="0"/>
              <w:spacing w:line="240" w:lineRule="auto"/>
              <w:ind w:firstLine="0" w:firstLineChars="0"/>
              <w:rPr>
                <w:rFonts w:ascii="Calibri" w:hAnsi="Calibri"/>
                <w:sz w:val="18"/>
                <w:szCs w:val="18"/>
              </w:rPr>
            </w:pPr>
          </w:p>
        </w:tc>
        <w:tc>
          <w:tcPr>
            <w:tcW w:w="1430"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2．一般旅馆</w:t>
            </w:r>
          </w:p>
        </w:tc>
        <w:tc>
          <w:tcPr>
            <w:tcW w:w="614" w:type="dxa"/>
            <w:vAlign w:val="center"/>
          </w:tcPr>
          <w:p>
            <w:pPr>
              <w:snapToGrid w:val="0"/>
              <w:spacing w:line="240" w:lineRule="auto"/>
              <w:ind w:firstLine="0" w:firstLineChars="0"/>
              <w:jc w:val="center"/>
              <w:rPr>
                <w:rFonts w:ascii="宋体" w:hAnsi="宋体" w:cs="Arial Unicode MS"/>
                <w:sz w:val="18"/>
                <w:szCs w:val="18"/>
              </w:rPr>
            </w:pPr>
            <w:r>
              <w:rPr>
                <w:rFonts w:hint="eastAsia" w:ascii="宋体" w:hAnsi="宋体" w:cs="Arial Unicode MS"/>
                <w:sz w:val="18"/>
                <w:szCs w:val="18"/>
              </w:rPr>
              <w:t>▲</w:t>
            </w:r>
          </w:p>
        </w:tc>
        <w:tc>
          <w:tcPr>
            <w:tcW w:w="641"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06"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595"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49"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3364"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客栈、家庭旅馆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676" w:type="dxa"/>
            <w:vMerge w:val="continue"/>
            <w:vAlign w:val="center"/>
          </w:tcPr>
          <w:p>
            <w:pPr>
              <w:snapToGrid w:val="0"/>
              <w:spacing w:line="240" w:lineRule="auto"/>
              <w:ind w:firstLine="0" w:firstLineChars="0"/>
              <w:rPr>
                <w:rFonts w:ascii="Calibri" w:hAnsi="Calibri"/>
                <w:sz w:val="18"/>
                <w:szCs w:val="18"/>
              </w:rPr>
            </w:pPr>
          </w:p>
        </w:tc>
        <w:tc>
          <w:tcPr>
            <w:tcW w:w="1430"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3．中级旅馆</w:t>
            </w:r>
          </w:p>
        </w:tc>
        <w:tc>
          <w:tcPr>
            <w:tcW w:w="614" w:type="dxa"/>
            <w:vAlign w:val="center"/>
          </w:tcPr>
          <w:p>
            <w:pPr>
              <w:snapToGrid w:val="0"/>
              <w:spacing w:line="240" w:lineRule="auto"/>
              <w:ind w:firstLine="0" w:firstLineChars="0"/>
              <w:jc w:val="center"/>
              <w:rPr>
                <w:rFonts w:ascii="宋体" w:hAnsi="宋体" w:cs="Arial Unicode MS"/>
                <w:sz w:val="18"/>
                <w:szCs w:val="18"/>
              </w:rPr>
            </w:pPr>
            <w:r>
              <w:rPr>
                <w:rFonts w:hint="eastAsia" w:ascii="宋体" w:hAnsi="宋体" w:cs="Arial Unicode MS"/>
                <w:sz w:val="18"/>
                <w:szCs w:val="18"/>
              </w:rPr>
              <w:t>▲</w:t>
            </w:r>
          </w:p>
        </w:tc>
        <w:tc>
          <w:tcPr>
            <w:tcW w:w="641"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06"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595"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49"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3364"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三星及以下宾馆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676" w:type="dxa"/>
            <w:vMerge w:val="continue"/>
            <w:vAlign w:val="center"/>
          </w:tcPr>
          <w:p>
            <w:pPr>
              <w:snapToGrid w:val="0"/>
              <w:spacing w:line="240" w:lineRule="auto"/>
              <w:ind w:firstLine="0" w:firstLineChars="0"/>
              <w:rPr>
                <w:rFonts w:ascii="Calibri" w:hAnsi="Calibri"/>
                <w:sz w:val="18"/>
                <w:szCs w:val="18"/>
              </w:rPr>
            </w:pPr>
          </w:p>
        </w:tc>
        <w:tc>
          <w:tcPr>
            <w:tcW w:w="1430"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4．高级旅馆</w:t>
            </w:r>
          </w:p>
        </w:tc>
        <w:tc>
          <w:tcPr>
            <w:tcW w:w="614" w:type="dxa"/>
            <w:vAlign w:val="center"/>
          </w:tcPr>
          <w:p>
            <w:pPr>
              <w:snapToGrid w:val="0"/>
              <w:spacing w:line="240" w:lineRule="auto"/>
              <w:ind w:firstLine="0" w:firstLineChars="0"/>
              <w:jc w:val="center"/>
              <w:rPr>
                <w:rFonts w:ascii="宋体" w:hAnsi="宋体" w:cs="Arial Unicode MS"/>
                <w:sz w:val="18"/>
                <w:szCs w:val="18"/>
              </w:rPr>
            </w:pPr>
            <w:r>
              <w:rPr>
                <w:rFonts w:hint="eastAsia" w:ascii="宋体" w:hAnsi="宋体" w:cs="Arial Unicode MS"/>
                <w:sz w:val="18"/>
                <w:szCs w:val="18"/>
              </w:rPr>
              <w:t>▲</w:t>
            </w:r>
          </w:p>
        </w:tc>
        <w:tc>
          <w:tcPr>
            <w:tcW w:w="641"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06"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595"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49"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3364"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四、五星宾馆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exact"/>
          <w:jc w:val="center"/>
        </w:trPr>
        <w:tc>
          <w:tcPr>
            <w:tcW w:w="676" w:type="dxa"/>
            <w:vMerge w:val="restart"/>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购物</w:t>
            </w:r>
          </w:p>
        </w:tc>
        <w:tc>
          <w:tcPr>
            <w:tcW w:w="1430"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1．小卖部/商亭</w:t>
            </w:r>
          </w:p>
        </w:tc>
        <w:tc>
          <w:tcPr>
            <w:tcW w:w="614" w:type="dxa"/>
            <w:vAlign w:val="center"/>
          </w:tcPr>
          <w:p>
            <w:pPr>
              <w:snapToGrid w:val="0"/>
              <w:spacing w:line="240" w:lineRule="auto"/>
              <w:ind w:firstLine="0" w:firstLineChars="0"/>
              <w:jc w:val="center"/>
              <w:rPr>
                <w:rFonts w:ascii="宋体" w:hAnsi="宋体" w:cs="Arial Unicode MS"/>
                <w:sz w:val="18"/>
                <w:szCs w:val="18"/>
              </w:rPr>
            </w:pPr>
            <w:r>
              <w:rPr>
                <w:rFonts w:hint="eastAsia" w:ascii="宋体" w:hAnsi="宋体" w:cs="Arial Unicode MS"/>
                <w:sz w:val="18"/>
                <w:szCs w:val="18"/>
              </w:rPr>
              <w:t>▲</w:t>
            </w:r>
          </w:p>
        </w:tc>
        <w:tc>
          <w:tcPr>
            <w:tcW w:w="641"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06"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595"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49"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3364" w:type="dxa"/>
            <w:vAlign w:val="center"/>
          </w:tcPr>
          <w:p>
            <w:pPr>
              <w:snapToGrid w:val="0"/>
              <w:spacing w:line="240" w:lineRule="auto"/>
              <w:ind w:firstLine="0" w:firstLineChars="0"/>
              <w:rPr>
                <w:rFonts w:ascii="Calibri" w:hAnsi="Calibri"/>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exact"/>
          <w:jc w:val="center"/>
        </w:trPr>
        <w:tc>
          <w:tcPr>
            <w:tcW w:w="676" w:type="dxa"/>
            <w:vMerge w:val="continue"/>
            <w:vAlign w:val="center"/>
          </w:tcPr>
          <w:p>
            <w:pPr>
              <w:snapToGrid w:val="0"/>
              <w:spacing w:line="240" w:lineRule="auto"/>
              <w:ind w:firstLine="0" w:firstLineChars="0"/>
              <w:rPr>
                <w:rFonts w:ascii="Calibri" w:hAnsi="Calibri"/>
                <w:sz w:val="18"/>
                <w:szCs w:val="18"/>
              </w:rPr>
            </w:pPr>
          </w:p>
        </w:tc>
        <w:tc>
          <w:tcPr>
            <w:tcW w:w="1430"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2．商摊/集贸市场</w:t>
            </w:r>
          </w:p>
        </w:tc>
        <w:tc>
          <w:tcPr>
            <w:tcW w:w="614" w:type="dxa"/>
            <w:vAlign w:val="center"/>
          </w:tcPr>
          <w:p>
            <w:pPr>
              <w:snapToGrid w:val="0"/>
              <w:spacing w:line="240" w:lineRule="auto"/>
              <w:ind w:firstLine="0" w:firstLineChars="0"/>
              <w:jc w:val="center"/>
              <w:rPr>
                <w:rFonts w:ascii="宋体" w:hAnsi="宋体" w:cs="Arial Unicode MS"/>
                <w:sz w:val="18"/>
                <w:szCs w:val="18"/>
              </w:rPr>
            </w:pPr>
            <w:r>
              <w:rPr>
                <w:rFonts w:hint="eastAsia" w:ascii="宋体" w:hAnsi="宋体" w:cs="Arial Unicode MS"/>
                <w:sz w:val="18"/>
                <w:szCs w:val="18"/>
              </w:rPr>
              <w:t>▲</w:t>
            </w:r>
          </w:p>
        </w:tc>
        <w:tc>
          <w:tcPr>
            <w:tcW w:w="641"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06"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595"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49"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3364"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集散有时、场地稳定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676" w:type="dxa"/>
            <w:vMerge w:val="continue"/>
            <w:vAlign w:val="center"/>
          </w:tcPr>
          <w:p>
            <w:pPr>
              <w:snapToGrid w:val="0"/>
              <w:spacing w:line="240" w:lineRule="auto"/>
              <w:ind w:firstLine="0" w:firstLineChars="0"/>
              <w:rPr>
                <w:rFonts w:ascii="Calibri" w:hAnsi="Calibri"/>
                <w:sz w:val="18"/>
                <w:szCs w:val="18"/>
              </w:rPr>
            </w:pPr>
          </w:p>
        </w:tc>
        <w:tc>
          <w:tcPr>
            <w:tcW w:w="1430"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3．商店</w:t>
            </w:r>
          </w:p>
        </w:tc>
        <w:tc>
          <w:tcPr>
            <w:tcW w:w="614" w:type="dxa"/>
            <w:vAlign w:val="center"/>
          </w:tcPr>
          <w:p>
            <w:pPr>
              <w:snapToGrid w:val="0"/>
              <w:spacing w:line="240" w:lineRule="auto"/>
              <w:ind w:firstLine="0" w:firstLineChars="0"/>
              <w:jc w:val="center"/>
              <w:rPr>
                <w:rFonts w:ascii="宋体" w:hAnsi="宋体" w:cs="Arial Unicode MS"/>
                <w:sz w:val="18"/>
                <w:szCs w:val="18"/>
              </w:rPr>
            </w:pPr>
            <w:r>
              <w:rPr>
                <w:rFonts w:hint="eastAsia" w:ascii="宋体" w:hAnsi="宋体" w:cs="Arial Unicode MS"/>
                <w:sz w:val="18"/>
                <w:szCs w:val="18"/>
              </w:rPr>
              <w:t>▲</w:t>
            </w:r>
          </w:p>
        </w:tc>
        <w:tc>
          <w:tcPr>
            <w:tcW w:w="641"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06"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595"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49"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3364"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各类商店、超市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676" w:type="dxa"/>
            <w:vMerge w:val="continue"/>
            <w:vAlign w:val="center"/>
          </w:tcPr>
          <w:p>
            <w:pPr>
              <w:snapToGrid w:val="0"/>
              <w:spacing w:line="240" w:lineRule="auto"/>
              <w:ind w:firstLine="0" w:firstLineChars="0"/>
              <w:rPr>
                <w:rFonts w:ascii="Calibri" w:hAnsi="Calibri"/>
                <w:sz w:val="18"/>
                <w:szCs w:val="18"/>
              </w:rPr>
            </w:pPr>
          </w:p>
        </w:tc>
        <w:tc>
          <w:tcPr>
            <w:tcW w:w="1430"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4．银行/金融</w:t>
            </w:r>
          </w:p>
        </w:tc>
        <w:tc>
          <w:tcPr>
            <w:tcW w:w="614" w:type="dxa"/>
            <w:vAlign w:val="center"/>
          </w:tcPr>
          <w:p>
            <w:pPr>
              <w:snapToGrid w:val="0"/>
              <w:spacing w:line="240" w:lineRule="auto"/>
              <w:ind w:firstLine="0" w:firstLineChars="0"/>
              <w:jc w:val="center"/>
              <w:rPr>
                <w:rFonts w:ascii="宋体" w:hAnsi="宋体" w:cs="Arial Unicode MS"/>
                <w:sz w:val="18"/>
                <w:szCs w:val="18"/>
              </w:rPr>
            </w:pPr>
            <w:r>
              <w:rPr>
                <w:rFonts w:hint="eastAsia" w:ascii="宋体" w:hAnsi="宋体" w:cs="Arial Unicode MS"/>
                <w:sz w:val="18"/>
                <w:szCs w:val="18"/>
              </w:rPr>
              <w:t>▲</w:t>
            </w:r>
          </w:p>
        </w:tc>
        <w:tc>
          <w:tcPr>
            <w:tcW w:w="641"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06"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595"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49"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3364"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取款机、自助银行、储蓄所、银行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exact"/>
          <w:jc w:val="center"/>
        </w:trPr>
        <w:tc>
          <w:tcPr>
            <w:tcW w:w="676" w:type="dxa"/>
            <w:vMerge w:val="continue"/>
            <w:vAlign w:val="center"/>
          </w:tcPr>
          <w:p>
            <w:pPr>
              <w:snapToGrid w:val="0"/>
              <w:spacing w:line="240" w:lineRule="auto"/>
              <w:ind w:firstLine="0" w:firstLineChars="0"/>
              <w:rPr>
                <w:rFonts w:ascii="Calibri" w:hAnsi="Calibri"/>
                <w:sz w:val="18"/>
                <w:szCs w:val="18"/>
              </w:rPr>
            </w:pPr>
          </w:p>
        </w:tc>
        <w:tc>
          <w:tcPr>
            <w:tcW w:w="1430"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5．大型商店</w:t>
            </w:r>
          </w:p>
        </w:tc>
        <w:tc>
          <w:tcPr>
            <w:tcW w:w="614" w:type="dxa"/>
            <w:vAlign w:val="center"/>
          </w:tcPr>
          <w:p>
            <w:pPr>
              <w:snapToGrid w:val="0"/>
              <w:spacing w:line="240" w:lineRule="auto"/>
              <w:ind w:firstLine="0" w:firstLineChars="0"/>
              <w:jc w:val="center"/>
              <w:rPr>
                <w:rFonts w:ascii="宋体" w:hAnsi="宋体" w:cs="Arial Unicode MS"/>
                <w:sz w:val="18"/>
                <w:szCs w:val="18"/>
              </w:rPr>
            </w:pPr>
            <w:r>
              <w:rPr>
                <w:rFonts w:hint="eastAsia" w:ascii="宋体" w:hAnsi="宋体" w:cs="Arial Unicode MS"/>
                <w:sz w:val="18"/>
                <w:szCs w:val="18"/>
              </w:rPr>
              <w:t>▲</w:t>
            </w:r>
          </w:p>
        </w:tc>
        <w:tc>
          <w:tcPr>
            <w:tcW w:w="641"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06"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595"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49"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3364" w:type="dxa"/>
            <w:vAlign w:val="center"/>
          </w:tcPr>
          <w:p>
            <w:pPr>
              <w:snapToGrid w:val="0"/>
              <w:spacing w:line="240" w:lineRule="auto"/>
              <w:ind w:firstLine="0" w:firstLineChars="0"/>
              <w:rPr>
                <w:rFonts w:ascii="Calibri" w:hAnsi="Calibri"/>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676" w:type="dxa"/>
            <w:vMerge w:val="restart"/>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卫生保健</w:t>
            </w:r>
          </w:p>
        </w:tc>
        <w:tc>
          <w:tcPr>
            <w:tcW w:w="1430"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1．门诊所</w:t>
            </w:r>
          </w:p>
        </w:tc>
        <w:tc>
          <w:tcPr>
            <w:tcW w:w="614" w:type="dxa"/>
            <w:vAlign w:val="center"/>
          </w:tcPr>
          <w:p>
            <w:pPr>
              <w:snapToGrid w:val="0"/>
              <w:spacing w:line="240" w:lineRule="auto"/>
              <w:ind w:firstLine="0" w:firstLineChars="0"/>
              <w:jc w:val="center"/>
              <w:rPr>
                <w:rFonts w:ascii="宋体" w:hAnsi="宋体" w:cs="Arial Unicode MS"/>
                <w:sz w:val="18"/>
                <w:szCs w:val="18"/>
              </w:rPr>
            </w:pPr>
            <w:r>
              <w:rPr>
                <w:rFonts w:hint="eastAsia" w:ascii="宋体" w:hAnsi="宋体" w:cs="Arial Unicode MS"/>
                <w:sz w:val="18"/>
                <w:szCs w:val="18"/>
              </w:rPr>
              <w:t>▲</w:t>
            </w:r>
          </w:p>
        </w:tc>
        <w:tc>
          <w:tcPr>
            <w:tcW w:w="641"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06"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595"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49"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3364"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无床位，卫生站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676" w:type="dxa"/>
            <w:vMerge w:val="continue"/>
            <w:vAlign w:val="center"/>
          </w:tcPr>
          <w:p>
            <w:pPr>
              <w:snapToGrid w:val="0"/>
              <w:spacing w:line="240" w:lineRule="auto"/>
              <w:ind w:firstLine="0" w:firstLineChars="0"/>
              <w:rPr>
                <w:rFonts w:ascii="Calibri" w:hAnsi="Calibri"/>
                <w:sz w:val="18"/>
                <w:szCs w:val="18"/>
              </w:rPr>
            </w:pPr>
          </w:p>
        </w:tc>
        <w:tc>
          <w:tcPr>
            <w:tcW w:w="1430"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2．医院</w:t>
            </w:r>
          </w:p>
        </w:tc>
        <w:tc>
          <w:tcPr>
            <w:tcW w:w="614" w:type="dxa"/>
            <w:vAlign w:val="center"/>
          </w:tcPr>
          <w:p>
            <w:pPr>
              <w:snapToGrid w:val="0"/>
              <w:spacing w:line="240" w:lineRule="auto"/>
              <w:ind w:firstLine="0" w:firstLineChars="0"/>
              <w:jc w:val="center"/>
              <w:rPr>
                <w:rFonts w:ascii="宋体" w:hAnsi="宋体" w:cs="Arial Unicode MS"/>
                <w:sz w:val="18"/>
                <w:szCs w:val="18"/>
              </w:rPr>
            </w:pPr>
            <w:r>
              <w:rPr>
                <w:rFonts w:hint="eastAsia" w:ascii="宋体" w:hAnsi="宋体" w:cs="Arial Unicode MS"/>
                <w:sz w:val="18"/>
                <w:szCs w:val="18"/>
              </w:rPr>
              <w:t>▲</w:t>
            </w:r>
          </w:p>
        </w:tc>
        <w:tc>
          <w:tcPr>
            <w:tcW w:w="641"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06"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595"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49"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3364"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有床位、有设备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676" w:type="dxa"/>
            <w:vMerge w:val="continue"/>
            <w:vAlign w:val="center"/>
          </w:tcPr>
          <w:p>
            <w:pPr>
              <w:snapToGrid w:val="0"/>
              <w:spacing w:line="240" w:lineRule="auto"/>
              <w:ind w:firstLine="0" w:firstLineChars="0"/>
              <w:rPr>
                <w:rFonts w:ascii="Calibri" w:hAnsi="Calibri"/>
                <w:sz w:val="18"/>
                <w:szCs w:val="18"/>
              </w:rPr>
            </w:pPr>
          </w:p>
        </w:tc>
        <w:tc>
          <w:tcPr>
            <w:tcW w:w="1430"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3．救护站</w:t>
            </w:r>
          </w:p>
        </w:tc>
        <w:tc>
          <w:tcPr>
            <w:tcW w:w="614" w:type="dxa"/>
            <w:vAlign w:val="center"/>
          </w:tcPr>
          <w:p>
            <w:pPr>
              <w:snapToGrid w:val="0"/>
              <w:spacing w:line="240" w:lineRule="auto"/>
              <w:ind w:firstLine="0" w:firstLineChars="0"/>
              <w:jc w:val="center"/>
              <w:rPr>
                <w:rFonts w:ascii="宋体" w:hAnsi="宋体" w:cs="Arial Unicode MS"/>
                <w:sz w:val="18"/>
                <w:szCs w:val="18"/>
              </w:rPr>
            </w:pPr>
            <w:r>
              <w:rPr>
                <w:rFonts w:hint="eastAsia" w:ascii="宋体" w:hAnsi="宋体" w:cs="Arial Unicode MS"/>
                <w:sz w:val="18"/>
                <w:szCs w:val="18"/>
              </w:rPr>
              <w:t>▲</w:t>
            </w:r>
          </w:p>
        </w:tc>
        <w:tc>
          <w:tcPr>
            <w:tcW w:w="641"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06"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595"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49"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3364"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有应急设备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676" w:type="dxa"/>
            <w:vMerge w:val="continue"/>
            <w:vAlign w:val="center"/>
          </w:tcPr>
          <w:p>
            <w:pPr>
              <w:snapToGrid w:val="0"/>
              <w:spacing w:line="240" w:lineRule="auto"/>
              <w:ind w:firstLine="0" w:firstLineChars="0"/>
              <w:rPr>
                <w:rFonts w:ascii="Calibri" w:hAnsi="Calibri"/>
                <w:sz w:val="18"/>
                <w:szCs w:val="18"/>
              </w:rPr>
            </w:pPr>
          </w:p>
        </w:tc>
        <w:tc>
          <w:tcPr>
            <w:tcW w:w="1430"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4．休养度假</w:t>
            </w:r>
          </w:p>
        </w:tc>
        <w:tc>
          <w:tcPr>
            <w:tcW w:w="614" w:type="dxa"/>
            <w:vAlign w:val="center"/>
          </w:tcPr>
          <w:p>
            <w:pPr>
              <w:snapToGrid w:val="0"/>
              <w:spacing w:line="240" w:lineRule="auto"/>
              <w:ind w:firstLine="0" w:firstLineChars="0"/>
              <w:jc w:val="center"/>
              <w:rPr>
                <w:rFonts w:ascii="宋体" w:hAnsi="宋体" w:cs="Arial Unicode MS"/>
                <w:sz w:val="18"/>
                <w:szCs w:val="18"/>
              </w:rPr>
            </w:pPr>
            <w:r>
              <w:rPr>
                <w:rFonts w:hint="eastAsia" w:ascii="宋体" w:hAnsi="宋体" w:cs="Arial Unicode MS"/>
                <w:sz w:val="18"/>
                <w:szCs w:val="18"/>
              </w:rPr>
              <w:t>▲</w:t>
            </w:r>
          </w:p>
        </w:tc>
        <w:tc>
          <w:tcPr>
            <w:tcW w:w="641"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06"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595"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49"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3364"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有床位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676" w:type="dxa"/>
            <w:vMerge w:val="restart"/>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文体娱乐</w:t>
            </w:r>
          </w:p>
        </w:tc>
        <w:tc>
          <w:tcPr>
            <w:tcW w:w="1430"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1．艺术表演</w:t>
            </w:r>
          </w:p>
        </w:tc>
        <w:tc>
          <w:tcPr>
            <w:tcW w:w="614" w:type="dxa"/>
            <w:vAlign w:val="center"/>
          </w:tcPr>
          <w:p>
            <w:pPr>
              <w:snapToGrid w:val="0"/>
              <w:spacing w:line="240" w:lineRule="auto"/>
              <w:ind w:firstLine="0" w:firstLineChars="0"/>
              <w:jc w:val="center"/>
              <w:rPr>
                <w:rFonts w:ascii="宋体" w:hAnsi="宋体" w:cs="Arial Unicode MS"/>
                <w:sz w:val="18"/>
                <w:szCs w:val="18"/>
              </w:rPr>
            </w:pPr>
            <w:r>
              <w:rPr>
                <w:rFonts w:hint="eastAsia" w:ascii="宋体" w:hAnsi="宋体" w:cs="Arial Unicode MS"/>
                <w:sz w:val="18"/>
                <w:szCs w:val="18"/>
              </w:rPr>
              <w:t>▲</w:t>
            </w:r>
          </w:p>
        </w:tc>
        <w:tc>
          <w:tcPr>
            <w:tcW w:w="641"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06"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595"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49"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3364"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影剧院、音乐厅、杂技场、表演场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676" w:type="dxa"/>
            <w:vMerge w:val="continue"/>
            <w:vAlign w:val="center"/>
          </w:tcPr>
          <w:p>
            <w:pPr>
              <w:snapToGrid w:val="0"/>
              <w:spacing w:line="240" w:lineRule="auto"/>
              <w:ind w:firstLine="0" w:firstLineChars="0"/>
              <w:rPr>
                <w:rFonts w:ascii="Calibri" w:hAnsi="Calibri"/>
                <w:sz w:val="18"/>
                <w:szCs w:val="18"/>
              </w:rPr>
            </w:pPr>
          </w:p>
        </w:tc>
        <w:tc>
          <w:tcPr>
            <w:tcW w:w="1430"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2．游戏娱乐</w:t>
            </w:r>
          </w:p>
        </w:tc>
        <w:tc>
          <w:tcPr>
            <w:tcW w:w="614" w:type="dxa"/>
            <w:vAlign w:val="center"/>
          </w:tcPr>
          <w:p>
            <w:pPr>
              <w:snapToGrid w:val="0"/>
              <w:spacing w:line="240" w:lineRule="auto"/>
              <w:ind w:firstLine="0" w:firstLineChars="0"/>
              <w:jc w:val="center"/>
              <w:rPr>
                <w:rFonts w:ascii="宋体" w:hAnsi="宋体" w:cs="Arial Unicode MS"/>
                <w:sz w:val="18"/>
                <w:szCs w:val="18"/>
              </w:rPr>
            </w:pPr>
            <w:r>
              <w:rPr>
                <w:rFonts w:hint="eastAsia" w:ascii="宋体" w:hAnsi="宋体" w:cs="Arial Unicode MS"/>
                <w:sz w:val="18"/>
                <w:szCs w:val="18"/>
              </w:rPr>
              <w:t>▲</w:t>
            </w:r>
          </w:p>
        </w:tc>
        <w:tc>
          <w:tcPr>
            <w:tcW w:w="641"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06"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595"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49"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3364"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游乐场、歌舞厅、俱乐部、活动中心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676" w:type="dxa"/>
            <w:vMerge w:val="continue"/>
            <w:vAlign w:val="center"/>
          </w:tcPr>
          <w:p>
            <w:pPr>
              <w:snapToGrid w:val="0"/>
              <w:spacing w:line="240" w:lineRule="auto"/>
              <w:ind w:firstLine="0" w:firstLineChars="0"/>
              <w:rPr>
                <w:rFonts w:ascii="Calibri" w:hAnsi="Calibri"/>
                <w:sz w:val="18"/>
                <w:szCs w:val="18"/>
              </w:rPr>
            </w:pPr>
          </w:p>
        </w:tc>
        <w:tc>
          <w:tcPr>
            <w:tcW w:w="1430"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3．体育健身</w:t>
            </w:r>
          </w:p>
        </w:tc>
        <w:tc>
          <w:tcPr>
            <w:tcW w:w="614" w:type="dxa"/>
            <w:vAlign w:val="center"/>
          </w:tcPr>
          <w:p>
            <w:pPr>
              <w:snapToGrid w:val="0"/>
              <w:spacing w:line="240" w:lineRule="auto"/>
              <w:ind w:firstLine="0" w:firstLineChars="0"/>
              <w:jc w:val="center"/>
              <w:rPr>
                <w:rFonts w:ascii="宋体" w:hAnsi="宋体" w:cs="Arial Unicode MS"/>
                <w:sz w:val="18"/>
                <w:szCs w:val="18"/>
              </w:rPr>
            </w:pPr>
            <w:r>
              <w:rPr>
                <w:rFonts w:hint="eastAsia" w:ascii="宋体" w:hAnsi="宋体" w:cs="Arial Unicode MS"/>
                <w:sz w:val="18"/>
                <w:szCs w:val="18"/>
              </w:rPr>
              <w:t>▲</w:t>
            </w:r>
          </w:p>
        </w:tc>
        <w:tc>
          <w:tcPr>
            <w:tcW w:w="641"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06"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595"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49"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3364"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室内外各类体育运动健身竞技场地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676" w:type="dxa"/>
            <w:vMerge w:val="restart"/>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管理监护</w:t>
            </w:r>
          </w:p>
        </w:tc>
        <w:tc>
          <w:tcPr>
            <w:tcW w:w="1430"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1．旅游管理</w:t>
            </w:r>
          </w:p>
        </w:tc>
        <w:tc>
          <w:tcPr>
            <w:tcW w:w="614" w:type="dxa"/>
            <w:vAlign w:val="center"/>
          </w:tcPr>
          <w:p>
            <w:pPr>
              <w:snapToGrid w:val="0"/>
              <w:spacing w:line="240" w:lineRule="auto"/>
              <w:ind w:firstLine="0" w:firstLineChars="0"/>
              <w:jc w:val="center"/>
              <w:rPr>
                <w:rFonts w:ascii="宋体" w:hAnsi="宋体" w:cs="Arial Unicode MS"/>
                <w:sz w:val="18"/>
                <w:szCs w:val="18"/>
              </w:rPr>
            </w:pPr>
            <w:r>
              <w:rPr>
                <w:rFonts w:hint="eastAsia" w:ascii="宋体" w:hAnsi="宋体" w:cs="Arial Unicode MS"/>
                <w:sz w:val="18"/>
                <w:szCs w:val="18"/>
              </w:rPr>
              <w:t>▲</w:t>
            </w:r>
          </w:p>
        </w:tc>
        <w:tc>
          <w:tcPr>
            <w:tcW w:w="641"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06"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595"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49"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3364"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旅游管理处、门卫、售票处等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exact"/>
          <w:jc w:val="center"/>
        </w:trPr>
        <w:tc>
          <w:tcPr>
            <w:tcW w:w="676" w:type="dxa"/>
            <w:vMerge w:val="continue"/>
            <w:vAlign w:val="center"/>
          </w:tcPr>
          <w:p>
            <w:pPr>
              <w:snapToGrid w:val="0"/>
              <w:spacing w:line="240" w:lineRule="auto"/>
              <w:ind w:firstLine="0" w:firstLineChars="0"/>
              <w:rPr>
                <w:rFonts w:ascii="Calibri" w:hAnsi="Calibri"/>
                <w:sz w:val="18"/>
                <w:szCs w:val="18"/>
              </w:rPr>
            </w:pPr>
          </w:p>
        </w:tc>
        <w:tc>
          <w:tcPr>
            <w:tcW w:w="1430"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2．安全管理</w:t>
            </w:r>
          </w:p>
        </w:tc>
        <w:tc>
          <w:tcPr>
            <w:tcW w:w="614" w:type="dxa"/>
            <w:vAlign w:val="center"/>
          </w:tcPr>
          <w:p>
            <w:pPr>
              <w:snapToGrid w:val="0"/>
              <w:spacing w:line="240" w:lineRule="auto"/>
              <w:ind w:firstLine="0" w:firstLineChars="0"/>
              <w:jc w:val="center"/>
              <w:rPr>
                <w:rFonts w:ascii="宋体" w:hAnsi="宋体" w:cs="Arial Unicode MS"/>
                <w:sz w:val="18"/>
                <w:szCs w:val="18"/>
              </w:rPr>
            </w:pPr>
            <w:r>
              <w:rPr>
                <w:rFonts w:hint="eastAsia" w:ascii="宋体" w:hAnsi="宋体" w:cs="Arial Unicode MS"/>
                <w:sz w:val="18"/>
                <w:szCs w:val="18"/>
              </w:rPr>
              <w:t>▲</w:t>
            </w:r>
          </w:p>
        </w:tc>
        <w:tc>
          <w:tcPr>
            <w:tcW w:w="641"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06"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595"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49"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3364"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派出所、公安局、消防站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676" w:type="dxa"/>
            <w:vMerge w:val="restart"/>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旅行交通</w:t>
            </w:r>
          </w:p>
        </w:tc>
        <w:tc>
          <w:tcPr>
            <w:tcW w:w="1430"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1．游步道</w:t>
            </w:r>
          </w:p>
        </w:tc>
        <w:tc>
          <w:tcPr>
            <w:tcW w:w="614" w:type="dxa"/>
            <w:vAlign w:val="center"/>
          </w:tcPr>
          <w:p>
            <w:pPr>
              <w:adjustRightInd w:val="0"/>
              <w:snapToGrid w:val="0"/>
              <w:spacing w:line="240" w:lineRule="auto"/>
              <w:ind w:firstLine="0" w:firstLineChars="0"/>
              <w:jc w:val="center"/>
              <w:rPr>
                <w:rFonts w:ascii="宋体" w:hAnsi="宋体" w:cs="Arial Unicode MS"/>
                <w:sz w:val="18"/>
                <w:szCs w:val="18"/>
              </w:rPr>
            </w:pPr>
            <w:r>
              <w:rPr>
                <w:rFonts w:hint="eastAsia" w:ascii="宋体" w:hAnsi="宋体" w:cs="Arial Unicode MS"/>
                <w:sz w:val="18"/>
                <w:szCs w:val="18"/>
              </w:rPr>
              <w:t>▲</w:t>
            </w:r>
          </w:p>
        </w:tc>
        <w:tc>
          <w:tcPr>
            <w:tcW w:w="641" w:type="dxa"/>
            <w:vAlign w:val="center"/>
          </w:tcPr>
          <w:p>
            <w:pPr>
              <w:adjustRightInd w:val="0"/>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06"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595"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49"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3364" w:type="dxa"/>
            <w:vAlign w:val="center"/>
          </w:tcPr>
          <w:p>
            <w:pPr>
              <w:snapToGrid w:val="0"/>
              <w:spacing w:line="240" w:lineRule="auto"/>
              <w:ind w:firstLine="0" w:firstLineChars="0"/>
              <w:rPr>
                <w:rFonts w:ascii="Calibri" w:hAnsi="Calibri"/>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exact"/>
          <w:jc w:val="center"/>
        </w:trPr>
        <w:tc>
          <w:tcPr>
            <w:tcW w:w="676" w:type="dxa"/>
            <w:vMerge w:val="continue"/>
            <w:vAlign w:val="center"/>
          </w:tcPr>
          <w:p>
            <w:pPr>
              <w:snapToGrid w:val="0"/>
              <w:spacing w:line="240" w:lineRule="auto"/>
              <w:ind w:firstLine="0" w:firstLineChars="0"/>
              <w:rPr>
                <w:rFonts w:ascii="Calibri" w:hAnsi="Calibri"/>
                <w:sz w:val="18"/>
                <w:szCs w:val="18"/>
              </w:rPr>
            </w:pPr>
          </w:p>
        </w:tc>
        <w:tc>
          <w:tcPr>
            <w:tcW w:w="1430"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2．旅游交通</w:t>
            </w:r>
          </w:p>
        </w:tc>
        <w:tc>
          <w:tcPr>
            <w:tcW w:w="614" w:type="dxa"/>
            <w:vAlign w:val="center"/>
          </w:tcPr>
          <w:p>
            <w:pPr>
              <w:adjustRightInd w:val="0"/>
              <w:snapToGrid w:val="0"/>
              <w:spacing w:line="240" w:lineRule="auto"/>
              <w:ind w:firstLine="0" w:firstLineChars="0"/>
              <w:jc w:val="center"/>
              <w:rPr>
                <w:rFonts w:ascii="宋体" w:hAnsi="宋体" w:cs="Arial Unicode MS"/>
                <w:sz w:val="18"/>
                <w:szCs w:val="18"/>
              </w:rPr>
            </w:pPr>
            <w:r>
              <w:rPr>
                <w:rFonts w:hint="eastAsia" w:ascii="宋体" w:hAnsi="宋体" w:cs="Arial Unicode MS"/>
                <w:sz w:val="18"/>
                <w:szCs w:val="18"/>
              </w:rPr>
              <w:t>▲</w:t>
            </w:r>
          </w:p>
        </w:tc>
        <w:tc>
          <w:tcPr>
            <w:tcW w:w="641" w:type="dxa"/>
            <w:vAlign w:val="center"/>
          </w:tcPr>
          <w:p>
            <w:pPr>
              <w:adjustRightInd w:val="0"/>
              <w:snapToGrid w:val="0"/>
              <w:spacing w:line="240" w:lineRule="auto"/>
              <w:ind w:firstLine="0" w:firstLineChars="0"/>
              <w:jc w:val="center"/>
              <w:rPr>
                <w:rFonts w:ascii="宋体" w:hAnsi="宋体" w:cs="Arial Unicode MS"/>
                <w:sz w:val="18"/>
                <w:szCs w:val="18"/>
              </w:rPr>
            </w:pPr>
            <w:r>
              <w:rPr>
                <w:rFonts w:hint="eastAsia" w:ascii="宋体" w:hAnsi="宋体" w:cs="Arial Unicode MS"/>
                <w:sz w:val="18"/>
                <w:szCs w:val="18"/>
              </w:rPr>
              <w:t>▲</w:t>
            </w:r>
          </w:p>
        </w:tc>
        <w:tc>
          <w:tcPr>
            <w:tcW w:w="606"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595"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49"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3364"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旅游车、竹筏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676" w:type="dxa"/>
            <w:vMerge w:val="continue"/>
            <w:vAlign w:val="center"/>
          </w:tcPr>
          <w:p>
            <w:pPr>
              <w:snapToGrid w:val="0"/>
              <w:spacing w:line="240" w:lineRule="auto"/>
              <w:ind w:firstLine="0" w:firstLineChars="0"/>
              <w:rPr>
                <w:rFonts w:ascii="Calibri" w:hAnsi="Calibri"/>
                <w:sz w:val="18"/>
                <w:szCs w:val="18"/>
              </w:rPr>
            </w:pPr>
          </w:p>
        </w:tc>
        <w:tc>
          <w:tcPr>
            <w:tcW w:w="1430"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3．交通站、场</w:t>
            </w:r>
          </w:p>
        </w:tc>
        <w:tc>
          <w:tcPr>
            <w:tcW w:w="614" w:type="dxa"/>
            <w:vAlign w:val="center"/>
          </w:tcPr>
          <w:p>
            <w:pPr>
              <w:adjustRightInd w:val="0"/>
              <w:snapToGrid w:val="0"/>
              <w:spacing w:line="240" w:lineRule="auto"/>
              <w:ind w:firstLine="0" w:firstLineChars="0"/>
              <w:jc w:val="center"/>
              <w:rPr>
                <w:rFonts w:ascii="宋体" w:hAnsi="宋体" w:cs="Arial Unicode MS"/>
                <w:sz w:val="18"/>
                <w:szCs w:val="18"/>
              </w:rPr>
            </w:pPr>
            <w:r>
              <w:rPr>
                <w:rFonts w:hint="eastAsia" w:ascii="宋体" w:hAnsi="宋体" w:cs="Arial Unicode MS"/>
                <w:sz w:val="18"/>
                <w:szCs w:val="18"/>
              </w:rPr>
              <w:t>▲</w:t>
            </w:r>
          </w:p>
        </w:tc>
        <w:tc>
          <w:tcPr>
            <w:tcW w:w="641" w:type="dxa"/>
            <w:vAlign w:val="center"/>
          </w:tcPr>
          <w:p>
            <w:pPr>
              <w:adjustRightInd w:val="0"/>
              <w:snapToGrid w:val="0"/>
              <w:spacing w:line="240" w:lineRule="auto"/>
              <w:ind w:firstLine="0" w:firstLineChars="0"/>
              <w:jc w:val="center"/>
              <w:rPr>
                <w:rFonts w:ascii="宋体" w:hAnsi="宋体" w:cs="Arial Unicode MS"/>
                <w:sz w:val="18"/>
                <w:szCs w:val="18"/>
              </w:rPr>
            </w:pPr>
            <w:r>
              <w:rPr>
                <w:rFonts w:hint="eastAsia" w:ascii="宋体" w:hAnsi="宋体" w:cs="Arial Unicode MS"/>
                <w:sz w:val="18"/>
                <w:szCs w:val="18"/>
              </w:rPr>
              <w:t>▲</w:t>
            </w:r>
          </w:p>
        </w:tc>
        <w:tc>
          <w:tcPr>
            <w:tcW w:w="606"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595"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649" w:type="dxa"/>
            <w:vAlign w:val="center"/>
          </w:tcPr>
          <w:p>
            <w:pPr>
              <w:snapToGrid w:val="0"/>
              <w:spacing w:line="240" w:lineRule="auto"/>
              <w:ind w:firstLine="0" w:firstLineChars="0"/>
              <w:jc w:val="center"/>
              <w:rPr>
                <w:rFonts w:ascii="Calibri" w:hAnsi="Calibri"/>
                <w:sz w:val="18"/>
                <w:szCs w:val="18"/>
              </w:rPr>
            </w:pPr>
            <w:r>
              <w:rPr>
                <w:rFonts w:hint="eastAsia" w:ascii="宋体" w:hAnsi="宋体" w:cs="Arial Unicode MS"/>
                <w:sz w:val="18"/>
                <w:szCs w:val="18"/>
              </w:rPr>
              <w:t>×</w:t>
            </w:r>
          </w:p>
        </w:tc>
        <w:tc>
          <w:tcPr>
            <w:tcW w:w="3364" w:type="dxa"/>
            <w:vAlign w:val="center"/>
          </w:tcPr>
          <w:p>
            <w:pPr>
              <w:snapToGrid w:val="0"/>
              <w:spacing w:line="240" w:lineRule="auto"/>
              <w:ind w:firstLine="0" w:firstLineChars="0"/>
              <w:rPr>
                <w:rFonts w:ascii="Calibri" w:hAnsi="Calibri"/>
                <w:sz w:val="18"/>
                <w:szCs w:val="18"/>
              </w:rPr>
            </w:pPr>
            <w:r>
              <w:rPr>
                <w:rFonts w:hint="eastAsia" w:ascii="Calibri" w:hAnsi="Calibri"/>
                <w:sz w:val="18"/>
                <w:szCs w:val="18"/>
              </w:rPr>
              <w:t>车站、码头、停靠点等</w:t>
            </w:r>
          </w:p>
        </w:tc>
      </w:tr>
    </w:tbl>
    <w:p>
      <w:pPr>
        <w:spacing w:line="300" w:lineRule="auto"/>
        <w:ind w:firstLine="360"/>
        <w:rPr>
          <w:rFonts w:ascii="宋体" w:hAnsi="宋体"/>
          <w:bCs/>
          <w:kern w:val="0"/>
          <w:sz w:val="18"/>
          <w:szCs w:val="21"/>
        </w:rPr>
      </w:pPr>
      <w:r>
        <w:rPr>
          <w:rFonts w:hint="eastAsia" w:ascii="宋体" w:hAnsi="宋体"/>
          <w:bCs/>
          <w:kern w:val="0"/>
          <w:sz w:val="18"/>
          <w:szCs w:val="21"/>
        </w:rPr>
        <w:t>限定说明：▲表示应该设置；△表示可以设置；×不适合设置。</w:t>
      </w:r>
    </w:p>
    <w:p>
      <w:pPr>
        <w:pStyle w:val="4"/>
        <w:spacing w:before="156"/>
        <w:ind w:firstLine="360"/>
      </w:pPr>
      <w:r>
        <w:rPr>
          <w:rFonts w:hint="eastAsia"/>
        </w:rPr>
        <w:t>（五）设施布局规划</w:t>
      </w:r>
    </w:p>
    <w:p>
      <w:pPr>
        <w:spacing w:before="93" w:beforeLines="30"/>
        <w:ind w:firstLine="480"/>
        <w:rPr>
          <w:rFonts w:cs="宋体"/>
        </w:rPr>
      </w:pPr>
      <w:r>
        <w:rPr>
          <w:rFonts w:hint="eastAsia" w:cs="宋体"/>
        </w:rPr>
        <w:t>规划大峃镇（文成县城）为旅游城，未来随着青文高速、温武吉铁路的建设，大峃镇将有3个互通及一处高铁站，将承担全域景区的旅游集散、服务设施配套等综合旅游服务功能；规划百丈漈镇等7处旅游镇，应设置区域旅游集散功能，提升住宿餐饮设施的数量与品质，做好与周边旅游发展平台的衔接；规划西段村等1</w:t>
      </w:r>
      <w:r>
        <w:rPr>
          <w:rFonts w:cs="宋体"/>
        </w:rPr>
        <w:t>4</w:t>
      </w:r>
      <w:r>
        <w:rPr>
          <w:rFonts w:hint="eastAsia" w:cs="宋体"/>
        </w:rPr>
        <w:t>个旅游村，大部分位于景区周边，可与旅游村的自然、文化资源以及周边旅游项目相结合，承担景区周边的旅游服务配套功能，设施应控制规模与风貌；规划天湖等1</w:t>
      </w:r>
      <w:r>
        <w:rPr>
          <w:rFonts w:cs="宋体"/>
        </w:rPr>
        <w:t>4</w:t>
      </w:r>
      <w:r>
        <w:rPr>
          <w:rFonts w:hint="eastAsia" w:cs="宋体"/>
        </w:rPr>
        <w:t>处旅游点，主要位于景区入口处；规划二漈茶室等3</w:t>
      </w:r>
      <w:r>
        <w:rPr>
          <w:rFonts w:cs="宋体"/>
        </w:rPr>
        <w:t>3</w:t>
      </w:r>
      <w:r>
        <w:rPr>
          <w:rFonts w:hint="eastAsia" w:cs="宋体"/>
        </w:rPr>
        <w:t>处服务部，可灵活配置景区内部的小型旅游服务功能。</w:t>
      </w:r>
    </w:p>
    <w:p>
      <w:pPr>
        <w:spacing w:before="156" w:beforeLines="50" w:after="156" w:afterLines="50" w:line="320" w:lineRule="exact"/>
        <w:ind w:firstLine="422"/>
        <w:jc w:val="center"/>
        <w:rPr>
          <w:rFonts w:ascii="宋体" w:hAnsi="宋体"/>
          <w:b/>
          <w:kern w:val="0"/>
          <w:sz w:val="21"/>
          <w:szCs w:val="21"/>
        </w:rPr>
      </w:pPr>
      <w:r>
        <w:rPr>
          <w:rFonts w:hint="eastAsia" w:ascii="宋体" w:hAnsi="宋体"/>
          <w:b/>
          <w:kern w:val="0"/>
          <w:sz w:val="21"/>
          <w:szCs w:val="21"/>
        </w:rPr>
        <w:t>表4</w:t>
      </w:r>
      <w:r>
        <w:rPr>
          <w:rFonts w:ascii="宋体" w:hAnsi="宋体"/>
          <w:b/>
          <w:kern w:val="0"/>
          <w:sz w:val="21"/>
          <w:szCs w:val="21"/>
        </w:rPr>
        <w:t>-10</w:t>
      </w:r>
      <w:r>
        <w:rPr>
          <w:rFonts w:hint="eastAsia" w:ascii="宋体" w:hAnsi="宋体"/>
          <w:b/>
          <w:kern w:val="0"/>
          <w:sz w:val="21"/>
          <w:szCs w:val="21"/>
        </w:rPr>
        <w:t>游览服务设施布局规划表</w:t>
      </w:r>
    </w:p>
    <w:tbl>
      <w:tblPr>
        <w:tblStyle w:val="42"/>
        <w:tblW w:w="87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708"/>
        <w:gridCol w:w="1985"/>
        <w:gridCol w:w="1701"/>
        <w:gridCol w:w="3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exact"/>
          <w:tblHeader/>
          <w:jc w:val="center"/>
        </w:trPr>
        <w:tc>
          <w:tcPr>
            <w:tcW w:w="954" w:type="dxa"/>
            <w:shd w:val="clear" w:color="auto" w:fill="D8D8D8" w:themeFill="background1" w:themeFillShade="D9"/>
            <w:vAlign w:val="center"/>
          </w:tcPr>
          <w:p>
            <w:pPr>
              <w:snapToGrid w:val="0"/>
              <w:spacing w:line="240" w:lineRule="auto"/>
              <w:ind w:firstLine="0" w:firstLineChars="0"/>
              <w:jc w:val="center"/>
              <w:rPr>
                <w:rFonts w:ascii="宋体" w:hAnsi="宋体"/>
                <w:b/>
                <w:sz w:val="18"/>
                <w:szCs w:val="18"/>
              </w:rPr>
            </w:pPr>
            <w:r>
              <w:rPr>
                <w:rFonts w:hint="eastAsia" w:ascii="宋体" w:hAnsi="宋体"/>
                <w:b/>
                <w:sz w:val="18"/>
                <w:szCs w:val="18"/>
              </w:rPr>
              <w:t>设施级别</w:t>
            </w:r>
          </w:p>
        </w:tc>
        <w:tc>
          <w:tcPr>
            <w:tcW w:w="708" w:type="dxa"/>
            <w:shd w:val="clear" w:color="auto" w:fill="D8D8D8" w:themeFill="background1" w:themeFillShade="D9"/>
            <w:vAlign w:val="center"/>
          </w:tcPr>
          <w:p>
            <w:pPr>
              <w:snapToGrid w:val="0"/>
              <w:spacing w:line="240" w:lineRule="auto"/>
              <w:ind w:firstLine="0" w:firstLineChars="0"/>
              <w:jc w:val="center"/>
              <w:rPr>
                <w:rFonts w:ascii="宋体" w:hAnsi="宋体"/>
                <w:b/>
                <w:sz w:val="18"/>
                <w:szCs w:val="18"/>
              </w:rPr>
            </w:pPr>
            <w:r>
              <w:rPr>
                <w:rFonts w:hint="eastAsia" w:ascii="宋体" w:hAnsi="宋体"/>
                <w:b/>
                <w:sz w:val="18"/>
                <w:szCs w:val="18"/>
              </w:rPr>
              <w:t>数量</w:t>
            </w:r>
          </w:p>
        </w:tc>
        <w:tc>
          <w:tcPr>
            <w:tcW w:w="1985" w:type="dxa"/>
            <w:shd w:val="clear" w:color="auto" w:fill="D8D8D8" w:themeFill="background1" w:themeFillShade="D9"/>
            <w:vAlign w:val="center"/>
          </w:tcPr>
          <w:p>
            <w:pPr>
              <w:snapToGrid w:val="0"/>
              <w:spacing w:line="240" w:lineRule="auto"/>
              <w:ind w:firstLine="0" w:firstLineChars="0"/>
              <w:jc w:val="center"/>
              <w:rPr>
                <w:rFonts w:ascii="宋体" w:hAnsi="宋体"/>
                <w:b/>
                <w:sz w:val="18"/>
                <w:szCs w:val="18"/>
              </w:rPr>
            </w:pPr>
            <w:r>
              <w:rPr>
                <w:rFonts w:hint="eastAsia" w:ascii="宋体" w:hAnsi="宋体"/>
                <w:b/>
                <w:sz w:val="18"/>
                <w:szCs w:val="18"/>
              </w:rPr>
              <w:t>规划位置</w:t>
            </w:r>
          </w:p>
        </w:tc>
        <w:tc>
          <w:tcPr>
            <w:tcW w:w="1701" w:type="dxa"/>
            <w:shd w:val="clear" w:color="auto" w:fill="D8D8D8" w:themeFill="background1" w:themeFillShade="D9"/>
            <w:vAlign w:val="center"/>
          </w:tcPr>
          <w:p>
            <w:pPr>
              <w:snapToGrid w:val="0"/>
              <w:spacing w:line="240" w:lineRule="auto"/>
              <w:ind w:firstLine="0" w:firstLineChars="0"/>
              <w:jc w:val="center"/>
              <w:rPr>
                <w:rFonts w:ascii="宋体" w:hAnsi="宋体"/>
                <w:b/>
                <w:sz w:val="18"/>
                <w:szCs w:val="18"/>
              </w:rPr>
            </w:pPr>
            <w:r>
              <w:rPr>
                <w:rFonts w:hint="eastAsia" w:ascii="宋体" w:hAnsi="宋体"/>
                <w:b/>
                <w:sz w:val="18"/>
                <w:szCs w:val="18"/>
              </w:rPr>
              <w:t>名称</w:t>
            </w:r>
          </w:p>
        </w:tc>
        <w:tc>
          <w:tcPr>
            <w:tcW w:w="3430" w:type="dxa"/>
            <w:shd w:val="clear" w:color="auto" w:fill="D8D8D8" w:themeFill="background1" w:themeFillShade="D9"/>
            <w:vAlign w:val="center"/>
          </w:tcPr>
          <w:p>
            <w:pPr>
              <w:snapToGrid w:val="0"/>
              <w:spacing w:line="240" w:lineRule="auto"/>
              <w:ind w:firstLine="0" w:firstLineChars="0"/>
              <w:jc w:val="center"/>
              <w:rPr>
                <w:rFonts w:ascii="宋体" w:hAnsi="宋体"/>
                <w:b/>
                <w:sz w:val="18"/>
                <w:szCs w:val="18"/>
              </w:rPr>
            </w:pPr>
            <w:r>
              <w:rPr>
                <w:rFonts w:hint="eastAsia" w:ascii="宋体" w:hAnsi="宋体"/>
                <w:b/>
                <w:sz w:val="18"/>
                <w:szCs w:val="18"/>
              </w:rPr>
              <w:t>功能侧重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3" w:hRule="exact"/>
          <w:jc w:val="center"/>
        </w:trPr>
        <w:tc>
          <w:tcPr>
            <w:tcW w:w="954"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旅游城</w:t>
            </w:r>
          </w:p>
        </w:tc>
        <w:tc>
          <w:tcPr>
            <w:tcW w:w="708"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1</w:t>
            </w:r>
          </w:p>
        </w:tc>
        <w:tc>
          <w:tcPr>
            <w:tcW w:w="1985"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风景区外</w:t>
            </w: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大峃镇（文成县城）</w:t>
            </w:r>
          </w:p>
        </w:tc>
        <w:tc>
          <w:tcPr>
            <w:tcW w:w="3430"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旅游集散中心、解说、文化旅游、商务休闲、住宿餐饮等综合旅游服务功能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restart"/>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旅游镇</w:t>
            </w:r>
          </w:p>
        </w:tc>
        <w:tc>
          <w:tcPr>
            <w:tcW w:w="708" w:type="dxa"/>
            <w:vMerge w:val="restart"/>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7</w:t>
            </w:r>
          </w:p>
        </w:tc>
        <w:tc>
          <w:tcPr>
            <w:tcW w:w="1985" w:type="dxa"/>
            <w:vMerge w:val="restart"/>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风景区外</w:t>
            </w: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西坑畲族镇</w:t>
            </w:r>
          </w:p>
        </w:tc>
        <w:tc>
          <w:tcPr>
            <w:tcW w:w="3430" w:type="dxa"/>
            <w:vMerge w:val="restart"/>
            <w:vAlign w:val="center"/>
          </w:tcPr>
          <w:p>
            <w:pPr>
              <w:snapToGrid w:val="0"/>
              <w:spacing w:line="240" w:lineRule="auto"/>
              <w:ind w:firstLine="0" w:firstLineChars="0"/>
              <w:jc w:val="center"/>
              <w:rPr>
                <w:rFonts w:ascii="宋体" w:hAnsi="宋体"/>
                <w:bCs/>
                <w:sz w:val="18"/>
                <w:szCs w:val="18"/>
              </w:rPr>
            </w:pPr>
            <w:r>
              <w:rPr>
                <w:rFonts w:hint="eastAsia" w:ascii="宋体" w:hAnsi="宋体"/>
                <w:sz w:val="18"/>
                <w:szCs w:val="18"/>
              </w:rPr>
              <w:t>与天湖省级旅游度假区、文瑞山海协作生态旅游文化产业园、飞云湖旅游度假区、森林氧吧小镇等项目联动，融入休闲康养等功能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珊溪镇</w:t>
            </w:r>
          </w:p>
        </w:tc>
        <w:tc>
          <w:tcPr>
            <w:tcW w:w="3430" w:type="dxa"/>
            <w:vMerge w:val="continue"/>
            <w:vAlign w:val="center"/>
          </w:tcPr>
          <w:p>
            <w:pPr>
              <w:snapToGrid w:val="0"/>
              <w:spacing w:line="240" w:lineRule="auto"/>
              <w:ind w:firstLine="0" w:firstLineChars="0"/>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百丈漈镇</w:t>
            </w:r>
          </w:p>
        </w:tc>
        <w:tc>
          <w:tcPr>
            <w:tcW w:w="3430" w:type="dxa"/>
            <w:vMerge w:val="continue"/>
            <w:vAlign w:val="center"/>
          </w:tcPr>
          <w:p>
            <w:pPr>
              <w:snapToGrid w:val="0"/>
              <w:spacing w:line="240" w:lineRule="auto"/>
              <w:ind w:firstLine="0" w:firstLineChars="0"/>
              <w:jc w:val="center"/>
              <w:rPr>
                <w:rFonts w:ascii="宋体" w:hAnsi="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南田镇</w:t>
            </w:r>
          </w:p>
        </w:tc>
        <w:tc>
          <w:tcPr>
            <w:tcW w:w="3430" w:type="dxa"/>
            <w:vMerge w:val="continue"/>
            <w:vAlign w:val="center"/>
          </w:tcPr>
          <w:p>
            <w:pPr>
              <w:snapToGrid w:val="0"/>
              <w:spacing w:line="240" w:lineRule="auto"/>
              <w:ind w:firstLine="0" w:firstLineChars="0"/>
              <w:jc w:val="center"/>
              <w:rPr>
                <w:rFonts w:ascii="宋体" w:hAnsi="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黄坦镇</w:t>
            </w:r>
          </w:p>
        </w:tc>
        <w:tc>
          <w:tcPr>
            <w:tcW w:w="3430" w:type="dxa"/>
            <w:vMerge w:val="continue"/>
            <w:vAlign w:val="center"/>
          </w:tcPr>
          <w:p>
            <w:pPr>
              <w:snapToGrid w:val="0"/>
              <w:spacing w:line="240" w:lineRule="auto"/>
              <w:ind w:firstLine="0" w:firstLineChars="0"/>
              <w:jc w:val="center"/>
              <w:rPr>
                <w:rFonts w:ascii="宋体" w:hAnsi="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玉壶镇</w:t>
            </w:r>
          </w:p>
        </w:tc>
        <w:tc>
          <w:tcPr>
            <w:tcW w:w="3430" w:type="dxa"/>
            <w:vMerge w:val="continue"/>
            <w:vAlign w:val="center"/>
          </w:tcPr>
          <w:p>
            <w:pPr>
              <w:snapToGrid w:val="0"/>
              <w:spacing w:line="240" w:lineRule="auto"/>
              <w:ind w:firstLine="0" w:firstLineChars="0"/>
              <w:jc w:val="center"/>
              <w:rPr>
                <w:rFonts w:ascii="宋体" w:hAnsi="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铜铃山镇</w:t>
            </w:r>
          </w:p>
        </w:tc>
        <w:tc>
          <w:tcPr>
            <w:tcW w:w="3430" w:type="dxa"/>
            <w:vMerge w:val="continue"/>
            <w:vAlign w:val="center"/>
          </w:tcPr>
          <w:p>
            <w:pPr>
              <w:snapToGrid w:val="0"/>
              <w:spacing w:line="240" w:lineRule="auto"/>
              <w:ind w:firstLine="0" w:firstLineChars="0"/>
              <w:jc w:val="center"/>
              <w:rPr>
                <w:rFonts w:ascii="宋体" w:hAnsi="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restart"/>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旅游村</w:t>
            </w:r>
          </w:p>
        </w:tc>
        <w:tc>
          <w:tcPr>
            <w:tcW w:w="708" w:type="dxa"/>
            <w:vMerge w:val="restart"/>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1</w:t>
            </w:r>
            <w:r>
              <w:rPr>
                <w:rFonts w:ascii="宋体" w:hAnsi="宋体"/>
                <w:sz w:val="18"/>
                <w:szCs w:val="18"/>
              </w:rPr>
              <w:t>4</w:t>
            </w:r>
          </w:p>
        </w:tc>
        <w:tc>
          <w:tcPr>
            <w:tcW w:w="1985" w:type="dxa"/>
            <w:vMerge w:val="restart"/>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百丈飞瀑景区（风景区外）</w:t>
            </w: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西段村</w:t>
            </w:r>
          </w:p>
        </w:tc>
        <w:tc>
          <w:tcPr>
            <w:tcW w:w="3430" w:type="dxa"/>
            <w:vMerge w:val="restart"/>
            <w:vAlign w:val="center"/>
          </w:tcPr>
          <w:p>
            <w:pPr>
              <w:snapToGrid w:val="0"/>
              <w:spacing w:line="240" w:lineRule="auto"/>
              <w:ind w:firstLine="0" w:firstLineChars="0"/>
              <w:jc w:val="center"/>
              <w:rPr>
                <w:rFonts w:ascii="宋体" w:hAnsi="宋体"/>
                <w:bCs/>
                <w:sz w:val="18"/>
                <w:szCs w:val="18"/>
              </w:rPr>
            </w:pPr>
            <w:r>
              <w:rPr>
                <w:rFonts w:hint="eastAsia" w:ascii="宋体" w:hAnsi="宋体"/>
                <w:bCs/>
                <w:sz w:val="18"/>
                <w:szCs w:val="18"/>
              </w:rPr>
              <w:t>结合旅游村的自然、文化资源以及周边旅游项目可适度配套住宿、餐饮等功能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吴垟村</w:t>
            </w:r>
          </w:p>
        </w:tc>
        <w:tc>
          <w:tcPr>
            <w:tcW w:w="3430" w:type="dxa"/>
            <w:vMerge w:val="continue"/>
            <w:vAlign w:val="center"/>
          </w:tcPr>
          <w:p>
            <w:pPr>
              <w:snapToGrid w:val="0"/>
              <w:spacing w:line="240" w:lineRule="auto"/>
              <w:ind w:firstLine="0" w:firstLineChars="0"/>
              <w:jc w:val="center"/>
              <w:rPr>
                <w:rFonts w:ascii="宋体" w:hAnsi="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下余村</w:t>
            </w:r>
          </w:p>
        </w:tc>
        <w:tc>
          <w:tcPr>
            <w:tcW w:w="3430" w:type="dxa"/>
            <w:vMerge w:val="continue"/>
            <w:vAlign w:val="center"/>
          </w:tcPr>
          <w:p>
            <w:pPr>
              <w:snapToGrid w:val="0"/>
              <w:spacing w:line="240" w:lineRule="auto"/>
              <w:ind w:firstLine="0" w:firstLineChars="0"/>
              <w:jc w:val="center"/>
              <w:rPr>
                <w:rFonts w:ascii="宋体" w:hAnsi="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restart"/>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朱阳九峰景区</w:t>
            </w: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碧坑村</w:t>
            </w:r>
          </w:p>
        </w:tc>
        <w:tc>
          <w:tcPr>
            <w:tcW w:w="3430" w:type="dxa"/>
            <w:vMerge w:val="continue"/>
            <w:vAlign w:val="center"/>
          </w:tcPr>
          <w:p>
            <w:pPr>
              <w:snapToGrid w:val="0"/>
              <w:spacing w:line="240" w:lineRule="auto"/>
              <w:ind w:firstLine="0" w:firstLineChars="0"/>
              <w:jc w:val="center"/>
              <w:rPr>
                <w:rFonts w:ascii="宋体" w:hAnsi="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谈阳村</w:t>
            </w:r>
          </w:p>
        </w:tc>
        <w:tc>
          <w:tcPr>
            <w:tcW w:w="3430" w:type="dxa"/>
            <w:vMerge w:val="continue"/>
            <w:vAlign w:val="center"/>
          </w:tcPr>
          <w:p>
            <w:pPr>
              <w:snapToGrid w:val="0"/>
              <w:spacing w:line="240" w:lineRule="auto"/>
              <w:ind w:firstLine="0" w:firstLineChars="0"/>
              <w:jc w:val="center"/>
              <w:rPr>
                <w:rFonts w:ascii="宋体" w:hAnsi="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伯温故里景区</w:t>
            </w: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武阳村</w:t>
            </w:r>
          </w:p>
        </w:tc>
        <w:tc>
          <w:tcPr>
            <w:tcW w:w="3430" w:type="dxa"/>
            <w:vMerge w:val="continue"/>
            <w:vAlign w:val="center"/>
          </w:tcPr>
          <w:p>
            <w:pPr>
              <w:snapToGrid w:val="0"/>
              <w:spacing w:line="240" w:lineRule="auto"/>
              <w:ind w:firstLine="0" w:firstLineChars="0"/>
              <w:jc w:val="center"/>
              <w:rPr>
                <w:rFonts w:ascii="宋体" w:hAnsi="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风景区外</w:t>
            </w: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胜坑村</w:t>
            </w:r>
          </w:p>
        </w:tc>
        <w:tc>
          <w:tcPr>
            <w:tcW w:w="3430" w:type="dxa"/>
            <w:vMerge w:val="continue"/>
            <w:vAlign w:val="center"/>
          </w:tcPr>
          <w:p>
            <w:pPr>
              <w:snapToGrid w:val="0"/>
              <w:spacing w:line="240" w:lineRule="auto"/>
              <w:ind w:firstLine="0" w:firstLineChars="0"/>
              <w:jc w:val="center"/>
              <w:rPr>
                <w:rFonts w:ascii="宋体" w:hAnsi="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restart"/>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岩门大峡谷景区</w:t>
            </w: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岭后村</w:t>
            </w:r>
          </w:p>
        </w:tc>
        <w:tc>
          <w:tcPr>
            <w:tcW w:w="3430" w:type="dxa"/>
            <w:vMerge w:val="continue"/>
            <w:vAlign w:val="center"/>
          </w:tcPr>
          <w:p>
            <w:pPr>
              <w:snapToGrid w:val="0"/>
              <w:spacing w:line="240" w:lineRule="auto"/>
              <w:ind w:firstLine="0" w:firstLineChars="0"/>
              <w:jc w:val="center"/>
              <w:rPr>
                <w:rFonts w:ascii="宋体" w:hAnsi="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下庄村</w:t>
            </w:r>
          </w:p>
        </w:tc>
        <w:tc>
          <w:tcPr>
            <w:tcW w:w="3430" w:type="dxa"/>
            <w:vMerge w:val="continue"/>
            <w:vAlign w:val="center"/>
          </w:tcPr>
          <w:p>
            <w:pPr>
              <w:snapToGrid w:val="0"/>
              <w:spacing w:line="240" w:lineRule="auto"/>
              <w:ind w:firstLine="0" w:firstLineChars="0"/>
              <w:jc w:val="center"/>
              <w:rPr>
                <w:rFonts w:ascii="宋体" w:hAnsi="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restart"/>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飞云湖景区</w:t>
            </w: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云湖社区</w:t>
            </w:r>
          </w:p>
        </w:tc>
        <w:tc>
          <w:tcPr>
            <w:tcW w:w="3430" w:type="dxa"/>
            <w:vMerge w:val="continue"/>
            <w:vAlign w:val="center"/>
          </w:tcPr>
          <w:p>
            <w:pPr>
              <w:snapToGrid w:val="0"/>
              <w:spacing w:line="240" w:lineRule="auto"/>
              <w:ind w:firstLine="0" w:firstLineChars="0"/>
              <w:jc w:val="center"/>
              <w:rPr>
                <w:rFonts w:ascii="宋体" w:hAnsi="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塘垄村</w:t>
            </w:r>
          </w:p>
        </w:tc>
        <w:tc>
          <w:tcPr>
            <w:tcW w:w="3430" w:type="dxa"/>
            <w:vMerge w:val="continue"/>
            <w:vAlign w:val="center"/>
          </w:tcPr>
          <w:p>
            <w:pPr>
              <w:snapToGrid w:val="0"/>
              <w:spacing w:line="240" w:lineRule="auto"/>
              <w:ind w:firstLine="0" w:firstLineChars="0"/>
              <w:jc w:val="center"/>
              <w:rPr>
                <w:rFonts w:ascii="宋体" w:hAnsi="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松坑村</w:t>
            </w:r>
          </w:p>
        </w:tc>
        <w:tc>
          <w:tcPr>
            <w:tcW w:w="3430" w:type="dxa"/>
            <w:vMerge w:val="continue"/>
            <w:vAlign w:val="center"/>
          </w:tcPr>
          <w:p>
            <w:pPr>
              <w:snapToGrid w:val="0"/>
              <w:spacing w:line="240" w:lineRule="auto"/>
              <w:ind w:firstLine="0" w:firstLineChars="0"/>
              <w:jc w:val="center"/>
              <w:rPr>
                <w:rFonts w:ascii="宋体" w:hAnsi="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塘山村</w:t>
            </w:r>
          </w:p>
        </w:tc>
        <w:tc>
          <w:tcPr>
            <w:tcW w:w="3430" w:type="dxa"/>
            <w:vMerge w:val="continue"/>
            <w:vAlign w:val="center"/>
          </w:tcPr>
          <w:p>
            <w:pPr>
              <w:snapToGrid w:val="0"/>
              <w:spacing w:line="240" w:lineRule="auto"/>
              <w:ind w:firstLine="0" w:firstLineChars="0"/>
              <w:jc w:val="center"/>
              <w:rPr>
                <w:rFonts w:ascii="宋体" w:hAnsi="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风景区内</w:t>
            </w: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南川村</w:t>
            </w:r>
          </w:p>
        </w:tc>
        <w:tc>
          <w:tcPr>
            <w:tcW w:w="3430" w:type="dxa"/>
            <w:vMerge w:val="continue"/>
            <w:vAlign w:val="center"/>
          </w:tcPr>
          <w:p>
            <w:pPr>
              <w:snapToGrid w:val="0"/>
              <w:spacing w:line="240" w:lineRule="auto"/>
              <w:ind w:firstLine="0" w:firstLineChars="0"/>
              <w:jc w:val="center"/>
              <w:rPr>
                <w:rFonts w:ascii="宋体" w:hAnsi="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restart"/>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旅游点</w:t>
            </w:r>
          </w:p>
        </w:tc>
        <w:tc>
          <w:tcPr>
            <w:tcW w:w="708" w:type="dxa"/>
            <w:vMerge w:val="restart"/>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1</w:t>
            </w:r>
            <w:r>
              <w:rPr>
                <w:rFonts w:ascii="宋体" w:hAnsi="宋体"/>
                <w:sz w:val="18"/>
                <w:szCs w:val="18"/>
              </w:rPr>
              <w:t>4</w:t>
            </w:r>
          </w:p>
        </w:tc>
        <w:tc>
          <w:tcPr>
            <w:tcW w:w="1985" w:type="dxa"/>
            <w:vMerge w:val="restart"/>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百丈飞瀑景区</w:t>
            </w: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天湖</w:t>
            </w:r>
          </w:p>
        </w:tc>
        <w:tc>
          <w:tcPr>
            <w:tcW w:w="3430"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交通换乘、游船码头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百丈漈南</w:t>
            </w:r>
          </w:p>
        </w:tc>
        <w:tc>
          <w:tcPr>
            <w:tcW w:w="3430"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门票服务、交通换乘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百丈漈北</w:t>
            </w:r>
          </w:p>
        </w:tc>
        <w:tc>
          <w:tcPr>
            <w:tcW w:w="3430"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门票服务、交通换乘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吴垟码头</w:t>
            </w:r>
          </w:p>
        </w:tc>
        <w:tc>
          <w:tcPr>
            <w:tcW w:w="3430"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门票服务、游船码头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restart"/>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朱阳九峰景区</w:t>
            </w: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好汉山庄</w:t>
            </w:r>
          </w:p>
        </w:tc>
        <w:tc>
          <w:tcPr>
            <w:tcW w:w="3430"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游客中心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朱山</w:t>
            </w:r>
          </w:p>
        </w:tc>
        <w:tc>
          <w:tcPr>
            <w:tcW w:w="3430"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门票服务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龙麒源景区</w:t>
            </w: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龙麒源</w:t>
            </w:r>
          </w:p>
        </w:tc>
        <w:tc>
          <w:tcPr>
            <w:tcW w:w="3430"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游客中心、停车等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restart"/>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石垟景区</w:t>
            </w: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月老山</w:t>
            </w:r>
          </w:p>
        </w:tc>
        <w:tc>
          <w:tcPr>
            <w:tcW w:w="3430" w:type="dxa"/>
            <w:vMerge w:val="restart"/>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门票服务、休憩设施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猴王谷</w:t>
            </w:r>
          </w:p>
        </w:tc>
        <w:tc>
          <w:tcPr>
            <w:tcW w:w="3430" w:type="dxa"/>
            <w:vMerge w:val="continue"/>
            <w:vAlign w:val="center"/>
          </w:tcPr>
          <w:p>
            <w:pPr>
              <w:snapToGrid w:val="0"/>
              <w:spacing w:line="240" w:lineRule="auto"/>
              <w:ind w:firstLine="0" w:firstLineChars="0"/>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岩门大峡谷景区</w:t>
            </w: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三板桥</w:t>
            </w:r>
          </w:p>
        </w:tc>
        <w:tc>
          <w:tcPr>
            <w:tcW w:w="3430"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游客中心、游船码头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restart"/>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飞云湖景区</w:t>
            </w: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前斜</w:t>
            </w:r>
          </w:p>
        </w:tc>
        <w:tc>
          <w:tcPr>
            <w:tcW w:w="3430"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索道下站配套设施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飞云湖</w:t>
            </w:r>
          </w:p>
        </w:tc>
        <w:tc>
          <w:tcPr>
            <w:tcW w:w="3430"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游船码头、游客服务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restart"/>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牛栏湾景区</w:t>
            </w: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牛栏湾入口</w:t>
            </w:r>
          </w:p>
        </w:tc>
        <w:tc>
          <w:tcPr>
            <w:tcW w:w="3430"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游客服务、索道站配套设施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牛栏湾次入口</w:t>
            </w:r>
          </w:p>
        </w:tc>
        <w:tc>
          <w:tcPr>
            <w:tcW w:w="3430"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门票服务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restart"/>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服务部</w:t>
            </w:r>
          </w:p>
        </w:tc>
        <w:tc>
          <w:tcPr>
            <w:tcW w:w="708" w:type="dxa"/>
            <w:vMerge w:val="restart"/>
            <w:vAlign w:val="center"/>
          </w:tcPr>
          <w:p>
            <w:pPr>
              <w:snapToGrid w:val="0"/>
              <w:spacing w:line="240" w:lineRule="auto"/>
              <w:ind w:firstLine="0" w:firstLineChars="0"/>
              <w:jc w:val="center"/>
              <w:rPr>
                <w:rFonts w:ascii="宋体" w:hAnsi="宋体"/>
                <w:sz w:val="18"/>
                <w:szCs w:val="18"/>
              </w:rPr>
            </w:pPr>
            <w:r>
              <w:rPr>
                <w:rFonts w:ascii="宋体" w:hAnsi="宋体"/>
                <w:sz w:val="18"/>
                <w:szCs w:val="18"/>
              </w:rPr>
              <w:t>33</w:t>
            </w:r>
          </w:p>
        </w:tc>
        <w:tc>
          <w:tcPr>
            <w:tcW w:w="1985"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百丈飞瀑景区</w:t>
            </w: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二漈茶室</w:t>
            </w:r>
          </w:p>
        </w:tc>
        <w:tc>
          <w:tcPr>
            <w:tcW w:w="3430"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休憩设施、饮食点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朱阳九峰景区</w:t>
            </w: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三潭三瀑</w:t>
            </w:r>
          </w:p>
        </w:tc>
        <w:tc>
          <w:tcPr>
            <w:tcW w:w="3430"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休憩设施、必要的小卖商亭等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restart"/>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龙麒源景区</w:t>
            </w: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龙麒源</w:t>
            </w:r>
          </w:p>
        </w:tc>
        <w:tc>
          <w:tcPr>
            <w:tcW w:w="3430"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售票、饮食点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飞翠湖</w:t>
            </w:r>
          </w:p>
        </w:tc>
        <w:tc>
          <w:tcPr>
            <w:tcW w:w="3430" w:type="dxa"/>
            <w:vMerge w:val="restart"/>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休憩设施、必要的小卖商亭等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金壁滩</w:t>
            </w:r>
          </w:p>
        </w:tc>
        <w:tc>
          <w:tcPr>
            <w:tcW w:w="3430" w:type="dxa"/>
            <w:vMerge w:val="continue"/>
            <w:vAlign w:val="center"/>
          </w:tcPr>
          <w:p>
            <w:pPr>
              <w:snapToGrid w:val="0"/>
              <w:spacing w:line="240" w:lineRule="auto"/>
              <w:ind w:firstLine="0" w:firstLineChars="0"/>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restart"/>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石垟景区</w:t>
            </w: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通天洞</w:t>
            </w:r>
          </w:p>
        </w:tc>
        <w:tc>
          <w:tcPr>
            <w:tcW w:w="3430" w:type="dxa"/>
            <w:vMerge w:val="restart"/>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休憩设施、必要的小卖商亭等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仙龟山</w:t>
            </w:r>
          </w:p>
        </w:tc>
        <w:tc>
          <w:tcPr>
            <w:tcW w:w="3430" w:type="dxa"/>
            <w:vMerge w:val="continue"/>
            <w:vAlign w:val="center"/>
          </w:tcPr>
          <w:p>
            <w:pPr>
              <w:snapToGrid w:val="0"/>
              <w:spacing w:line="240" w:lineRule="auto"/>
              <w:ind w:firstLine="0" w:firstLineChars="0"/>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双龙瀑</w:t>
            </w:r>
          </w:p>
        </w:tc>
        <w:tc>
          <w:tcPr>
            <w:tcW w:w="3430" w:type="dxa"/>
            <w:vMerge w:val="continue"/>
            <w:vAlign w:val="center"/>
          </w:tcPr>
          <w:p>
            <w:pPr>
              <w:snapToGrid w:val="0"/>
              <w:spacing w:line="240" w:lineRule="auto"/>
              <w:ind w:firstLine="0" w:firstLineChars="0"/>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龙凤瀑</w:t>
            </w:r>
          </w:p>
        </w:tc>
        <w:tc>
          <w:tcPr>
            <w:tcW w:w="3430" w:type="dxa"/>
            <w:vMerge w:val="continue"/>
            <w:vAlign w:val="center"/>
          </w:tcPr>
          <w:p>
            <w:pPr>
              <w:snapToGrid w:val="0"/>
              <w:spacing w:line="240" w:lineRule="auto"/>
              <w:ind w:firstLine="0" w:firstLineChars="0"/>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九龙潭</w:t>
            </w:r>
          </w:p>
        </w:tc>
        <w:tc>
          <w:tcPr>
            <w:tcW w:w="3430" w:type="dxa"/>
            <w:vMerge w:val="continue"/>
            <w:vAlign w:val="center"/>
          </w:tcPr>
          <w:p>
            <w:pPr>
              <w:snapToGrid w:val="0"/>
              <w:spacing w:line="240" w:lineRule="auto"/>
              <w:ind w:firstLine="0" w:firstLineChars="0"/>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猴王啸天</w:t>
            </w:r>
          </w:p>
        </w:tc>
        <w:tc>
          <w:tcPr>
            <w:tcW w:w="3430" w:type="dxa"/>
            <w:vMerge w:val="continue"/>
            <w:vAlign w:val="center"/>
          </w:tcPr>
          <w:p>
            <w:pPr>
              <w:snapToGrid w:val="0"/>
              <w:spacing w:line="240" w:lineRule="auto"/>
              <w:ind w:firstLine="0" w:firstLineChars="0"/>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狮子岩</w:t>
            </w:r>
          </w:p>
        </w:tc>
        <w:tc>
          <w:tcPr>
            <w:tcW w:w="3430" w:type="dxa"/>
            <w:vMerge w:val="continue"/>
            <w:vAlign w:val="center"/>
          </w:tcPr>
          <w:p>
            <w:pPr>
              <w:snapToGrid w:val="0"/>
              <w:spacing w:line="240" w:lineRule="auto"/>
              <w:ind w:firstLine="0" w:firstLineChars="0"/>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三潭三涧</w:t>
            </w:r>
          </w:p>
        </w:tc>
        <w:tc>
          <w:tcPr>
            <w:tcW w:w="3430" w:type="dxa"/>
            <w:vMerge w:val="continue"/>
            <w:vAlign w:val="center"/>
          </w:tcPr>
          <w:p>
            <w:pPr>
              <w:snapToGrid w:val="0"/>
              <w:spacing w:line="240" w:lineRule="auto"/>
              <w:ind w:firstLine="0" w:firstLineChars="0"/>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restart"/>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岩门大峡谷景区</w:t>
            </w: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石牛栏</w:t>
            </w:r>
          </w:p>
        </w:tc>
        <w:tc>
          <w:tcPr>
            <w:tcW w:w="3430" w:type="dxa"/>
            <w:vMerge w:val="restart"/>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休憩设施、必要的小卖商亭等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红军洞</w:t>
            </w:r>
          </w:p>
        </w:tc>
        <w:tc>
          <w:tcPr>
            <w:tcW w:w="3430" w:type="dxa"/>
            <w:vMerge w:val="continue"/>
            <w:vAlign w:val="center"/>
          </w:tcPr>
          <w:p>
            <w:pPr>
              <w:snapToGrid w:val="0"/>
              <w:spacing w:line="240" w:lineRule="auto"/>
              <w:ind w:firstLine="0" w:firstLineChars="0"/>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飞龙湖</w:t>
            </w:r>
          </w:p>
        </w:tc>
        <w:tc>
          <w:tcPr>
            <w:tcW w:w="3430" w:type="dxa"/>
            <w:vMerge w:val="continue"/>
            <w:vAlign w:val="center"/>
          </w:tcPr>
          <w:p>
            <w:pPr>
              <w:snapToGrid w:val="0"/>
              <w:spacing w:line="240" w:lineRule="auto"/>
              <w:ind w:firstLine="0" w:firstLineChars="0"/>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三重漈</w:t>
            </w:r>
          </w:p>
        </w:tc>
        <w:tc>
          <w:tcPr>
            <w:tcW w:w="3430" w:type="dxa"/>
            <w:vMerge w:val="continue"/>
            <w:vAlign w:val="center"/>
          </w:tcPr>
          <w:p>
            <w:pPr>
              <w:snapToGrid w:val="0"/>
              <w:spacing w:line="240" w:lineRule="auto"/>
              <w:ind w:firstLine="0" w:firstLineChars="0"/>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restart"/>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飞云湖景区</w:t>
            </w:r>
          </w:p>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岩门</w:t>
            </w:r>
          </w:p>
        </w:tc>
        <w:tc>
          <w:tcPr>
            <w:tcW w:w="3430" w:type="dxa"/>
            <w:vMerge w:val="restart"/>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游船码头及相关游客服务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岭脚</w:t>
            </w:r>
          </w:p>
        </w:tc>
        <w:tc>
          <w:tcPr>
            <w:tcW w:w="3430" w:type="dxa"/>
            <w:vMerge w:val="continue"/>
            <w:vAlign w:val="center"/>
          </w:tcPr>
          <w:p>
            <w:pPr>
              <w:snapToGrid w:val="0"/>
              <w:spacing w:line="240" w:lineRule="auto"/>
              <w:ind w:firstLine="0" w:firstLineChars="0"/>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杜山</w:t>
            </w:r>
          </w:p>
        </w:tc>
        <w:tc>
          <w:tcPr>
            <w:tcW w:w="3430" w:type="dxa"/>
            <w:vMerge w:val="continue"/>
            <w:vAlign w:val="center"/>
          </w:tcPr>
          <w:p>
            <w:pPr>
              <w:snapToGrid w:val="0"/>
              <w:spacing w:line="240" w:lineRule="auto"/>
              <w:ind w:firstLine="0" w:firstLineChars="0"/>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龙湖</w:t>
            </w:r>
          </w:p>
        </w:tc>
        <w:tc>
          <w:tcPr>
            <w:tcW w:w="3430" w:type="dxa"/>
            <w:vMerge w:val="continue"/>
            <w:vAlign w:val="center"/>
          </w:tcPr>
          <w:p>
            <w:pPr>
              <w:snapToGrid w:val="0"/>
              <w:spacing w:line="240" w:lineRule="auto"/>
              <w:ind w:firstLine="0" w:firstLineChars="0"/>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金山</w:t>
            </w:r>
          </w:p>
        </w:tc>
        <w:tc>
          <w:tcPr>
            <w:tcW w:w="3430" w:type="dxa"/>
            <w:vMerge w:val="continue"/>
            <w:vAlign w:val="center"/>
          </w:tcPr>
          <w:p>
            <w:pPr>
              <w:snapToGrid w:val="0"/>
              <w:spacing w:line="240" w:lineRule="auto"/>
              <w:ind w:firstLine="0" w:firstLineChars="0"/>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双龙</w:t>
            </w:r>
          </w:p>
        </w:tc>
        <w:tc>
          <w:tcPr>
            <w:tcW w:w="3430" w:type="dxa"/>
            <w:vMerge w:val="continue"/>
            <w:vAlign w:val="center"/>
          </w:tcPr>
          <w:p>
            <w:pPr>
              <w:snapToGrid w:val="0"/>
              <w:spacing w:line="240" w:lineRule="auto"/>
              <w:ind w:firstLine="0" w:firstLineChars="0"/>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卓山</w:t>
            </w:r>
          </w:p>
        </w:tc>
        <w:tc>
          <w:tcPr>
            <w:tcW w:w="3430" w:type="dxa"/>
            <w:vMerge w:val="continue"/>
            <w:vAlign w:val="center"/>
          </w:tcPr>
          <w:p>
            <w:pPr>
              <w:snapToGrid w:val="0"/>
              <w:spacing w:line="240" w:lineRule="auto"/>
              <w:ind w:firstLine="0" w:firstLineChars="0"/>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新湖</w:t>
            </w:r>
          </w:p>
        </w:tc>
        <w:tc>
          <w:tcPr>
            <w:tcW w:w="3430" w:type="dxa"/>
            <w:vMerge w:val="continue"/>
            <w:vAlign w:val="center"/>
          </w:tcPr>
          <w:p>
            <w:pPr>
              <w:snapToGrid w:val="0"/>
              <w:spacing w:line="240" w:lineRule="auto"/>
              <w:ind w:firstLine="0" w:firstLineChars="0"/>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下山</w:t>
            </w:r>
          </w:p>
        </w:tc>
        <w:tc>
          <w:tcPr>
            <w:tcW w:w="3430" w:type="dxa"/>
            <w:vMerge w:val="continue"/>
            <w:vAlign w:val="center"/>
          </w:tcPr>
          <w:p>
            <w:pPr>
              <w:snapToGrid w:val="0"/>
              <w:spacing w:line="240" w:lineRule="auto"/>
              <w:ind w:firstLine="0" w:firstLineChars="0"/>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松根</w:t>
            </w:r>
          </w:p>
        </w:tc>
        <w:tc>
          <w:tcPr>
            <w:tcW w:w="3430" w:type="dxa"/>
            <w:vMerge w:val="continue"/>
            <w:vAlign w:val="center"/>
          </w:tcPr>
          <w:p>
            <w:pPr>
              <w:snapToGrid w:val="0"/>
              <w:spacing w:line="240" w:lineRule="auto"/>
              <w:ind w:firstLine="0" w:firstLineChars="0"/>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项坑</w:t>
            </w:r>
          </w:p>
        </w:tc>
        <w:tc>
          <w:tcPr>
            <w:tcW w:w="3430" w:type="dxa"/>
            <w:vMerge w:val="continue"/>
            <w:vAlign w:val="center"/>
          </w:tcPr>
          <w:p>
            <w:pPr>
              <w:snapToGrid w:val="0"/>
              <w:spacing w:line="240" w:lineRule="auto"/>
              <w:ind w:firstLine="0" w:firstLineChars="0"/>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梅园客厅</w:t>
            </w:r>
          </w:p>
        </w:tc>
        <w:tc>
          <w:tcPr>
            <w:tcW w:w="3430"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休憩设施、必要的小卖商亭等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restart"/>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牛栏湾景区</w:t>
            </w: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豆腐仙岩</w:t>
            </w:r>
          </w:p>
        </w:tc>
        <w:tc>
          <w:tcPr>
            <w:tcW w:w="3430"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休憩设施、必要的小卖商亭等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水帘玉璧</w:t>
            </w:r>
          </w:p>
        </w:tc>
        <w:tc>
          <w:tcPr>
            <w:tcW w:w="3430"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索道站配套设施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仙乌岩尖</w:t>
            </w:r>
          </w:p>
        </w:tc>
        <w:tc>
          <w:tcPr>
            <w:tcW w:w="3430" w:type="dxa"/>
            <w:vMerge w:val="restart"/>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休憩设施、必要的小卖商亭等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napToGrid w:val="0"/>
              <w:spacing w:line="240" w:lineRule="auto"/>
              <w:ind w:firstLine="0" w:firstLineChars="0"/>
              <w:jc w:val="center"/>
              <w:rPr>
                <w:rFonts w:ascii="宋体" w:hAnsi="宋体"/>
                <w:sz w:val="18"/>
                <w:szCs w:val="18"/>
              </w:rPr>
            </w:pPr>
          </w:p>
        </w:tc>
        <w:tc>
          <w:tcPr>
            <w:tcW w:w="708" w:type="dxa"/>
            <w:vMerge w:val="continue"/>
            <w:vAlign w:val="center"/>
          </w:tcPr>
          <w:p>
            <w:pPr>
              <w:snapToGrid w:val="0"/>
              <w:spacing w:line="240" w:lineRule="auto"/>
              <w:ind w:firstLine="0" w:firstLineChars="0"/>
              <w:jc w:val="center"/>
              <w:rPr>
                <w:rFonts w:ascii="宋体" w:hAnsi="宋体"/>
                <w:sz w:val="18"/>
                <w:szCs w:val="18"/>
              </w:rPr>
            </w:pPr>
          </w:p>
        </w:tc>
        <w:tc>
          <w:tcPr>
            <w:tcW w:w="1985" w:type="dxa"/>
            <w:vMerge w:val="continue"/>
            <w:vAlign w:val="center"/>
          </w:tcPr>
          <w:p>
            <w:pPr>
              <w:snapToGrid w:val="0"/>
              <w:spacing w:line="240" w:lineRule="auto"/>
              <w:ind w:firstLine="0" w:firstLineChars="0"/>
              <w:jc w:val="center"/>
              <w:rPr>
                <w:rFonts w:ascii="宋体" w:hAnsi="宋体"/>
                <w:sz w:val="18"/>
                <w:szCs w:val="18"/>
              </w:rPr>
            </w:pPr>
          </w:p>
        </w:tc>
        <w:tc>
          <w:tcPr>
            <w:tcW w:w="1701" w:type="dxa"/>
            <w:vAlign w:val="center"/>
          </w:tcPr>
          <w:p>
            <w:pPr>
              <w:snapToGrid w:val="0"/>
              <w:spacing w:line="240" w:lineRule="auto"/>
              <w:ind w:firstLine="0" w:firstLineChars="0"/>
              <w:jc w:val="center"/>
              <w:rPr>
                <w:rFonts w:ascii="宋体" w:hAnsi="宋体"/>
                <w:sz w:val="18"/>
                <w:szCs w:val="18"/>
              </w:rPr>
            </w:pPr>
            <w:r>
              <w:rPr>
                <w:rFonts w:hint="eastAsia" w:ascii="宋体" w:hAnsi="宋体"/>
                <w:sz w:val="18"/>
                <w:szCs w:val="18"/>
              </w:rPr>
              <w:t>仙人岩</w:t>
            </w:r>
          </w:p>
        </w:tc>
        <w:tc>
          <w:tcPr>
            <w:tcW w:w="3430" w:type="dxa"/>
            <w:vMerge w:val="continue"/>
            <w:vAlign w:val="center"/>
          </w:tcPr>
          <w:p>
            <w:pPr>
              <w:snapToGrid w:val="0"/>
              <w:spacing w:line="240" w:lineRule="auto"/>
              <w:ind w:firstLine="0" w:firstLineChars="0"/>
              <w:jc w:val="center"/>
              <w:rPr>
                <w:rFonts w:ascii="宋体" w:hAnsi="宋体"/>
                <w:sz w:val="18"/>
                <w:szCs w:val="18"/>
              </w:rPr>
            </w:pPr>
          </w:p>
        </w:tc>
      </w:tr>
    </w:tbl>
    <w:p>
      <w:pPr>
        <w:spacing w:line="240" w:lineRule="auto"/>
        <w:ind w:firstLine="0" w:firstLineChars="0"/>
        <w:jc w:val="left"/>
        <w:rPr>
          <w:rFonts w:ascii="宋体" w:hAnsi="宋体"/>
          <w:kern w:val="0"/>
          <w:sz w:val="18"/>
          <w:szCs w:val="21"/>
        </w:rPr>
      </w:pPr>
      <w:r>
        <w:rPr>
          <w:rFonts w:hint="eastAsia" w:ascii="宋体" w:hAnsi="宋体"/>
          <w:kern w:val="0"/>
          <w:sz w:val="18"/>
          <w:szCs w:val="21"/>
        </w:rPr>
        <w:t>注：1、风景区范围内的游览服务设施不得有地产等不符合风景区相关规定的建设项目。</w:t>
      </w:r>
    </w:p>
    <w:p>
      <w:pPr>
        <w:spacing w:line="240" w:lineRule="auto"/>
        <w:ind w:firstLine="360"/>
        <w:jc w:val="left"/>
        <w:rPr>
          <w:rFonts w:ascii="宋体" w:hAnsi="宋体"/>
          <w:bCs/>
          <w:kern w:val="0"/>
          <w:sz w:val="18"/>
          <w:szCs w:val="21"/>
        </w:rPr>
      </w:pPr>
      <w:r>
        <w:rPr>
          <w:rFonts w:hint="eastAsia" w:ascii="宋体" w:hAnsi="宋体"/>
          <w:kern w:val="0"/>
          <w:sz w:val="18"/>
          <w:szCs w:val="21"/>
        </w:rPr>
        <w:t>2、服务点、服务部在后续详细规划中，可根据景区实际建设需求优化完善布局，并进一步明确位置及建设规模。</w:t>
      </w:r>
    </w:p>
    <w:p>
      <w:pPr>
        <w:pStyle w:val="4"/>
        <w:spacing w:before="156"/>
        <w:ind w:firstLine="360"/>
      </w:pPr>
      <w:bookmarkStart w:id="48" w:name="_Toc517293067"/>
      <w:r>
        <w:rPr>
          <w:rFonts w:hint="eastAsia"/>
        </w:rPr>
        <w:t>（六）床位规模</w:t>
      </w:r>
      <w:bookmarkEnd w:id="48"/>
      <w:r>
        <w:rPr>
          <w:rFonts w:hint="eastAsia"/>
        </w:rPr>
        <w:t>控制</w:t>
      </w:r>
    </w:p>
    <w:p>
      <w:pPr>
        <w:spacing w:before="93" w:beforeLines="30"/>
        <w:ind w:firstLine="480"/>
        <w:rPr>
          <w:rFonts w:cs="宋体"/>
        </w:rPr>
      </w:pPr>
      <w:r>
        <w:rPr>
          <w:rFonts w:hint="eastAsia" w:cs="宋体"/>
        </w:rPr>
        <w:t>考虑文成县实际情况与建设潜力，将近期规划的1</w:t>
      </w:r>
      <w:r>
        <w:rPr>
          <w:rFonts w:cs="宋体"/>
        </w:rPr>
        <w:t>7300</w:t>
      </w:r>
      <w:r>
        <w:rPr>
          <w:rFonts w:hint="eastAsia" w:cs="宋体"/>
        </w:rPr>
        <w:t>个床位作为确定设施规模的主要依据。规划75%的床位分布于风景区外的一级旅游镇、二级旅游镇和旅游村，通过规划协调推进风景区外围村镇的旅游服务设施建设；25%的床位分布于风景区内的二级旅游镇和旅游村，应通过规划控制调控床位规模；旅游点均位于风景区内，不设床位，可结合游赏规划适当设置野营点，应遵循规划控制并严格管理。</w:t>
      </w:r>
    </w:p>
    <w:p>
      <w:pPr>
        <w:spacing w:before="72"/>
        <w:ind w:firstLine="422"/>
        <w:jc w:val="center"/>
        <w:rPr>
          <w:rFonts w:asciiTheme="minorEastAsia" w:hAnsiTheme="minorEastAsia" w:eastAsiaTheme="minorEastAsia"/>
          <w:b/>
          <w:color w:val="000000" w:themeColor="text1"/>
          <w:sz w:val="21"/>
          <w:szCs w:val="21"/>
          <w14:textFill>
            <w14:solidFill>
              <w14:schemeClr w14:val="tx1"/>
            </w14:solidFill>
          </w14:textFill>
        </w:rPr>
      </w:pPr>
      <w:r>
        <w:rPr>
          <w:rFonts w:hint="eastAsia" w:asciiTheme="minorEastAsia" w:hAnsiTheme="minorEastAsia" w:eastAsiaTheme="minorEastAsia"/>
          <w:b/>
          <w:color w:val="000000" w:themeColor="text1"/>
          <w:sz w:val="21"/>
          <w:szCs w:val="21"/>
          <w14:textFill>
            <w14:solidFill>
              <w14:schemeClr w14:val="tx1"/>
            </w14:solidFill>
          </w14:textFill>
        </w:rPr>
        <w:t>表4-</w:t>
      </w:r>
      <w:r>
        <w:rPr>
          <w:rFonts w:asciiTheme="minorEastAsia" w:hAnsiTheme="minorEastAsia" w:eastAsiaTheme="minorEastAsia"/>
          <w:b/>
          <w:color w:val="000000" w:themeColor="text1"/>
          <w:sz w:val="21"/>
          <w:szCs w:val="21"/>
          <w14:textFill>
            <w14:solidFill>
              <w14:schemeClr w14:val="tx1"/>
            </w14:solidFill>
          </w14:textFill>
        </w:rPr>
        <w:t>11</w:t>
      </w:r>
      <w:r>
        <w:rPr>
          <w:rFonts w:hint="eastAsia" w:asciiTheme="minorEastAsia" w:hAnsiTheme="minorEastAsia" w:eastAsiaTheme="minorEastAsia"/>
          <w:b/>
          <w:color w:val="000000" w:themeColor="text1"/>
          <w:sz w:val="21"/>
          <w:szCs w:val="21"/>
          <w14:textFill>
            <w14:solidFill>
              <w14:schemeClr w14:val="tx1"/>
            </w14:solidFill>
          </w14:textFill>
        </w:rPr>
        <w:t xml:space="preserve"> 风景区规划主要住宿设施床位规模一览表</w:t>
      </w:r>
    </w:p>
    <w:tbl>
      <w:tblPr>
        <w:tblStyle w:val="42"/>
        <w:tblW w:w="85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708"/>
        <w:gridCol w:w="1567"/>
        <w:gridCol w:w="2978"/>
        <w:gridCol w:w="993"/>
        <w:gridCol w:w="1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exact"/>
          <w:tblHeader/>
          <w:jc w:val="center"/>
        </w:trPr>
        <w:tc>
          <w:tcPr>
            <w:tcW w:w="954" w:type="dxa"/>
            <w:shd w:val="clear" w:color="auto" w:fill="D8D8D8" w:themeFill="background1" w:themeFillShade="D9"/>
            <w:vAlign w:val="center"/>
          </w:tcPr>
          <w:p>
            <w:pPr>
              <w:spacing w:line="240" w:lineRule="auto"/>
              <w:ind w:firstLine="0" w:firstLineChars="0"/>
              <w:jc w:val="center"/>
              <w:rPr>
                <w:rFonts w:ascii="宋体" w:hAnsi="宋体"/>
                <w:b/>
                <w:sz w:val="18"/>
                <w:szCs w:val="18"/>
              </w:rPr>
            </w:pPr>
            <w:r>
              <w:rPr>
                <w:rFonts w:hint="eastAsia" w:ascii="宋体" w:hAnsi="宋体"/>
                <w:b/>
                <w:sz w:val="18"/>
                <w:szCs w:val="18"/>
              </w:rPr>
              <w:t>设施级别</w:t>
            </w:r>
          </w:p>
        </w:tc>
        <w:tc>
          <w:tcPr>
            <w:tcW w:w="708" w:type="dxa"/>
            <w:shd w:val="clear" w:color="auto" w:fill="D8D8D8" w:themeFill="background1" w:themeFillShade="D9"/>
            <w:vAlign w:val="center"/>
          </w:tcPr>
          <w:p>
            <w:pPr>
              <w:spacing w:line="240" w:lineRule="auto"/>
              <w:ind w:firstLine="0" w:firstLineChars="0"/>
              <w:jc w:val="center"/>
              <w:rPr>
                <w:rFonts w:ascii="宋体" w:hAnsi="宋体"/>
                <w:b/>
                <w:sz w:val="18"/>
                <w:szCs w:val="18"/>
              </w:rPr>
            </w:pPr>
            <w:r>
              <w:rPr>
                <w:rFonts w:hint="eastAsia" w:ascii="宋体" w:hAnsi="宋体"/>
                <w:b/>
                <w:sz w:val="18"/>
                <w:szCs w:val="18"/>
              </w:rPr>
              <w:t>数量</w:t>
            </w:r>
          </w:p>
        </w:tc>
        <w:tc>
          <w:tcPr>
            <w:tcW w:w="1567" w:type="dxa"/>
            <w:shd w:val="clear" w:color="auto" w:fill="D8D8D8" w:themeFill="background1" w:themeFillShade="D9"/>
            <w:vAlign w:val="center"/>
          </w:tcPr>
          <w:p>
            <w:pPr>
              <w:spacing w:line="240" w:lineRule="auto"/>
              <w:ind w:firstLine="0" w:firstLineChars="0"/>
              <w:jc w:val="center"/>
              <w:rPr>
                <w:rFonts w:ascii="宋体" w:hAnsi="宋体"/>
                <w:b/>
                <w:sz w:val="18"/>
                <w:szCs w:val="18"/>
              </w:rPr>
            </w:pPr>
            <w:r>
              <w:rPr>
                <w:rFonts w:hint="eastAsia" w:ascii="宋体" w:hAnsi="宋体"/>
                <w:b/>
                <w:sz w:val="18"/>
                <w:szCs w:val="18"/>
              </w:rPr>
              <w:t>规划位置</w:t>
            </w:r>
          </w:p>
        </w:tc>
        <w:tc>
          <w:tcPr>
            <w:tcW w:w="2978" w:type="dxa"/>
            <w:shd w:val="clear" w:color="auto" w:fill="D8D8D8" w:themeFill="background1" w:themeFillShade="D9"/>
            <w:vAlign w:val="center"/>
          </w:tcPr>
          <w:p>
            <w:pPr>
              <w:spacing w:line="240" w:lineRule="auto"/>
              <w:ind w:firstLine="0" w:firstLineChars="0"/>
              <w:jc w:val="center"/>
              <w:rPr>
                <w:rFonts w:ascii="宋体" w:hAnsi="宋体"/>
                <w:b/>
                <w:sz w:val="18"/>
                <w:szCs w:val="18"/>
              </w:rPr>
            </w:pPr>
            <w:r>
              <w:rPr>
                <w:rFonts w:hint="eastAsia" w:ascii="宋体" w:hAnsi="宋体"/>
                <w:b/>
                <w:sz w:val="18"/>
                <w:szCs w:val="18"/>
              </w:rPr>
              <w:t>名称</w:t>
            </w:r>
          </w:p>
        </w:tc>
        <w:tc>
          <w:tcPr>
            <w:tcW w:w="993" w:type="dxa"/>
            <w:shd w:val="clear" w:color="auto" w:fill="D8D8D8" w:themeFill="background1" w:themeFillShade="D9"/>
            <w:vAlign w:val="center"/>
          </w:tcPr>
          <w:p>
            <w:pPr>
              <w:spacing w:line="240" w:lineRule="auto"/>
              <w:ind w:firstLine="0" w:firstLineChars="0"/>
              <w:jc w:val="center"/>
              <w:rPr>
                <w:rFonts w:ascii="宋体" w:hAnsi="宋体"/>
                <w:b/>
                <w:sz w:val="18"/>
                <w:szCs w:val="18"/>
              </w:rPr>
            </w:pPr>
            <w:r>
              <w:rPr>
                <w:rFonts w:hint="eastAsia" w:ascii="宋体" w:hAnsi="宋体"/>
                <w:b/>
                <w:sz w:val="18"/>
                <w:szCs w:val="18"/>
              </w:rPr>
              <w:t>床位占比</w:t>
            </w:r>
          </w:p>
        </w:tc>
        <w:tc>
          <w:tcPr>
            <w:tcW w:w="1357" w:type="dxa"/>
            <w:shd w:val="clear" w:color="auto" w:fill="D8D8D8" w:themeFill="background1" w:themeFillShade="D9"/>
            <w:vAlign w:val="center"/>
          </w:tcPr>
          <w:p>
            <w:pPr>
              <w:spacing w:line="240" w:lineRule="auto"/>
              <w:ind w:firstLine="0" w:firstLineChars="0"/>
              <w:jc w:val="center"/>
              <w:rPr>
                <w:rFonts w:ascii="宋体" w:hAnsi="宋体"/>
                <w:b/>
                <w:sz w:val="18"/>
                <w:szCs w:val="18"/>
              </w:rPr>
            </w:pPr>
            <w:r>
              <w:rPr>
                <w:rFonts w:hint="eastAsia" w:ascii="宋体" w:hAnsi="宋体"/>
                <w:b/>
                <w:sz w:val="18"/>
                <w:szCs w:val="18"/>
              </w:rPr>
              <w:t>床位数（个）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exact"/>
          <w:jc w:val="center"/>
        </w:trPr>
        <w:tc>
          <w:tcPr>
            <w:tcW w:w="954"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旅游城</w:t>
            </w:r>
          </w:p>
        </w:tc>
        <w:tc>
          <w:tcPr>
            <w:tcW w:w="708"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1</w:t>
            </w:r>
          </w:p>
        </w:tc>
        <w:tc>
          <w:tcPr>
            <w:tcW w:w="1567"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风景区外</w:t>
            </w:r>
          </w:p>
        </w:tc>
        <w:tc>
          <w:tcPr>
            <w:tcW w:w="2978"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大峃镇（文成县城）</w:t>
            </w:r>
          </w:p>
        </w:tc>
        <w:tc>
          <w:tcPr>
            <w:tcW w:w="993"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1</w:t>
            </w:r>
            <w:r>
              <w:rPr>
                <w:rFonts w:ascii="宋体" w:hAnsi="宋体"/>
                <w:sz w:val="18"/>
                <w:szCs w:val="18"/>
              </w:rPr>
              <w:t>5</w:t>
            </w:r>
            <w:r>
              <w:rPr>
                <w:rFonts w:hint="eastAsia" w:ascii="宋体" w:hAnsi="宋体"/>
                <w:sz w:val="18"/>
                <w:szCs w:val="18"/>
              </w:rPr>
              <w:t>%</w:t>
            </w:r>
          </w:p>
        </w:tc>
        <w:tc>
          <w:tcPr>
            <w:tcW w:w="1357"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2</w:t>
            </w:r>
            <w:r>
              <w:rPr>
                <w:rFonts w:ascii="宋体" w:hAnsi="宋体"/>
                <w:sz w:val="18"/>
                <w:szCs w:val="18"/>
              </w:rPr>
              <w:t>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restart"/>
            <w:vAlign w:val="center"/>
          </w:tcPr>
          <w:p>
            <w:pPr>
              <w:spacing w:line="240" w:lineRule="auto"/>
              <w:ind w:firstLine="0" w:firstLineChars="0"/>
              <w:jc w:val="center"/>
              <w:rPr>
                <w:rFonts w:ascii="宋体" w:hAnsi="宋体"/>
                <w:sz w:val="18"/>
                <w:szCs w:val="18"/>
              </w:rPr>
            </w:pPr>
            <w:r>
              <w:rPr>
                <w:rFonts w:hint="eastAsia" w:ascii="宋体" w:hAnsi="宋体"/>
                <w:sz w:val="18"/>
                <w:szCs w:val="18"/>
              </w:rPr>
              <w:t>旅游镇</w:t>
            </w:r>
          </w:p>
        </w:tc>
        <w:tc>
          <w:tcPr>
            <w:tcW w:w="708" w:type="dxa"/>
            <w:vMerge w:val="restart"/>
            <w:vAlign w:val="center"/>
          </w:tcPr>
          <w:p>
            <w:pPr>
              <w:spacing w:line="240" w:lineRule="auto"/>
              <w:ind w:firstLine="0" w:firstLineChars="0"/>
              <w:jc w:val="center"/>
              <w:rPr>
                <w:rFonts w:ascii="宋体" w:hAnsi="宋体"/>
                <w:sz w:val="18"/>
                <w:szCs w:val="18"/>
              </w:rPr>
            </w:pPr>
            <w:r>
              <w:rPr>
                <w:rFonts w:hint="eastAsia" w:ascii="宋体" w:hAnsi="宋体"/>
                <w:sz w:val="18"/>
                <w:szCs w:val="18"/>
              </w:rPr>
              <w:t>7</w:t>
            </w:r>
          </w:p>
        </w:tc>
        <w:tc>
          <w:tcPr>
            <w:tcW w:w="1567" w:type="dxa"/>
            <w:vMerge w:val="restart"/>
            <w:vAlign w:val="center"/>
          </w:tcPr>
          <w:p>
            <w:pPr>
              <w:spacing w:line="240" w:lineRule="auto"/>
              <w:ind w:firstLine="0" w:firstLineChars="0"/>
              <w:jc w:val="center"/>
              <w:rPr>
                <w:rFonts w:ascii="宋体" w:hAnsi="宋体"/>
                <w:sz w:val="18"/>
                <w:szCs w:val="18"/>
              </w:rPr>
            </w:pPr>
            <w:r>
              <w:rPr>
                <w:rFonts w:hint="eastAsia" w:ascii="宋体" w:hAnsi="宋体"/>
                <w:sz w:val="18"/>
                <w:szCs w:val="18"/>
              </w:rPr>
              <w:t>风景区外</w:t>
            </w:r>
          </w:p>
        </w:tc>
        <w:tc>
          <w:tcPr>
            <w:tcW w:w="2978"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西坑畲族镇</w:t>
            </w:r>
          </w:p>
        </w:tc>
        <w:tc>
          <w:tcPr>
            <w:tcW w:w="993" w:type="dxa"/>
            <w:vAlign w:val="center"/>
          </w:tcPr>
          <w:p>
            <w:pPr>
              <w:spacing w:line="240" w:lineRule="auto"/>
              <w:ind w:firstLine="0" w:firstLineChars="0"/>
              <w:jc w:val="center"/>
              <w:rPr>
                <w:rFonts w:ascii="宋体" w:hAnsi="宋体"/>
                <w:bCs/>
                <w:sz w:val="18"/>
                <w:szCs w:val="18"/>
              </w:rPr>
            </w:pPr>
            <w:r>
              <w:rPr>
                <w:rFonts w:hint="eastAsia" w:ascii="宋体" w:hAnsi="宋体"/>
                <w:bCs/>
                <w:sz w:val="18"/>
                <w:szCs w:val="18"/>
              </w:rPr>
              <w:t>1</w:t>
            </w:r>
            <w:r>
              <w:rPr>
                <w:rFonts w:ascii="宋体" w:hAnsi="宋体"/>
                <w:bCs/>
                <w:sz w:val="18"/>
                <w:szCs w:val="18"/>
              </w:rPr>
              <w:t>0</w:t>
            </w:r>
            <w:r>
              <w:rPr>
                <w:rFonts w:hint="eastAsia" w:ascii="宋体" w:hAnsi="宋体"/>
                <w:bCs/>
                <w:sz w:val="18"/>
                <w:szCs w:val="18"/>
              </w:rPr>
              <w:t>%</w:t>
            </w:r>
          </w:p>
        </w:tc>
        <w:tc>
          <w:tcPr>
            <w:tcW w:w="1357" w:type="dxa"/>
            <w:vAlign w:val="center"/>
          </w:tcPr>
          <w:p>
            <w:pPr>
              <w:spacing w:line="240" w:lineRule="auto"/>
              <w:ind w:firstLine="0" w:firstLineChars="0"/>
              <w:jc w:val="center"/>
              <w:rPr>
                <w:rFonts w:ascii="宋体" w:hAnsi="宋体"/>
                <w:bCs/>
                <w:sz w:val="18"/>
                <w:szCs w:val="18"/>
              </w:rPr>
            </w:pPr>
            <w:r>
              <w:rPr>
                <w:rFonts w:ascii="宋体" w:hAnsi="宋体"/>
                <w:bCs/>
                <w:sz w:val="18"/>
                <w:szCs w:val="18"/>
              </w:rPr>
              <w:t>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pacing w:line="240" w:lineRule="auto"/>
              <w:ind w:firstLine="0" w:firstLineChars="0"/>
              <w:jc w:val="center"/>
              <w:rPr>
                <w:rFonts w:ascii="宋体" w:hAnsi="宋体"/>
                <w:sz w:val="18"/>
                <w:szCs w:val="18"/>
              </w:rPr>
            </w:pPr>
          </w:p>
        </w:tc>
        <w:tc>
          <w:tcPr>
            <w:tcW w:w="708" w:type="dxa"/>
            <w:vMerge w:val="continue"/>
            <w:vAlign w:val="center"/>
          </w:tcPr>
          <w:p>
            <w:pPr>
              <w:spacing w:line="240" w:lineRule="auto"/>
              <w:ind w:firstLine="0" w:firstLineChars="0"/>
              <w:jc w:val="center"/>
              <w:rPr>
                <w:rFonts w:ascii="宋体" w:hAnsi="宋体"/>
                <w:sz w:val="18"/>
                <w:szCs w:val="18"/>
              </w:rPr>
            </w:pPr>
          </w:p>
        </w:tc>
        <w:tc>
          <w:tcPr>
            <w:tcW w:w="1567" w:type="dxa"/>
            <w:vMerge w:val="continue"/>
            <w:vAlign w:val="center"/>
          </w:tcPr>
          <w:p>
            <w:pPr>
              <w:spacing w:line="240" w:lineRule="auto"/>
              <w:ind w:firstLine="0" w:firstLineChars="0"/>
              <w:jc w:val="center"/>
              <w:rPr>
                <w:rFonts w:ascii="宋体" w:hAnsi="宋体"/>
                <w:sz w:val="18"/>
                <w:szCs w:val="18"/>
              </w:rPr>
            </w:pPr>
          </w:p>
        </w:tc>
        <w:tc>
          <w:tcPr>
            <w:tcW w:w="2978"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珊溪镇</w:t>
            </w:r>
          </w:p>
        </w:tc>
        <w:tc>
          <w:tcPr>
            <w:tcW w:w="993"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1</w:t>
            </w:r>
            <w:r>
              <w:rPr>
                <w:rFonts w:ascii="宋体" w:hAnsi="宋体"/>
                <w:sz w:val="18"/>
                <w:szCs w:val="18"/>
              </w:rPr>
              <w:t>0</w:t>
            </w:r>
            <w:r>
              <w:rPr>
                <w:rFonts w:hint="eastAsia" w:ascii="宋体" w:hAnsi="宋体"/>
                <w:sz w:val="18"/>
                <w:szCs w:val="18"/>
              </w:rPr>
              <w:t>%</w:t>
            </w:r>
          </w:p>
        </w:tc>
        <w:tc>
          <w:tcPr>
            <w:tcW w:w="1357" w:type="dxa"/>
            <w:vAlign w:val="center"/>
          </w:tcPr>
          <w:p>
            <w:pPr>
              <w:spacing w:line="240" w:lineRule="auto"/>
              <w:ind w:firstLine="0" w:firstLineChars="0"/>
              <w:jc w:val="center"/>
              <w:rPr>
                <w:rFonts w:ascii="宋体" w:hAnsi="宋体"/>
                <w:sz w:val="18"/>
                <w:szCs w:val="18"/>
              </w:rPr>
            </w:pPr>
            <w:r>
              <w:rPr>
                <w:rFonts w:ascii="宋体" w:hAnsi="宋体"/>
                <w:sz w:val="18"/>
                <w:szCs w:val="18"/>
              </w:rPr>
              <w:t>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exact"/>
          <w:jc w:val="center"/>
        </w:trPr>
        <w:tc>
          <w:tcPr>
            <w:tcW w:w="954" w:type="dxa"/>
            <w:vMerge w:val="continue"/>
            <w:vAlign w:val="center"/>
          </w:tcPr>
          <w:p>
            <w:pPr>
              <w:spacing w:line="240" w:lineRule="auto"/>
              <w:ind w:firstLine="0" w:firstLineChars="0"/>
              <w:jc w:val="center"/>
              <w:rPr>
                <w:rFonts w:ascii="宋体" w:hAnsi="宋体"/>
                <w:sz w:val="18"/>
                <w:szCs w:val="18"/>
              </w:rPr>
            </w:pPr>
          </w:p>
        </w:tc>
        <w:tc>
          <w:tcPr>
            <w:tcW w:w="708" w:type="dxa"/>
            <w:vMerge w:val="continue"/>
            <w:vAlign w:val="center"/>
          </w:tcPr>
          <w:p>
            <w:pPr>
              <w:spacing w:line="240" w:lineRule="auto"/>
              <w:ind w:firstLine="0" w:firstLineChars="0"/>
              <w:jc w:val="center"/>
              <w:rPr>
                <w:rFonts w:ascii="宋体" w:hAnsi="宋体"/>
                <w:sz w:val="18"/>
                <w:szCs w:val="18"/>
              </w:rPr>
            </w:pPr>
          </w:p>
        </w:tc>
        <w:tc>
          <w:tcPr>
            <w:tcW w:w="1567" w:type="dxa"/>
            <w:vMerge w:val="continue"/>
            <w:vAlign w:val="center"/>
          </w:tcPr>
          <w:p>
            <w:pPr>
              <w:spacing w:line="240" w:lineRule="auto"/>
              <w:ind w:firstLine="0" w:firstLineChars="0"/>
              <w:jc w:val="center"/>
              <w:rPr>
                <w:rFonts w:ascii="宋体" w:hAnsi="宋体"/>
                <w:sz w:val="18"/>
                <w:szCs w:val="18"/>
              </w:rPr>
            </w:pPr>
          </w:p>
        </w:tc>
        <w:tc>
          <w:tcPr>
            <w:tcW w:w="2978"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百丈漈镇（考虑天湖旅游度假区）</w:t>
            </w:r>
          </w:p>
        </w:tc>
        <w:tc>
          <w:tcPr>
            <w:tcW w:w="993" w:type="dxa"/>
            <w:vAlign w:val="center"/>
          </w:tcPr>
          <w:p>
            <w:pPr>
              <w:spacing w:line="240" w:lineRule="auto"/>
              <w:ind w:firstLine="0" w:firstLineChars="0"/>
              <w:jc w:val="center"/>
              <w:rPr>
                <w:rFonts w:ascii="宋体" w:hAnsi="宋体"/>
                <w:bCs/>
                <w:sz w:val="18"/>
                <w:szCs w:val="18"/>
              </w:rPr>
            </w:pPr>
            <w:r>
              <w:rPr>
                <w:rFonts w:hint="eastAsia" w:ascii="宋体" w:hAnsi="宋体"/>
                <w:bCs/>
                <w:sz w:val="18"/>
                <w:szCs w:val="18"/>
              </w:rPr>
              <w:t>1</w:t>
            </w:r>
            <w:r>
              <w:rPr>
                <w:rFonts w:ascii="宋体" w:hAnsi="宋体"/>
                <w:bCs/>
                <w:sz w:val="18"/>
                <w:szCs w:val="18"/>
              </w:rPr>
              <w:t>5</w:t>
            </w:r>
            <w:r>
              <w:rPr>
                <w:rFonts w:hint="eastAsia" w:ascii="宋体" w:hAnsi="宋体"/>
                <w:bCs/>
                <w:sz w:val="18"/>
                <w:szCs w:val="18"/>
              </w:rPr>
              <w:t>%</w:t>
            </w:r>
          </w:p>
        </w:tc>
        <w:tc>
          <w:tcPr>
            <w:tcW w:w="1357" w:type="dxa"/>
            <w:vAlign w:val="center"/>
          </w:tcPr>
          <w:p>
            <w:pPr>
              <w:spacing w:line="240" w:lineRule="auto"/>
              <w:ind w:firstLine="0" w:firstLineChars="0"/>
              <w:jc w:val="center"/>
              <w:rPr>
                <w:rFonts w:ascii="宋体" w:hAnsi="宋体"/>
                <w:bCs/>
                <w:sz w:val="18"/>
                <w:szCs w:val="18"/>
              </w:rPr>
            </w:pPr>
            <w:r>
              <w:rPr>
                <w:rFonts w:hint="eastAsia" w:ascii="宋体" w:hAnsi="宋体"/>
                <w:bCs/>
                <w:sz w:val="18"/>
                <w:szCs w:val="18"/>
              </w:rPr>
              <w:t>2</w:t>
            </w:r>
            <w:r>
              <w:rPr>
                <w:rFonts w:ascii="宋体" w:hAnsi="宋体"/>
                <w:bCs/>
                <w:sz w:val="18"/>
                <w:szCs w:val="18"/>
              </w:rPr>
              <w:t>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954" w:type="dxa"/>
            <w:vMerge w:val="continue"/>
            <w:vAlign w:val="center"/>
          </w:tcPr>
          <w:p>
            <w:pPr>
              <w:spacing w:line="240" w:lineRule="auto"/>
              <w:ind w:firstLine="0" w:firstLineChars="0"/>
              <w:jc w:val="center"/>
              <w:rPr>
                <w:rFonts w:ascii="宋体" w:hAnsi="宋体"/>
                <w:sz w:val="18"/>
                <w:szCs w:val="18"/>
              </w:rPr>
            </w:pPr>
          </w:p>
        </w:tc>
        <w:tc>
          <w:tcPr>
            <w:tcW w:w="708" w:type="dxa"/>
            <w:vMerge w:val="continue"/>
            <w:vAlign w:val="center"/>
          </w:tcPr>
          <w:p>
            <w:pPr>
              <w:spacing w:line="240" w:lineRule="auto"/>
              <w:ind w:firstLine="0" w:firstLineChars="0"/>
              <w:jc w:val="center"/>
              <w:rPr>
                <w:rFonts w:ascii="宋体" w:hAnsi="宋体"/>
                <w:sz w:val="18"/>
                <w:szCs w:val="18"/>
              </w:rPr>
            </w:pPr>
          </w:p>
        </w:tc>
        <w:tc>
          <w:tcPr>
            <w:tcW w:w="1567" w:type="dxa"/>
            <w:vMerge w:val="continue"/>
            <w:vAlign w:val="center"/>
          </w:tcPr>
          <w:p>
            <w:pPr>
              <w:spacing w:line="240" w:lineRule="auto"/>
              <w:ind w:firstLine="0" w:firstLineChars="0"/>
              <w:jc w:val="center"/>
              <w:rPr>
                <w:rFonts w:ascii="宋体" w:hAnsi="宋体"/>
                <w:sz w:val="18"/>
                <w:szCs w:val="18"/>
              </w:rPr>
            </w:pPr>
          </w:p>
        </w:tc>
        <w:tc>
          <w:tcPr>
            <w:tcW w:w="2978" w:type="dxa"/>
            <w:vAlign w:val="center"/>
          </w:tcPr>
          <w:p>
            <w:pPr>
              <w:adjustRightInd w:val="0"/>
              <w:snapToGrid w:val="0"/>
              <w:spacing w:line="240" w:lineRule="auto"/>
              <w:ind w:firstLine="0" w:firstLineChars="0"/>
              <w:jc w:val="center"/>
              <w:rPr>
                <w:rFonts w:ascii="宋体" w:hAnsi="宋体"/>
                <w:sz w:val="18"/>
                <w:szCs w:val="18"/>
              </w:rPr>
            </w:pPr>
            <w:r>
              <w:rPr>
                <w:rFonts w:hint="eastAsia" w:ascii="宋体" w:hAnsi="宋体"/>
                <w:sz w:val="18"/>
                <w:szCs w:val="18"/>
              </w:rPr>
              <w:t>南田镇（考虑文瑞山海协作区）</w:t>
            </w:r>
          </w:p>
        </w:tc>
        <w:tc>
          <w:tcPr>
            <w:tcW w:w="993" w:type="dxa"/>
            <w:vAlign w:val="center"/>
          </w:tcPr>
          <w:p>
            <w:pPr>
              <w:spacing w:line="240" w:lineRule="auto"/>
              <w:ind w:firstLine="0" w:firstLineChars="0"/>
              <w:jc w:val="center"/>
              <w:rPr>
                <w:rFonts w:ascii="宋体" w:hAnsi="宋体"/>
                <w:bCs/>
                <w:sz w:val="18"/>
                <w:szCs w:val="18"/>
              </w:rPr>
            </w:pPr>
            <w:r>
              <w:rPr>
                <w:rFonts w:hint="eastAsia" w:ascii="宋体" w:hAnsi="宋体"/>
                <w:bCs/>
                <w:sz w:val="18"/>
                <w:szCs w:val="18"/>
              </w:rPr>
              <w:t>1</w:t>
            </w:r>
            <w:r>
              <w:rPr>
                <w:rFonts w:ascii="宋体" w:hAnsi="宋体"/>
                <w:bCs/>
                <w:sz w:val="18"/>
                <w:szCs w:val="18"/>
              </w:rPr>
              <w:t>0</w:t>
            </w:r>
            <w:r>
              <w:rPr>
                <w:rFonts w:hint="eastAsia" w:ascii="宋体" w:hAnsi="宋体"/>
                <w:bCs/>
                <w:sz w:val="18"/>
                <w:szCs w:val="18"/>
              </w:rPr>
              <w:t>%</w:t>
            </w:r>
          </w:p>
        </w:tc>
        <w:tc>
          <w:tcPr>
            <w:tcW w:w="1357" w:type="dxa"/>
            <w:vAlign w:val="center"/>
          </w:tcPr>
          <w:p>
            <w:pPr>
              <w:spacing w:line="240" w:lineRule="auto"/>
              <w:ind w:firstLine="0" w:firstLineChars="0"/>
              <w:jc w:val="center"/>
              <w:rPr>
                <w:rFonts w:ascii="宋体" w:hAnsi="宋体"/>
                <w:bCs/>
                <w:sz w:val="18"/>
                <w:szCs w:val="18"/>
              </w:rPr>
            </w:pPr>
            <w:r>
              <w:rPr>
                <w:rFonts w:ascii="宋体" w:hAnsi="宋体"/>
                <w:sz w:val="18"/>
                <w:szCs w:val="18"/>
              </w:rPr>
              <w:t>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exact"/>
          <w:jc w:val="center"/>
        </w:trPr>
        <w:tc>
          <w:tcPr>
            <w:tcW w:w="954" w:type="dxa"/>
            <w:vMerge w:val="continue"/>
            <w:vAlign w:val="center"/>
          </w:tcPr>
          <w:p>
            <w:pPr>
              <w:spacing w:line="240" w:lineRule="auto"/>
              <w:ind w:firstLine="0" w:firstLineChars="0"/>
              <w:jc w:val="center"/>
              <w:rPr>
                <w:rFonts w:ascii="宋体" w:hAnsi="宋体"/>
                <w:sz w:val="18"/>
                <w:szCs w:val="18"/>
              </w:rPr>
            </w:pPr>
          </w:p>
        </w:tc>
        <w:tc>
          <w:tcPr>
            <w:tcW w:w="708" w:type="dxa"/>
            <w:vMerge w:val="continue"/>
            <w:vAlign w:val="center"/>
          </w:tcPr>
          <w:p>
            <w:pPr>
              <w:spacing w:line="240" w:lineRule="auto"/>
              <w:ind w:firstLine="0" w:firstLineChars="0"/>
              <w:jc w:val="center"/>
              <w:rPr>
                <w:rFonts w:ascii="宋体" w:hAnsi="宋体"/>
                <w:sz w:val="18"/>
                <w:szCs w:val="18"/>
              </w:rPr>
            </w:pPr>
          </w:p>
        </w:tc>
        <w:tc>
          <w:tcPr>
            <w:tcW w:w="1567" w:type="dxa"/>
            <w:vMerge w:val="continue"/>
            <w:vAlign w:val="center"/>
          </w:tcPr>
          <w:p>
            <w:pPr>
              <w:spacing w:line="240" w:lineRule="auto"/>
              <w:ind w:firstLine="0" w:firstLineChars="0"/>
              <w:jc w:val="center"/>
              <w:rPr>
                <w:rFonts w:ascii="宋体" w:hAnsi="宋体"/>
                <w:sz w:val="18"/>
                <w:szCs w:val="18"/>
              </w:rPr>
            </w:pPr>
          </w:p>
        </w:tc>
        <w:tc>
          <w:tcPr>
            <w:tcW w:w="2978"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黄坦镇</w:t>
            </w:r>
          </w:p>
        </w:tc>
        <w:tc>
          <w:tcPr>
            <w:tcW w:w="993" w:type="dxa"/>
            <w:vAlign w:val="center"/>
          </w:tcPr>
          <w:p>
            <w:pPr>
              <w:spacing w:line="240" w:lineRule="auto"/>
              <w:ind w:firstLine="0" w:firstLineChars="0"/>
              <w:jc w:val="center"/>
              <w:rPr>
                <w:rFonts w:ascii="宋体" w:hAnsi="宋体"/>
                <w:bCs/>
                <w:sz w:val="18"/>
                <w:szCs w:val="18"/>
              </w:rPr>
            </w:pPr>
            <w:r>
              <w:rPr>
                <w:rFonts w:ascii="宋体" w:hAnsi="宋体"/>
                <w:bCs/>
                <w:sz w:val="18"/>
                <w:szCs w:val="18"/>
              </w:rPr>
              <w:t>3</w:t>
            </w:r>
            <w:r>
              <w:rPr>
                <w:rFonts w:hint="eastAsia" w:ascii="宋体" w:hAnsi="宋体"/>
                <w:bCs/>
                <w:sz w:val="18"/>
                <w:szCs w:val="18"/>
              </w:rPr>
              <w:t>%</w:t>
            </w:r>
          </w:p>
        </w:tc>
        <w:tc>
          <w:tcPr>
            <w:tcW w:w="1357" w:type="dxa"/>
            <w:vAlign w:val="center"/>
          </w:tcPr>
          <w:p>
            <w:pPr>
              <w:spacing w:line="240" w:lineRule="auto"/>
              <w:ind w:firstLine="0" w:firstLineChars="0"/>
              <w:jc w:val="center"/>
              <w:rPr>
                <w:rFonts w:ascii="宋体" w:hAnsi="宋体"/>
                <w:bCs/>
                <w:sz w:val="18"/>
                <w:szCs w:val="18"/>
              </w:rPr>
            </w:pPr>
            <w:r>
              <w:rPr>
                <w:rFonts w:ascii="宋体" w:hAnsi="宋体"/>
                <w:bCs/>
                <w:sz w:val="18"/>
                <w:szCs w:val="18"/>
              </w:rPr>
              <w:t>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exact"/>
          <w:jc w:val="center"/>
        </w:trPr>
        <w:tc>
          <w:tcPr>
            <w:tcW w:w="954" w:type="dxa"/>
            <w:vMerge w:val="continue"/>
            <w:vAlign w:val="center"/>
          </w:tcPr>
          <w:p>
            <w:pPr>
              <w:spacing w:line="240" w:lineRule="auto"/>
              <w:ind w:firstLine="0" w:firstLineChars="0"/>
              <w:jc w:val="center"/>
              <w:rPr>
                <w:rFonts w:ascii="宋体" w:hAnsi="宋体"/>
                <w:sz w:val="18"/>
                <w:szCs w:val="18"/>
              </w:rPr>
            </w:pPr>
          </w:p>
        </w:tc>
        <w:tc>
          <w:tcPr>
            <w:tcW w:w="708" w:type="dxa"/>
            <w:vMerge w:val="continue"/>
            <w:vAlign w:val="center"/>
          </w:tcPr>
          <w:p>
            <w:pPr>
              <w:spacing w:line="240" w:lineRule="auto"/>
              <w:ind w:firstLine="0" w:firstLineChars="0"/>
              <w:jc w:val="center"/>
              <w:rPr>
                <w:rFonts w:ascii="宋体" w:hAnsi="宋体"/>
                <w:sz w:val="18"/>
                <w:szCs w:val="18"/>
              </w:rPr>
            </w:pPr>
          </w:p>
        </w:tc>
        <w:tc>
          <w:tcPr>
            <w:tcW w:w="1567" w:type="dxa"/>
            <w:vMerge w:val="continue"/>
            <w:vAlign w:val="center"/>
          </w:tcPr>
          <w:p>
            <w:pPr>
              <w:spacing w:line="240" w:lineRule="auto"/>
              <w:ind w:firstLine="0" w:firstLineChars="0"/>
              <w:jc w:val="center"/>
              <w:rPr>
                <w:rFonts w:ascii="宋体" w:hAnsi="宋体"/>
                <w:sz w:val="18"/>
                <w:szCs w:val="18"/>
              </w:rPr>
            </w:pPr>
          </w:p>
        </w:tc>
        <w:tc>
          <w:tcPr>
            <w:tcW w:w="2978"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玉壶镇</w:t>
            </w:r>
          </w:p>
        </w:tc>
        <w:tc>
          <w:tcPr>
            <w:tcW w:w="993" w:type="dxa"/>
            <w:vAlign w:val="center"/>
          </w:tcPr>
          <w:p>
            <w:pPr>
              <w:spacing w:line="240" w:lineRule="auto"/>
              <w:ind w:firstLine="0" w:firstLineChars="0"/>
              <w:jc w:val="center"/>
              <w:rPr>
                <w:rFonts w:ascii="宋体" w:hAnsi="宋体"/>
                <w:bCs/>
                <w:sz w:val="18"/>
                <w:szCs w:val="18"/>
              </w:rPr>
            </w:pPr>
            <w:r>
              <w:rPr>
                <w:rFonts w:ascii="宋体" w:hAnsi="宋体"/>
                <w:bCs/>
                <w:sz w:val="18"/>
                <w:szCs w:val="18"/>
              </w:rPr>
              <w:t>3</w:t>
            </w:r>
            <w:r>
              <w:rPr>
                <w:rFonts w:hint="eastAsia" w:ascii="宋体" w:hAnsi="宋体"/>
                <w:bCs/>
                <w:sz w:val="18"/>
                <w:szCs w:val="18"/>
              </w:rPr>
              <w:t>%</w:t>
            </w:r>
          </w:p>
        </w:tc>
        <w:tc>
          <w:tcPr>
            <w:tcW w:w="1357" w:type="dxa"/>
            <w:vAlign w:val="center"/>
          </w:tcPr>
          <w:p>
            <w:pPr>
              <w:spacing w:line="240" w:lineRule="auto"/>
              <w:ind w:firstLine="0" w:firstLineChars="0"/>
              <w:jc w:val="center"/>
              <w:rPr>
                <w:rFonts w:ascii="宋体" w:hAnsi="宋体"/>
                <w:bCs/>
                <w:sz w:val="18"/>
                <w:szCs w:val="18"/>
              </w:rPr>
            </w:pPr>
            <w:r>
              <w:rPr>
                <w:rFonts w:ascii="宋体" w:hAnsi="宋体"/>
                <w:bCs/>
                <w:sz w:val="18"/>
                <w:szCs w:val="18"/>
              </w:rPr>
              <w:t>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pacing w:line="240" w:lineRule="auto"/>
              <w:ind w:firstLine="0" w:firstLineChars="0"/>
              <w:jc w:val="center"/>
              <w:rPr>
                <w:rFonts w:ascii="宋体" w:hAnsi="宋体"/>
                <w:sz w:val="18"/>
                <w:szCs w:val="18"/>
              </w:rPr>
            </w:pPr>
          </w:p>
        </w:tc>
        <w:tc>
          <w:tcPr>
            <w:tcW w:w="708" w:type="dxa"/>
            <w:vMerge w:val="continue"/>
            <w:vAlign w:val="center"/>
          </w:tcPr>
          <w:p>
            <w:pPr>
              <w:spacing w:line="240" w:lineRule="auto"/>
              <w:ind w:firstLine="0" w:firstLineChars="0"/>
              <w:jc w:val="center"/>
              <w:rPr>
                <w:rFonts w:ascii="宋体" w:hAnsi="宋体"/>
                <w:sz w:val="18"/>
                <w:szCs w:val="18"/>
              </w:rPr>
            </w:pPr>
          </w:p>
        </w:tc>
        <w:tc>
          <w:tcPr>
            <w:tcW w:w="1567" w:type="dxa"/>
            <w:vMerge w:val="continue"/>
            <w:vAlign w:val="center"/>
          </w:tcPr>
          <w:p>
            <w:pPr>
              <w:spacing w:line="240" w:lineRule="auto"/>
              <w:ind w:firstLine="0" w:firstLineChars="0"/>
              <w:jc w:val="center"/>
              <w:rPr>
                <w:rFonts w:ascii="宋体" w:hAnsi="宋体"/>
                <w:sz w:val="18"/>
                <w:szCs w:val="18"/>
              </w:rPr>
            </w:pPr>
          </w:p>
        </w:tc>
        <w:tc>
          <w:tcPr>
            <w:tcW w:w="2978"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铜铃山镇</w:t>
            </w:r>
          </w:p>
        </w:tc>
        <w:tc>
          <w:tcPr>
            <w:tcW w:w="993" w:type="dxa"/>
            <w:vAlign w:val="center"/>
          </w:tcPr>
          <w:p>
            <w:pPr>
              <w:spacing w:line="240" w:lineRule="auto"/>
              <w:ind w:firstLine="0" w:firstLineChars="0"/>
              <w:jc w:val="center"/>
              <w:rPr>
                <w:rFonts w:ascii="宋体" w:hAnsi="宋体"/>
                <w:bCs/>
                <w:sz w:val="18"/>
                <w:szCs w:val="18"/>
              </w:rPr>
            </w:pPr>
            <w:r>
              <w:rPr>
                <w:rFonts w:ascii="宋体" w:hAnsi="宋体"/>
                <w:bCs/>
                <w:sz w:val="18"/>
                <w:szCs w:val="18"/>
              </w:rPr>
              <w:t>4</w:t>
            </w:r>
            <w:r>
              <w:rPr>
                <w:rFonts w:hint="eastAsia" w:ascii="宋体" w:hAnsi="宋体"/>
                <w:sz w:val="18"/>
                <w:szCs w:val="18"/>
              </w:rPr>
              <w:t>%</w:t>
            </w:r>
          </w:p>
        </w:tc>
        <w:tc>
          <w:tcPr>
            <w:tcW w:w="1357" w:type="dxa"/>
            <w:vAlign w:val="center"/>
          </w:tcPr>
          <w:p>
            <w:pPr>
              <w:spacing w:line="240" w:lineRule="auto"/>
              <w:ind w:firstLine="0" w:firstLineChars="0"/>
              <w:jc w:val="center"/>
              <w:rPr>
                <w:rFonts w:ascii="宋体" w:hAnsi="宋体"/>
                <w:bCs/>
                <w:sz w:val="18"/>
                <w:szCs w:val="18"/>
              </w:rPr>
            </w:pPr>
            <w:r>
              <w:rPr>
                <w:rFonts w:ascii="宋体" w:hAnsi="宋体"/>
                <w:bCs/>
                <w:sz w:val="18"/>
                <w:szCs w:val="18"/>
              </w:rPr>
              <w:t>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restart"/>
            <w:vAlign w:val="center"/>
          </w:tcPr>
          <w:p>
            <w:pPr>
              <w:spacing w:line="240" w:lineRule="auto"/>
              <w:ind w:firstLine="0" w:firstLineChars="0"/>
              <w:jc w:val="center"/>
              <w:rPr>
                <w:rFonts w:ascii="宋体" w:hAnsi="宋体"/>
                <w:sz w:val="18"/>
                <w:szCs w:val="18"/>
              </w:rPr>
            </w:pPr>
            <w:r>
              <w:rPr>
                <w:rFonts w:hint="eastAsia" w:ascii="宋体" w:hAnsi="宋体"/>
                <w:sz w:val="18"/>
                <w:szCs w:val="18"/>
              </w:rPr>
              <w:t>旅游村</w:t>
            </w:r>
          </w:p>
        </w:tc>
        <w:tc>
          <w:tcPr>
            <w:tcW w:w="708" w:type="dxa"/>
            <w:vMerge w:val="restart"/>
            <w:vAlign w:val="center"/>
          </w:tcPr>
          <w:p>
            <w:pPr>
              <w:spacing w:line="240" w:lineRule="auto"/>
              <w:ind w:firstLine="0" w:firstLineChars="0"/>
              <w:jc w:val="center"/>
              <w:rPr>
                <w:rFonts w:ascii="宋体" w:hAnsi="宋体"/>
                <w:sz w:val="18"/>
                <w:szCs w:val="18"/>
              </w:rPr>
            </w:pPr>
            <w:r>
              <w:rPr>
                <w:rFonts w:hint="eastAsia" w:ascii="宋体" w:hAnsi="宋体"/>
                <w:sz w:val="18"/>
                <w:szCs w:val="18"/>
              </w:rPr>
              <w:t>1</w:t>
            </w:r>
            <w:r>
              <w:rPr>
                <w:rFonts w:ascii="宋体" w:hAnsi="宋体"/>
                <w:sz w:val="18"/>
                <w:szCs w:val="18"/>
              </w:rPr>
              <w:t>4</w:t>
            </w:r>
          </w:p>
        </w:tc>
        <w:tc>
          <w:tcPr>
            <w:tcW w:w="1567" w:type="dxa"/>
            <w:vMerge w:val="restart"/>
            <w:vAlign w:val="center"/>
          </w:tcPr>
          <w:p>
            <w:pPr>
              <w:spacing w:line="240" w:lineRule="auto"/>
              <w:ind w:firstLine="0" w:firstLineChars="0"/>
              <w:jc w:val="center"/>
              <w:rPr>
                <w:rFonts w:ascii="宋体" w:hAnsi="宋体"/>
                <w:sz w:val="18"/>
                <w:szCs w:val="18"/>
              </w:rPr>
            </w:pPr>
            <w:r>
              <w:rPr>
                <w:rFonts w:hint="eastAsia" w:ascii="宋体" w:hAnsi="宋体"/>
                <w:sz w:val="18"/>
                <w:szCs w:val="18"/>
              </w:rPr>
              <w:t>百丈飞瀑景区（风景区外）</w:t>
            </w:r>
          </w:p>
        </w:tc>
        <w:tc>
          <w:tcPr>
            <w:tcW w:w="2978"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西段村</w:t>
            </w:r>
          </w:p>
        </w:tc>
        <w:tc>
          <w:tcPr>
            <w:tcW w:w="993" w:type="dxa"/>
            <w:vAlign w:val="center"/>
          </w:tcPr>
          <w:p>
            <w:pPr>
              <w:spacing w:line="240" w:lineRule="auto"/>
              <w:ind w:firstLine="0" w:firstLineChars="0"/>
              <w:jc w:val="center"/>
              <w:rPr>
                <w:rFonts w:ascii="宋体" w:hAnsi="宋体"/>
                <w:bCs/>
                <w:sz w:val="18"/>
                <w:szCs w:val="18"/>
              </w:rPr>
            </w:pPr>
            <w:r>
              <w:rPr>
                <w:rFonts w:hint="eastAsia" w:ascii="宋体" w:hAnsi="宋体"/>
                <w:bCs/>
                <w:sz w:val="18"/>
                <w:szCs w:val="18"/>
              </w:rPr>
              <w:t>1%</w:t>
            </w:r>
          </w:p>
        </w:tc>
        <w:tc>
          <w:tcPr>
            <w:tcW w:w="1357" w:type="dxa"/>
            <w:vAlign w:val="center"/>
          </w:tcPr>
          <w:p>
            <w:pPr>
              <w:spacing w:line="240" w:lineRule="auto"/>
              <w:ind w:firstLine="0" w:firstLineChars="0"/>
              <w:jc w:val="center"/>
              <w:rPr>
                <w:rFonts w:ascii="宋体" w:hAnsi="宋体"/>
                <w:bCs/>
                <w:sz w:val="18"/>
                <w:szCs w:val="18"/>
              </w:rPr>
            </w:pPr>
            <w:r>
              <w:rPr>
                <w:rFonts w:hint="eastAsia" w:ascii="宋体" w:hAnsi="宋体"/>
                <w:bCs/>
                <w:sz w:val="18"/>
                <w:szCs w:val="18"/>
              </w:rPr>
              <w:t>1</w:t>
            </w:r>
            <w:r>
              <w:rPr>
                <w:rFonts w:ascii="宋体" w:hAnsi="宋体"/>
                <w:bCs/>
                <w:sz w:val="18"/>
                <w:szCs w:val="18"/>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pacing w:line="240" w:lineRule="auto"/>
              <w:ind w:firstLine="0" w:firstLineChars="0"/>
              <w:jc w:val="center"/>
              <w:rPr>
                <w:rFonts w:ascii="宋体" w:hAnsi="宋体"/>
                <w:sz w:val="18"/>
                <w:szCs w:val="18"/>
              </w:rPr>
            </w:pPr>
          </w:p>
        </w:tc>
        <w:tc>
          <w:tcPr>
            <w:tcW w:w="708" w:type="dxa"/>
            <w:vMerge w:val="continue"/>
            <w:vAlign w:val="center"/>
          </w:tcPr>
          <w:p>
            <w:pPr>
              <w:spacing w:line="240" w:lineRule="auto"/>
              <w:ind w:firstLine="0" w:firstLineChars="0"/>
              <w:jc w:val="center"/>
              <w:rPr>
                <w:rFonts w:ascii="宋体" w:hAnsi="宋体"/>
                <w:sz w:val="18"/>
                <w:szCs w:val="18"/>
              </w:rPr>
            </w:pPr>
          </w:p>
        </w:tc>
        <w:tc>
          <w:tcPr>
            <w:tcW w:w="1567" w:type="dxa"/>
            <w:vMerge w:val="continue"/>
            <w:vAlign w:val="center"/>
          </w:tcPr>
          <w:p>
            <w:pPr>
              <w:spacing w:line="240" w:lineRule="auto"/>
              <w:ind w:firstLine="0" w:firstLineChars="0"/>
              <w:jc w:val="center"/>
              <w:rPr>
                <w:rFonts w:ascii="宋体" w:hAnsi="宋体"/>
                <w:sz w:val="18"/>
                <w:szCs w:val="18"/>
              </w:rPr>
            </w:pPr>
          </w:p>
        </w:tc>
        <w:tc>
          <w:tcPr>
            <w:tcW w:w="2978"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吴垟村</w:t>
            </w:r>
          </w:p>
        </w:tc>
        <w:tc>
          <w:tcPr>
            <w:tcW w:w="993" w:type="dxa"/>
            <w:vAlign w:val="center"/>
          </w:tcPr>
          <w:p>
            <w:pPr>
              <w:spacing w:line="240" w:lineRule="auto"/>
              <w:ind w:firstLine="0" w:firstLineChars="0"/>
              <w:jc w:val="center"/>
              <w:rPr>
                <w:rFonts w:ascii="宋体" w:hAnsi="宋体"/>
                <w:bCs/>
                <w:sz w:val="18"/>
                <w:szCs w:val="18"/>
              </w:rPr>
            </w:pPr>
            <w:r>
              <w:rPr>
                <w:rFonts w:hint="eastAsia" w:ascii="宋体" w:hAnsi="宋体"/>
                <w:bCs/>
                <w:sz w:val="18"/>
                <w:szCs w:val="18"/>
              </w:rPr>
              <w:t>1%</w:t>
            </w:r>
          </w:p>
        </w:tc>
        <w:tc>
          <w:tcPr>
            <w:tcW w:w="1357" w:type="dxa"/>
            <w:vAlign w:val="center"/>
          </w:tcPr>
          <w:p>
            <w:pPr>
              <w:spacing w:line="240" w:lineRule="auto"/>
              <w:ind w:firstLine="0" w:firstLineChars="0"/>
              <w:jc w:val="center"/>
              <w:rPr>
                <w:rFonts w:ascii="宋体" w:hAnsi="宋体"/>
                <w:bCs/>
                <w:sz w:val="18"/>
                <w:szCs w:val="18"/>
              </w:rPr>
            </w:pPr>
            <w:r>
              <w:rPr>
                <w:rFonts w:hint="eastAsia" w:ascii="宋体" w:hAnsi="宋体"/>
                <w:bCs/>
                <w:sz w:val="18"/>
                <w:szCs w:val="18"/>
              </w:rPr>
              <w:t>1</w:t>
            </w:r>
            <w:r>
              <w:rPr>
                <w:rFonts w:ascii="宋体" w:hAnsi="宋体"/>
                <w:bCs/>
                <w:sz w:val="18"/>
                <w:szCs w:val="18"/>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pacing w:line="240" w:lineRule="auto"/>
              <w:ind w:firstLine="0" w:firstLineChars="0"/>
              <w:jc w:val="center"/>
              <w:rPr>
                <w:rFonts w:ascii="宋体" w:hAnsi="宋体"/>
                <w:sz w:val="18"/>
                <w:szCs w:val="18"/>
              </w:rPr>
            </w:pPr>
          </w:p>
        </w:tc>
        <w:tc>
          <w:tcPr>
            <w:tcW w:w="708" w:type="dxa"/>
            <w:vMerge w:val="continue"/>
            <w:vAlign w:val="center"/>
          </w:tcPr>
          <w:p>
            <w:pPr>
              <w:spacing w:line="240" w:lineRule="auto"/>
              <w:ind w:firstLine="0" w:firstLineChars="0"/>
              <w:jc w:val="center"/>
              <w:rPr>
                <w:rFonts w:ascii="宋体" w:hAnsi="宋体"/>
                <w:sz w:val="18"/>
                <w:szCs w:val="18"/>
              </w:rPr>
            </w:pPr>
          </w:p>
        </w:tc>
        <w:tc>
          <w:tcPr>
            <w:tcW w:w="1567" w:type="dxa"/>
            <w:vMerge w:val="continue"/>
            <w:vAlign w:val="center"/>
          </w:tcPr>
          <w:p>
            <w:pPr>
              <w:spacing w:line="240" w:lineRule="auto"/>
              <w:ind w:firstLine="0" w:firstLineChars="0"/>
              <w:jc w:val="center"/>
              <w:rPr>
                <w:rFonts w:ascii="宋体" w:hAnsi="宋体"/>
                <w:sz w:val="18"/>
                <w:szCs w:val="18"/>
              </w:rPr>
            </w:pPr>
          </w:p>
        </w:tc>
        <w:tc>
          <w:tcPr>
            <w:tcW w:w="2978"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下余村</w:t>
            </w:r>
          </w:p>
        </w:tc>
        <w:tc>
          <w:tcPr>
            <w:tcW w:w="993" w:type="dxa"/>
            <w:vAlign w:val="center"/>
          </w:tcPr>
          <w:p>
            <w:pPr>
              <w:spacing w:line="240" w:lineRule="auto"/>
              <w:ind w:firstLine="0" w:firstLineChars="0"/>
              <w:jc w:val="center"/>
              <w:rPr>
                <w:rFonts w:ascii="宋体" w:hAnsi="宋体"/>
                <w:bCs/>
                <w:sz w:val="18"/>
                <w:szCs w:val="18"/>
              </w:rPr>
            </w:pPr>
            <w:r>
              <w:rPr>
                <w:rFonts w:hint="eastAsia" w:ascii="宋体" w:hAnsi="宋体"/>
                <w:bCs/>
                <w:sz w:val="18"/>
                <w:szCs w:val="18"/>
              </w:rPr>
              <w:t>1%</w:t>
            </w:r>
          </w:p>
        </w:tc>
        <w:tc>
          <w:tcPr>
            <w:tcW w:w="1357" w:type="dxa"/>
            <w:vAlign w:val="center"/>
          </w:tcPr>
          <w:p>
            <w:pPr>
              <w:spacing w:line="240" w:lineRule="auto"/>
              <w:ind w:firstLine="0" w:firstLineChars="0"/>
              <w:jc w:val="center"/>
              <w:rPr>
                <w:rFonts w:ascii="宋体" w:hAnsi="宋体"/>
                <w:bCs/>
                <w:sz w:val="18"/>
                <w:szCs w:val="18"/>
              </w:rPr>
            </w:pPr>
            <w:r>
              <w:rPr>
                <w:rFonts w:hint="eastAsia" w:ascii="宋体" w:hAnsi="宋体"/>
                <w:bCs/>
                <w:sz w:val="18"/>
                <w:szCs w:val="18"/>
              </w:rPr>
              <w:t>1</w:t>
            </w:r>
            <w:r>
              <w:rPr>
                <w:rFonts w:ascii="宋体" w:hAnsi="宋体"/>
                <w:bCs/>
                <w:sz w:val="18"/>
                <w:szCs w:val="18"/>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pacing w:line="240" w:lineRule="auto"/>
              <w:ind w:firstLine="0" w:firstLineChars="0"/>
              <w:jc w:val="center"/>
              <w:rPr>
                <w:rFonts w:ascii="宋体" w:hAnsi="宋体"/>
                <w:sz w:val="18"/>
                <w:szCs w:val="18"/>
              </w:rPr>
            </w:pPr>
          </w:p>
        </w:tc>
        <w:tc>
          <w:tcPr>
            <w:tcW w:w="708" w:type="dxa"/>
            <w:vMerge w:val="continue"/>
            <w:vAlign w:val="center"/>
          </w:tcPr>
          <w:p>
            <w:pPr>
              <w:spacing w:line="240" w:lineRule="auto"/>
              <w:ind w:firstLine="0" w:firstLineChars="0"/>
              <w:jc w:val="center"/>
              <w:rPr>
                <w:rFonts w:ascii="宋体" w:hAnsi="宋体"/>
                <w:sz w:val="18"/>
                <w:szCs w:val="18"/>
              </w:rPr>
            </w:pPr>
          </w:p>
        </w:tc>
        <w:tc>
          <w:tcPr>
            <w:tcW w:w="1567" w:type="dxa"/>
            <w:vMerge w:val="restart"/>
            <w:vAlign w:val="center"/>
          </w:tcPr>
          <w:p>
            <w:pPr>
              <w:spacing w:line="240" w:lineRule="auto"/>
              <w:ind w:firstLine="0" w:firstLineChars="0"/>
              <w:jc w:val="center"/>
              <w:rPr>
                <w:rFonts w:ascii="宋体" w:hAnsi="宋体"/>
                <w:sz w:val="18"/>
                <w:szCs w:val="18"/>
              </w:rPr>
            </w:pPr>
            <w:r>
              <w:rPr>
                <w:rFonts w:hint="eastAsia" w:ascii="宋体" w:hAnsi="宋体"/>
                <w:sz w:val="18"/>
                <w:szCs w:val="18"/>
              </w:rPr>
              <w:t>朱阳九峰景区</w:t>
            </w:r>
          </w:p>
        </w:tc>
        <w:tc>
          <w:tcPr>
            <w:tcW w:w="2978"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碧坑村</w:t>
            </w:r>
          </w:p>
        </w:tc>
        <w:tc>
          <w:tcPr>
            <w:tcW w:w="993" w:type="dxa"/>
            <w:vAlign w:val="center"/>
          </w:tcPr>
          <w:p>
            <w:pPr>
              <w:spacing w:line="240" w:lineRule="auto"/>
              <w:ind w:firstLine="0" w:firstLineChars="0"/>
              <w:jc w:val="center"/>
              <w:rPr>
                <w:rFonts w:ascii="宋体" w:hAnsi="宋体"/>
                <w:bCs/>
                <w:sz w:val="18"/>
                <w:szCs w:val="18"/>
              </w:rPr>
            </w:pPr>
            <w:r>
              <w:rPr>
                <w:rFonts w:hint="eastAsia" w:ascii="宋体" w:hAnsi="宋体"/>
                <w:bCs/>
                <w:sz w:val="18"/>
                <w:szCs w:val="18"/>
              </w:rPr>
              <w:t>1%</w:t>
            </w:r>
          </w:p>
        </w:tc>
        <w:tc>
          <w:tcPr>
            <w:tcW w:w="1357" w:type="dxa"/>
            <w:vAlign w:val="center"/>
          </w:tcPr>
          <w:p>
            <w:pPr>
              <w:spacing w:line="240" w:lineRule="auto"/>
              <w:ind w:firstLine="0" w:firstLineChars="0"/>
              <w:jc w:val="center"/>
              <w:rPr>
                <w:rFonts w:ascii="宋体" w:hAnsi="宋体"/>
                <w:bCs/>
                <w:sz w:val="18"/>
                <w:szCs w:val="18"/>
              </w:rPr>
            </w:pPr>
            <w:r>
              <w:rPr>
                <w:rFonts w:hint="eastAsia" w:ascii="宋体" w:hAnsi="宋体"/>
                <w:bCs/>
                <w:sz w:val="18"/>
                <w:szCs w:val="18"/>
              </w:rPr>
              <w:t>1</w:t>
            </w:r>
            <w:r>
              <w:rPr>
                <w:rFonts w:ascii="宋体" w:hAnsi="宋体"/>
                <w:bCs/>
                <w:sz w:val="18"/>
                <w:szCs w:val="18"/>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pacing w:line="240" w:lineRule="auto"/>
              <w:ind w:firstLine="0" w:firstLineChars="0"/>
              <w:jc w:val="center"/>
              <w:rPr>
                <w:rFonts w:ascii="宋体" w:hAnsi="宋体"/>
                <w:sz w:val="18"/>
                <w:szCs w:val="18"/>
              </w:rPr>
            </w:pPr>
          </w:p>
        </w:tc>
        <w:tc>
          <w:tcPr>
            <w:tcW w:w="708" w:type="dxa"/>
            <w:vMerge w:val="continue"/>
            <w:vAlign w:val="center"/>
          </w:tcPr>
          <w:p>
            <w:pPr>
              <w:spacing w:line="240" w:lineRule="auto"/>
              <w:ind w:firstLine="0" w:firstLineChars="0"/>
              <w:jc w:val="center"/>
              <w:rPr>
                <w:rFonts w:ascii="宋体" w:hAnsi="宋体"/>
                <w:sz w:val="18"/>
                <w:szCs w:val="18"/>
              </w:rPr>
            </w:pPr>
          </w:p>
        </w:tc>
        <w:tc>
          <w:tcPr>
            <w:tcW w:w="1567" w:type="dxa"/>
            <w:vMerge w:val="continue"/>
            <w:vAlign w:val="center"/>
          </w:tcPr>
          <w:p>
            <w:pPr>
              <w:spacing w:line="240" w:lineRule="auto"/>
              <w:ind w:firstLine="0" w:firstLineChars="0"/>
              <w:jc w:val="center"/>
              <w:rPr>
                <w:rFonts w:ascii="宋体" w:hAnsi="宋体"/>
                <w:sz w:val="18"/>
                <w:szCs w:val="18"/>
              </w:rPr>
            </w:pPr>
          </w:p>
        </w:tc>
        <w:tc>
          <w:tcPr>
            <w:tcW w:w="2978"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谈阳村</w:t>
            </w:r>
          </w:p>
        </w:tc>
        <w:tc>
          <w:tcPr>
            <w:tcW w:w="993" w:type="dxa"/>
            <w:vAlign w:val="center"/>
          </w:tcPr>
          <w:p>
            <w:pPr>
              <w:spacing w:line="240" w:lineRule="auto"/>
              <w:ind w:firstLine="0" w:firstLineChars="0"/>
              <w:jc w:val="center"/>
              <w:rPr>
                <w:rFonts w:ascii="宋体" w:hAnsi="宋体"/>
                <w:bCs/>
                <w:sz w:val="18"/>
                <w:szCs w:val="18"/>
              </w:rPr>
            </w:pPr>
            <w:r>
              <w:rPr>
                <w:rFonts w:ascii="宋体" w:hAnsi="宋体"/>
                <w:bCs/>
                <w:sz w:val="18"/>
                <w:szCs w:val="18"/>
              </w:rPr>
              <w:t>1.5</w:t>
            </w:r>
            <w:r>
              <w:rPr>
                <w:rFonts w:hint="eastAsia" w:ascii="宋体" w:hAnsi="宋体"/>
                <w:bCs/>
                <w:sz w:val="18"/>
                <w:szCs w:val="18"/>
              </w:rPr>
              <w:t>%</w:t>
            </w:r>
          </w:p>
        </w:tc>
        <w:tc>
          <w:tcPr>
            <w:tcW w:w="1357" w:type="dxa"/>
            <w:vAlign w:val="center"/>
          </w:tcPr>
          <w:p>
            <w:pPr>
              <w:spacing w:line="240" w:lineRule="auto"/>
              <w:ind w:firstLine="0" w:firstLineChars="0"/>
              <w:jc w:val="center"/>
              <w:rPr>
                <w:rFonts w:ascii="宋体" w:hAnsi="宋体"/>
                <w:bCs/>
                <w:sz w:val="18"/>
                <w:szCs w:val="18"/>
              </w:rPr>
            </w:pPr>
            <w:r>
              <w:rPr>
                <w:rFonts w:ascii="宋体" w:hAnsi="宋体"/>
                <w:bCs/>
                <w:sz w:val="18"/>
                <w:szCs w:val="18"/>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pacing w:line="240" w:lineRule="auto"/>
              <w:ind w:firstLine="0" w:firstLineChars="0"/>
              <w:jc w:val="center"/>
              <w:rPr>
                <w:rFonts w:ascii="宋体" w:hAnsi="宋体"/>
                <w:sz w:val="18"/>
                <w:szCs w:val="18"/>
              </w:rPr>
            </w:pPr>
          </w:p>
        </w:tc>
        <w:tc>
          <w:tcPr>
            <w:tcW w:w="708" w:type="dxa"/>
            <w:vMerge w:val="continue"/>
            <w:vAlign w:val="center"/>
          </w:tcPr>
          <w:p>
            <w:pPr>
              <w:spacing w:line="240" w:lineRule="auto"/>
              <w:ind w:firstLine="0" w:firstLineChars="0"/>
              <w:jc w:val="center"/>
              <w:rPr>
                <w:rFonts w:ascii="宋体" w:hAnsi="宋体"/>
                <w:sz w:val="18"/>
                <w:szCs w:val="18"/>
              </w:rPr>
            </w:pPr>
          </w:p>
        </w:tc>
        <w:tc>
          <w:tcPr>
            <w:tcW w:w="1567"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伯温故里景区</w:t>
            </w:r>
          </w:p>
        </w:tc>
        <w:tc>
          <w:tcPr>
            <w:tcW w:w="2978"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武阳村</w:t>
            </w:r>
          </w:p>
        </w:tc>
        <w:tc>
          <w:tcPr>
            <w:tcW w:w="993" w:type="dxa"/>
            <w:vAlign w:val="center"/>
          </w:tcPr>
          <w:p>
            <w:pPr>
              <w:spacing w:line="240" w:lineRule="auto"/>
              <w:ind w:firstLine="0" w:firstLineChars="0"/>
              <w:jc w:val="center"/>
              <w:rPr>
                <w:rFonts w:ascii="宋体" w:hAnsi="宋体"/>
                <w:bCs/>
                <w:sz w:val="18"/>
                <w:szCs w:val="18"/>
              </w:rPr>
            </w:pPr>
            <w:r>
              <w:rPr>
                <w:rFonts w:hint="eastAsia" w:ascii="宋体" w:hAnsi="宋体"/>
                <w:bCs/>
                <w:sz w:val="18"/>
                <w:szCs w:val="18"/>
              </w:rPr>
              <w:t>3%</w:t>
            </w:r>
          </w:p>
        </w:tc>
        <w:tc>
          <w:tcPr>
            <w:tcW w:w="1357" w:type="dxa"/>
            <w:vAlign w:val="center"/>
          </w:tcPr>
          <w:p>
            <w:pPr>
              <w:spacing w:line="240" w:lineRule="auto"/>
              <w:ind w:firstLine="0" w:firstLineChars="0"/>
              <w:jc w:val="center"/>
              <w:rPr>
                <w:rFonts w:ascii="宋体" w:hAnsi="宋体"/>
                <w:bCs/>
                <w:sz w:val="18"/>
                <w:szCs w:val="18"/>
              </w:rPr>
            </w:pPr>
            <w:r>
              <w:rPr>
                <w:rFonts w:ascii="宋体" w:hAnsi="宋体"/>
                <w:bCs/>
                <w:sz w:val="18"/>
                <w:szCs w:val="18"/>
              </w:rPr>
              <w:t>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pacing w:line="240" w:lineRule="auto"/>
              <w:ind w:firstLine="0" w:firstLineChars="0"/>
              <w:jc w:val="center"/>
              <w:rPr>
                <w:rFonts w:ascii="宋体" w:hAnsi="宋体"/>
                <w:sz w:val="18"/>
                <w:szCs w:val="18"/>
              </w:rPr>
            </w:pPr>
          </w:p>
        </w:tc>
        <w:tc>
          <w:tcPr>
            <w:tcW w:w="708" w:type="dxa"/>
            <w:vMerge w:val="continue"/>
            <w:vAlign w:val="center"/>
          </w:tcPr>
          <w:p>
            <w:pPr>
              <w:spacing w:line="240" w:lineRule="auto"/>
              <w:ind w:firstLine="0" w:firstLineChars="0"/>
              <w:jc w:val="center"/>
              <w:rPr>
                <w:rFonts w:ascii="宋体" w:hAnsi="宋体"/>
                <w:sz w:val="18"/>
                <w:szCs w:val="18"/>
              </w:rPr>
            </w:pPr>
          </w:p>
        </w:tc>
        <w:tc>
          <w:tcPr>
            <w:tcW w:w="1567"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风景区外</w:t>
            </w:r>
          </w:p>
        </w:tc>
        <w:tc>
          <w:tcPr>
            <w:tcW w:w="2978"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胜坑村</w:t>
            </w:r>
          </w:p>
        </w:tc>
        <w:tc>
          <w:tcPr>
            <w:tcW w:w="993" w:type="dxa"/>
            <w:vAlign w:val="center"/>
          </w:tcPr>
          <w:p>
            <w:pPr>
              <w:spacing w:line="240" w:lineRule="auto"/>
              <w:ind w:firstLine="0" w:firstLineChars="0"/>
              <w:jc w:val="center"/>
              <w:rPr>
                <w:rFonts w:ascii="宋体" w:hAnsi="宋体"/>
                <w:bCs/>
                <w:sz w:val="18"/>
                <w:szCs w:val="18"/>
              </w:rPr>
            </w:pPr>
            <w:r>
              <w:rPr>
                <w:rFonts w:ascii="宋体" w:hAnsi="宋体"/>
                <w:bCs/>
                <w:sz w:val="18"/>
                <w:szCs w:val="18"/>
              </w:rPr>
              <w:t>1.5</w:t>
            </w:r>
            <w:r>
              <w:rPr>
                <w:rFonts w:hint="eastAsia" w:ascii="宋体" w:hAnsi="宋体"/>
                <w:bCs/>
                <w:sz w:val="18"/>
                <w:szCs w:val="18"/>
              </w:rPr>
              <w:t>%</w:t>
            </w:r>
          </w:p>
        </w:tc>
        <w:tc>
          <w:tcPr>
            <w:tcW w:w="1357" w:type="dxa"/>
            <w:vAlign w:val="center"/>
          </w:tcPr>
          <w:p>
            <w:pPr>
              <w:spacing w:line="240" w:lineRule="auto"/>
              <w:ind w:firstLine="0" w:firstLineChars="0"/>
              <w:jc w:val="center"/>
              <w:rPr>
                <w:rFonts w:ascii="宋体" w:hAnsi="宋体"/>
                <w:bCs/>
                <w:sz w:val="18"/>
                <w:szCs w:val="18"/>
              </w:rPr>
            </w:pPr>
            <w:r>
              <w:rPr>
                <w:rFonts w:ascii="宋体" w:hAnsi="宋体"/>
                <w:bCs/>
                <w:sz w:val="18"/>
                <w:szCs w:val="18"/>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pacing w:line="240" w:lineRule="auto"/>
              <w:ind w:firstLine="0" w:firstLineChars="0"/>
              <w:jc w:val="center"/>
              <w:rPr>
                <w:rFonts w:ascii="宋体" w:hAnsi="宋体"/>
                <w:sz w:val="18"/>
                <w:szCs w:val="18"/>
              </w:rPr>
            </w:pPr>
          </w:p>
        </w:tc>
        <w:tc>
          <w:tcPr>
            <w:tcW w:w="708" w:type="dxa"/>
            <w:vMerge w:val="continue"/>
            <w:vAlign w:val="center"/>
          </w:tcPr>
          <w:p>
            <w:pPr>
              <w:spacing w:line="240" w:lineRule="auto"/>
              <w:ind w:firstLine="0" w:firstLineChars="0"/>
              <w:jc w:val="center"/>
              <w:rPr>
                <w:rFonts w:ascii="宋体" w:hAnsi="宋体"/>
                <w:sz w:val="18"/>
                <w:szCs w:val="18"/>
              </w:rPr>
            </w:pPr>
          </w:p>
        </w:tc>
        <w:tc>
          <w:tcPr>
            <w:tcW w:w="1567" w:type="dxa"/>
            <w:vMerge w:val="restart"/>
            <w:vAlign w:val="center"/>
          </w:tcPr>
          <w:p>
            <w:pPr>
              <w:spacing w:line="240" w:lineRule="auto"/>
              <w:ind w:firstLine="0" w:firstLineChars="0"/>
              <w:jc w:val="center"/>
              <w:rPr>
                <w:rFonts w:ascii="宋体" w:hAnsi="宋体"/>
                <w:sz w:val="18"/>
                <w:szCs w:val="18"/>
              </w:rPr>
            </w:pPr>
            <w:r>
              <w:rPr>
                <w:rFonts w:hint="eastAsia" w:ascii="宋体" w:hAnsi="宋体"/>
                <w:sz w:val="18"/>
                <w:szCs w:val="18"/>
              </w:rPr>
              <w:t>岩门大峡谷景区（风景区外）</w:t>
            </w:r>
          </w:p>
        </w:tc>
        <w:tc>
          <w:tcPr>
            <w:tcW w:w="2978"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岭后村</w:t>
            </w:r>
          </w:p>
        </w:tc>
        <w:tc>
          <w:tcPr>
            <w:tcW w:w="993" w:type="dxa"/>
            <w:vAlign w:val="center"/>
          </w:tcPr>
          <w:p>
            <w:pPr>
              <w:spacing w:line="240" w:lineRule="auto"/>
              <w:ind w:firstLine="0" w:firstLineChars="0"/>
              <w:jc w:val="center"/>
              <w:rPr>
                <w:rFonts w:ascii="宋体" w:hAnsi="宋体"/>
                <w:bCs/>
                <w:sz w:val="18"/>
                <w:szCs w:val="18"/>
              </w:rPr>
            </w:pPr>
            <w:r>
              <w:rPr>
                <w:rFonts w:ascii="宋体" w:hAnsi="宋体"/>
                <w:bCs/>
                <w:sz w:val="18"/>
                <w:szCs w:val="18"/>
              </w:rPr>
              <w:t>1.5</w:t>
            </w:r>
            <w:r>
              <w:rPr>
                <w:rFonts w:hint="eastAsia" w:ascii="宋体" w:hAnsi="宋体"/>
                <w:bCs/>
                <w:sz w:val="18"/>
                <w:szCs w:val="18"/>
              </w:rPr>
              <w:t>%</w:t>
            </w:r>
          </w:p>
        </w:tc>
        <w:tc>
          <w:tcPr>
            <w:tcW w:w="1357" w:type="dxa"/>
            <w:vAlign w:val="center"/>
          </w:tcPr>
          <w:p>
            <w:pPr>
              <w:spacing w:line="240" w:lineRule="auto"/>
              <w:ind w:firstLine="0" w:firstLineChars="0"/>
              <w:jc w:val="center"/>
              <w:rPr>
                <w:rFonts w:ascii="宋体" w:hAnsi="宋体"/>
                <w:bCs/>
                <w:sz w:val="18"/>
                <w:szCs w:val="18"/>
              </w:rPr>
            </w:pPr>
            <w:r>
              <w:rPr>
                <w:rFonts w:ascii="宋体" w:hAnsi="宋体"/>
                <w:bCs/>
                <w:sz w:val="18"/>
                <w:szCs w:val="18"/>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pacing w:line="240" w:lineRule="auto"/>
              <w:ind w:firstLine="0" w:firstLineChars="0"/>
              <w:jc w:val="center"/>
              <w:rPr>
                <w:rFonts w:ascii="宋体" w:hAnsi="宋体"/>
                <w:sz w:val="18"/>
                <w:szCs w:val="18"/>
              </w:rPr>
            </w:pPr>
          </w:p>
        </w:tc>
        <w:tc>
          <w:tcPr>
            <w:tcW w:w="708" w:type="dxa"/>
            <w:vMerge w:val="continue"/>
            <w:vAlign w:val="center"/>
          </w:tcPr>
          <w:p>
            <w:pPr>
              <w:spacing w:line="240" w:lineRule="auto"/>
              <w:ind w:firstLine="0" w:firstLineChars="0"/>
              <w:jc w:val="center"/>
              <w:rPr>
                <w:rFonts w:ascii="宋体" w:hAnsi="宋体"/>
                <w:sz w:val="18"/>
                <w:szCs w:val="18"/>
              </w:rPr>
            </w:pPr>
          </w:p>
        </w:tc>
        <w:tc>
          <w:tcPr>
            <w:tcW w:w="1567" w:type="dxa"/>
            <w:vMerge w:val="continue"/>
            <w:vAlign w:val="center"/>
          </w:tcPr>
          <w:p>
            <w:pPr>
              <w:spacing w:line="240" w:lineRule="auto"/>
              <w:ind w:firstLine="0" w:firstLineChars="0"/>
              <w:jc w:val="center"/>
              <w:rPr>
                <w:rFonts w:ascii="宋体" w:hAnsi="宋体"/>
                <w:sz w:val="18"/>
                <w:szCs w:val="18"/>
              </w:rPr>
            </w:pPr>
          </w:p>
        </w:tc>
        <w:tc>
          <w:tcPr>
            <w:tcW w:w="2978"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下庄村</w:t>
            </w:r>
          </w:p>
        </w:tc>
        <w:tc>
          <w:tcPr>
            <w:tcW w:w="993" w:type="dxa"/>
            <w:vAlign w:val="center"/>
          </w:tcPr>
          <w:p>
            <w:pPr>
              <w:spacing w:line="240" w:lineRule="auto"/>
              <w:ind w:firstLine="0" w:firstLineChars="0"/>
              <w:jc w:val="center"/>
              <w:rPr>
                <w:rFonts w:ascii="宋体" w:hAnsi="宋体"/>
                <w:bCs/>
                <w:sz w:val="18"/>
                <w:szCs w:val="18"/>
              </w:rPr>
            </w:pPr>
            <w:r>
              <w:rPr>
                <w:rFonts w:hint="eastAsia" w:ascii="宋体" w:hAnsi="宋体"/>
                <w:bCs/>
                <w:sz w:val="18"/>
                <w:szCs w:val="18"/>
              </w:rPr>
              <w:t>1%</w:t>
            </w:r>
          </w:p>
        </w:tc>
        <w:tc>
          <w:tcPr>
            <w:tcW w:w="1357" w:type="dxa"/>
            <w:vAlign w:val="center"/>
          </w:tcPr>
          <w:p>
            <w:pPr>
              <w:spacing w:line="240" w:lineRule="auto"/>
              <w:ind w:firstLine="0" w:firstLineChars="0"/>
              <w:jc w:val="center"/>
              <w:rPr>
                <w:rFonts w:ascii="宋体" w:hAnsi="宋体"/>
                <w:bCs/>
                <w:sz w:val="18"/>
                <w:szCs w:val="18"/>
              </w:rPr>
            </w:pPr>
            <w:r>
              <w:rPr>
                <w:rFonts w:ascii="宋体" w:hAnsi="宋体"/>
                <w:bCs/>
                <w:sz w:val="18"/>
                <w:szCs w:val="18"/>
              </w:rPr>
              <w:t>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pacing w:line="240" w:lineRule="auto"/>
              <w:ind w:firstLine="0" w:firstLineChars="0"/>
              <w:jc w:val="center"/>
              <w:rPr>
                <w:rFonts w:ascii="宋体" w:hAnsi="宋体"/>
                <w:sz w:val="18"/>
                <w:szCs w:val="18"/>
              </w:rPr>
            </w:pPr>
          </w:p>
        </w:tc>
        <w:tc>
          <w:tcPr>
            <w:tcW w:w="708" w:type="dxa"/>
            <w:vMerge w:val="continue"/>
            <w:vAlign w:val="center"/>
          </w:tcPr>
          <w:p>
            <w:pPr>
              <w:spacing w:line="240" w:lineRule="auto"/>
              <w:ind w:firstLine="0" w:firstLineChars="0"/>
              <w:jc w:val="center"/>
              <w:rPr>
                <w:rFonts w:ascii="宋体" w:hAnsi="宋体"/>
                <w:sz w:val="18"/>
                <w:szCs w:val="18"/>
              </w:rPr>
            </w:pPr>
          </w:p>
        </w:tc>
        <w:tc>
          <w:tcPr>
            <w:tcW w:w="1567" w:type="dxa"/>
            <w:vMerge w:val="restart"/>
            <w:vAlign w:val="center"/>
          </w:tcPr>
          <w:p>
            <w:pPr>
              <w:spacing w:line="240" w:lineRule="auto"/>
              <w:ind w:firstLine="0" w:firstLineChars="0"/>
              <w:jc w:val="center"/>
              <w:rPr>
                <w:rFonts w:ascii="宋体" w:hAnsi="宋体"/>
                <w:sz w:val="18"/>
                <w:szCs w:val="18"/>
              </w:rPr>
            </w:pPr>
            <w:r>
              <w:rPr>
                <w:rFonts w:hint="eastAsia" w:ascii="宋体" w:hAnsi="宋体"/>
                <w:sz w:val="18"/>
                <w:szCs w:val="18"/>
              </w:rPr>
              <w:t>飞云湖景区（云湖社区、塘垄村位于风景区外）</w:t>
            </w:r>
          </w:p>
        </w:tc>
        <w:tc>
          <w:tcPr>
            <w:tcW w:w="2978"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云湖社区</w:t>
            </w:r>
          </w:p>
        </w:tc>
        <w:tc>
          <w:tcPr>
            <w:tcW w:w="993" w:type="dxa"/>
            <w:vAlign w:val="center"/>
          </w:tcPr>
          <w:p>
            <w:pPr>
              <w:spacing w:line="240" w:lineRule="auto"/>
              <w:ind w:firstLine="0" w:firstLineChars="0"/>
              <w:jc w:val="center"/>
              <w:rPr>
                <w:rFonts w:ascii="宋体" w:hAnsi="宋体"/>
                <w:bCs/>
                <w:sz w:val="18"/>
                <w:szCs w:val="18"/>
              </w:rPr>
            </w:pPr>
            <w:r>
              <w:rPr>
                <w:rFonts w:ascii="宋体" w:hAnsi="宋体"/>
                <w:bCs/>
                <w:sz w:val="18"/>
                <w:szCs w:val="18"/>
              </w:rPr>
              <w:t>1.5</w:t>
            </w:r>
            <w:r>
              <w:rPr>
                <w:rFonts w:hint="eastAsia" w:ascii="宋体" w:hAnsi="宋体"/>
                <w:bCs/>
                <w:sz w:val="18"/>
                <w:szCs w:val="18"/>
              </w:rPr>
              <w:t>%</w:t>
            </w:r>
          </w:p>
        </w:tc>
        <w:tc>
          <w:tcPr>
            <w:tcW w:w="1357" w:type="dxa"/>
            <w:vAlign w:val="center"/>
          </w:tcPr>
          <w:p>
            <w:pPr>
              <w:spacing w:line="240" w:lineRule="auto"/>
              <w:ind w:firstLine="0" w:firstLineChars="0"/>
              <w:jc w:val="center"/>
              <w:rPr>
                <w:rFonts w:ascii="宋体" w:hAnsi="宋体"/>
                <w:bCs/>
                <w:sz w:val="18"/>
                <w:szCs w:val="18"/>
              </w:rPr>
            </w:pPr>
            <w:r>
              <w:rPr>
                <w:rFonts w:ascii="宋体" w:hAnsi="宋体"/>
                <w:bCs/>
                <w:sz w:val="18"/>
                <w:szCs w:val="18"/>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pacing w:line="240" w:lineRule="auto"/>
              <w:ind w:firstLine="0" w:firstLineChars="0"/>
              <w:jc w:val="center"/>
              <w:rPr>
                <w:rFonts w:ascii="宋体" w:hAnsi="宋体"/>
                <w:sz w:val="18"/>
                <w:szCs w:val="18"/>
              </w:rPr>
            </w:pPr>
          </w:p>
        </w:tc>
        <w:tc>
          <w:tcPr>
            <w:tcW w:w="708" w:type="dxa"/>
            <w:vMerge w:val="continue"/>
            <w:vAlign w:val="center"/>
          </w:tcPr>
          <w:p>
            <w:pPr>
              <w:spacing w:line="240" w:lineRule="auto"/>
              <w:ind w:firstLine="0" w:firstLineChars="0"/>
              <w:jc w:val="center"/>
              <w:rPr>
                <w:rFonts w:ascii="宋体" w:hAnsi="宋体"/>
                <w:sz w:val="18"/>
                <w:szCs w:val="18"/>
              </w:rPr>
            </w:pPr>
          </w:p>
        </w:tc>
        <w:tc>
          <w:tcPr>
            <w:tcW w:w="1567" w:type="dxa"/>
            <w:vMerge w:val="continue"/>
            <w:vAlign w:val="center"/>
          </w:tcPr>
          <w:p>
            <w:pPr>
              <w:spacing w:line="240" w:lineRule="auto"/>
              <w:ind w:firstLine="0" w:firstLineChars="0"/>
              <w:jc w:val="center"/>
              <w:rPr>
                <w:rFonts w:ascii="宋体" w:hAnsi="宋体"/>
                <w:sz w:val="18"/>
                <w:szCs w:val="18"/>
              </w:rPr>
            </w:pPr>
          </w:p>
        </w:tc>
        <w:tc>
          <w:tcPr>
            <w:tcW w:w="2978"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塘垄村（考虑桃李春风）</w:t>
            </w:r>
          </w:p>
        </w:tc>
        <w:tc>
          <w:tcPr>
            <w:tcW w:w="993" w:type="dxa"/>
            <w:vAlign w:val="center"/>
          </w:tcPr>
          <w:p>
            <w:pPr>
              <w:spacing w:line="240" w:lineRule="auto"/>
              <w:ind w:firstLine="0" w:firstLineChars="0"/>
              <w:jc w:val="center"/>
              <w:rPr>
                <w:rFonts w:ascii="宋体" w:hAnsi="宋体"/>
                <w:bCs/>
                <w:sz w:val="18"/>
                <w:szCs w:val="18"/>
              </w:rPr>
            </w:pPr>
            <w:r>
              <w:rPr>
                <w:rFonts w:ascii="宋体" w:hAnsi="宋体"/>
                <w:bCs/>
                <w:sz w:val="18"/>
                <w:szCs w:val="18"/>
              </w:rPr>
              <w:t>4</w:t>
            </w:r>
            <w:r>
              <w:rPr>
                <w:rFonts w:hint="eastAsia" w:ascii="宋体" w:hAnsi="宋体"/>
                <w:bCs/>
                <w:sz w:val="18"/>
                <w:szCs w:val="18"/>
              </w:rPr>
              <w:t>%</w:t>
            </w:r>
          </w:p>
        </w:tc>
        <w:tc>
          <w:tcPr>
            <w:tcW w:w="1357" w:type="dxa"/>
            <w:vAlign w:val="center"/>
          </w:tcPr>
          <w:p>
            <w:pPr>
              <w:spacing w:line="240" w:lineRule="auto"/>
              <w:ind w:firstLine="0" w:firstLineChars="0"/>
              <w:jc w:val="center"/>
              <w:rPr>
                <w:rFonts w:ascii="宋体" w:hAnsi="宋体"/>
                <w:bCs/>
                <w:sz w:val="18"/>
                <w:szCs w:val="18"/>
              </w:rPr>
            </w:pPr>
            <w:r>
              <w:rPr>
                <w:rFonts w:ascii="宋体" w:hAnsi="宋体"/>
                <w:bCs/>
                <w:sz w:val="18"/>
                <w:szCs w:val="18"/>
              </w:rPr>
              <w:t>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pacing w:line="240" w:lineRule="auto"/>
              <w:ind w:firstLine="0" w:firstLineChars="0"/>
              <w:jc w:val="center"/>
              <w:rPr>
                <w:rFonts w:ascii="宋体" w:hAnsi="宋体"/>
                <w:sz w:val="18"/>
                <w:szCs w:val="18"/>
              </w:rPr>
            </w:pPr>
          </w:p>
        </w:tc>
        <w:tc>
          <w:tcPr>
            <w:tcW w:w="708" w:type="dxa"/>
            <w:vMerge w:val="continue"/>
            <w:vAlign w:val="center"/>
          </w:tcPr>
          <w:p>
            <w:pPr>
              <w:spacing w:line="240" w:lineRule="auto"/>
              <w:ind w:firstLine="0" w:firstLineChars="0"/>
              <w:jc w:val="center"/>
              <w:rPr>
                <w:rFonts w:ascii="宋体" w:hAnsi="宋体"/>
                <w:sz w:val="18"/>
                <w:szCs w:val="18"/>
              </w:rPr>
            </w:pPr>
          </w:p>
        </w:tc>
        <w:tc>
          <w:tcPr>
            <w:tcW w:w="1567" w:type="dxa"/>
            <w:vMerge w:val="continue"/>
            <w:vAlign w:val="center"/>
          </w:tcPr>
          <w:p>
            <w:pPr>
              <w:spacing w:line="240" w:lineRule="auto"/>
              <w:ind w:firstLine="0" w:firstLineChars="0"/>
              <w:jc w:val="center"/>
              <w:rPr>
                <w:rFonts w:ascii="宋体" w:hAnsi="宋体"/>
                <w:sz w:val="18"/>
                <w:szCs w:val="18"/>
              </w:rPr>
            </w:pPr>
          </w:p>
        </w:tc>
        <w:tc>
          <w:tcPr>
            <w:tcW w:w="2978"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松坑村</w:t>
            </w:r>
          </w:p>
        </w:tc>
        <w:tc>
          <w:tcPr>
            <w:tcW w:w="993" w:type="dxa"/>
            <w:vAlign w:val="center"/>
          </w:tcPr>
          <w:p>
            <w:pPr>
              <w:spacing w:line="240" w:lineRule="auto"/>
              <w:ind w:firstLine="0" w:firstLineChars="0"/>
              <w:jc w:val="center"/>
              <w:rPr>
                <w:rFonts w:ascii="宋体" w:hAnsi="宋体"/>
                <w:bCs/>
                <w:sz w:val="18"/>
                <w:szCs w:val="18"/>
              </w:rPr>
            </w:pPr>
            <w:r>
              <w:rPr>
                <w:rFonts w:hint="eastAsia" w:ascii="宋体" w:hAnsi="宋体"/>
                <w:bCs/>
                <w:sz w:val="18"/>
                <w:szCs w:val="18"/>
              </w:rPr>
              <w:t>1%</w:t>
            </w:r>
          </w:p>
        </w:tc>
        <w:tc>
          <w:tcPr>
            <w:tcW w:w="1357" w:type="dxa"/>
            <w:vAlign w:val="center"/>
          </w:tcPr>
          <w:p>
            <w:pPr>
              <w:spacing w:line="240" w:lineRule="auto"/>
              <w:ind w:firstLine="0" w:firstLineChars="0"/>
              <w:jc w:val="center"/>
              <w:rPr>
                <w:rFonts w:ascii="宋体" w:hAnsi="宋体"/>
                <w:bCs/>
                <w:sz w:val="18"/>
                <w:szCs w:val="18"/>
              </w:rPr>
            </w:pPr>
            <w:r>
              <w:rPr>
                <w:rFonts w:hint="eastAsia" w:ascii="宋体" w:hAnsi="宋体"/>
                <w:bCs/>
                <w:sz w:val="18"/>
                <w:szCs w:val="18"/>
              </w:rPr>
              <w:t>1</w:t>
            </w:r>
            <w:r>
              <w:rPr>
                <w:rFonts w:ascii="宋体" w:hAnsi="宋体"/>
                <w:bCs/>
                <w:sz w:val="18"/>
                <w:szCs w:val="18"/>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pacing w:line="240" w:lineRule="auto"/>
              <w:ind w:firstLine="0" w:firstLineChars="0"/>
              <w:jc w:val="center"/>
              <w:rPr>
                <w:rFonts w:ascii="宋体" w:hAnsi="宋体"/>
                <w:sz w:val="18"/>
                <w:szCs w:val="18"/>
              </w:rPr>
            </w:pPr>
          </w:p>
        </w:tc>
        <w:tc>
          <w:tcPr>
            <w:tcW w:w="708" w:type="dxa"/>
            <w:vMerge w:val="continue"/>
            <w:vAlign w:val="center"/>
          </w:tcPr>
          <w:p>
            <w:pPr>
              <w:spacing w:line="240" w:lineRule="auto"/>
              <w:ind w:firstLine="0" w:firstLineChars="0"/>
              <w:jc w:val="center"/>
              <w:rPr>
                <w:rFonts w:ascii="宋体" w:hAnsi="宋体"/>
                <w:sz w:val="18"/>
                <w:szCs w:val="18"/>
              </w:rPr>
            </w:pPr>
          </w:p>
        </w:tc>
        <w:tc>
          <w:tcPr>
            <w:tcW w:w="1567" w:type="dxa"/>
            <w:vMerge w:val="continue"/>
            <w:vAlign w:val="center"/>
          </w:tcPr>
          <w:p>
            <w:pPr>
              <w:spacing w:line="240" w:lineRule="auto"/>
              <w:ind w:firstLine="0" w:firstLineChars="0"/>
              <w:jc w:val="center"/>
              <w:rPr>
                <w:rFonts w:ascii="宋体" w:hAnsi="宋体"/>
                <w:sz w:val="18"/>
                <w:szCs w:val="18"/>
              </w:rPr>
            </w:pPr>
          </w:p>
        </w:tc>
        <w:tc>
          <w:tcPr>
            <w:tcW w:w="2978"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塘山村</w:t>
            </w:r>
          </w:p>
        </w:tc>
        <w:tc>
          <w:tcPr>
            <w:tcW w:w="993" w:type="dxa"/>
            <w:vAlign w:val="center"/>
          </w:tcPr>
          <w:p>
            <w:pPr>
              <w:spacing w:line="240" w:lineRule="auto"/>
              <w:ind w:firstLine="0" w:firstLineChars="0"/>
              <w:jc w:val="center"/>
              <w:rPr>
                <w:rFonts w:ascii="宋体" w:hAnsi="宋体"/>
                <w:bCs/>
                <w:sz w:val="18"/>
                <w:szCs w:val="18"/>
              </w:rPr>
            </w:pPr>
            <w:r>
              <w:rPr>
                <w:rFonts w:hint="eastAsia" w:ascii="宋体" w:hAnsi="宋体"/>
                <w:bCs/>
                <w:sz w:val="18"/>
                <w:szCs w:val="18"/>
              </w:rPr>
              <w:t>1%</w:t>
            </w:r>
          </w:p>
        </w:tc>
        <w:tc>
          <w:tcPr>
            <w:tcW w:w="1357" w:type="dxa"/>
            <w:vAlign w:val="center"/>
          </w:tcPr>
          <w:p>
            <w:pPr>
              <w:spacing w:line="240" w:lineRule="auto"/>
              <w:ind w:firstLine="0" w:firstLineChars="0"/>
              <w:jc w:val="center"/>
              <w:rPr>
                <w:rFonts w:ascii="宋体" w:hAnsi="宋体"/>
                <w:bCs/>
                <w:sz w:val="18"/>
                <w:szCs w:val="18"/>
              </w:rPr>
            </w:pPr>
            <w:r>
              <w:rPr>
                <w:rFonts w:hint="eastAsia" w:ascii="宋体" w:hAnsi="宋体"/>
                <w:bCs/>
                <w:sz w:val="18"/>
                <w:szCs w:val="18"/>
              </w:rPr>
              <w:t>1</w:t>
            </w:r>
            <w:r>
              <w:rPr>
                <w:rFonts w:ascii="宋体" w:hAnsi="宋体"/>
                <w:bCs/>
                <w:sz w:val="18"/>
                <w:szCs w:val="18"/>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pacing w:line="240" w:lineRule="auto"/>
              <w:ind w:firstLine="0" w:firstLineChars="0"/>
              <w:jc w:val="center"/>
              <w:rPr>
                <w:rFonts w:ascii="宋体" w:hAnsi="宋体"/>
                <w:sz w:val="18"/>
                <w:szCs w:val="18"/>
              </w:rPr>
            </w:pPr>
          </w:p>
        </w:tc>
        <w:tc>
          <w:tcPr>
            <w:tcW w:w="708" w:type="dxa"/>
            <w:vMerge w:val="continue"/>
            <w:vAlign w:val="center"/>
          </w:tcPr>
          <w:p>
            <w:pPr>
              <w:spacing w:line="240" w:lineRule="auto"/>
              <w:ind w:firstLine="0" w:firstLineChars="0"/>
              <w:jc w:val="center"/>
              <w:rPr>
                <w:rFonts w:ascii="宋体" w:hAnsi="宋体"/>
                <w:sz w:val="18"/>
                <w:szCs w:val="18"/>
              </w:rPr>
            </w:pPr>
          </w:p>
        </w:tc>
        <w:tc>
          <w:tcPr>
            <w:tcW w:w="1567"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风景区内</w:t>
            </w:r>
          </w:p>
        </w:tc>
        <w:tc>
          <w:tcPr>
            <w:tcW w:w="2978"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福首源村</w:t>
            </w:r>
          </w:p>
        </w:tc>
        <w:tc>
          <w:tcPr>
            <w:tcW w:w="993" w:type="dxa"/>
            <w:vAlign w:val="center"/>
          </w:tcPr>
          <w:p>
            <w:pPr>
              <w:spacing w:line="240" w:lineRule="auto"/>
              <w:ind w:firstLine="0" w:firstLineChars="0"/>
              <w:jc w:val="center"/>
              <w:rPr>
                <w:rFonts w:ascii="宋体" w:hAnsi="宋体"/>
                <w:bCs/>
                <w:sz w:val="18"/>
                <w:szCs w:val="18"/>
              </w:rPr>
            </w:pPr>
            <w:r>
              <w:rPr>
                <w:rFonts w:ascii="宋体" w:hAnsi="宋体"/>
                <w:bCs/>
                <w:sz w:val="18"/>
                <w:szCs w:val="18"/>
              </w:rPr>
              <w:t>2</w:t>
            </w:r>
            <w:r>
              <w:rPr>
                <w:rFonts w:hint="eastAsia" w:ascii="宋体" w:hAnsi="宋体"/>
                <w:bCs/>
                <w:sz w:val="18"/>
                <w:szCs w:val="18"/>
              </w:rPr>
              <w:t>%</w:t>
            </w:r>
          </w:p>
        </w:tc>
        <w:tc>
          <w:tcPr>
            <w:tcW w:w="1357" w:type="dxa"/>
            <w:vAlign w:val="center"/>
          </w:tcPr>
          <w:p>
            <w:pPr>
              <w:spacing w:line="240" w:lineRule="auto"/>
              <w:ind w:firstLine="0" w:firstLineChars="0"/>
              <w:jc w:val="center"/>
              <w:rPr>
                <w:rFonts w:ascii="宋体" w:hAnsi="宋体"/>
                <w:bCs/>
                <w:sz w:val="18"/>
                <w:szCs w:val="18"/>
              </w:rPr>
            </w:pPr>
            <w:r>
              <w:rPr>
                <w:rFonts w:ascii="宋体" w:hAnsi="宋体"/>
                <w:bCs/>
                <w:sz w:val="18"/>
                <w:szCs w:val="18"/>
              </w:rPr>
              <w:t>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restart"/>
            <w:vAlign w:val="center"/>
          </w:tcPr>
          <w:p>
            <w:pPr>
              <w:spacing w:line="240" w:lineRule="auto"/>
              <w:ind w:firstLine="0" w:firstLineChars="0"/>
              <w:jc w:val="center"/>
              <w:rPr>
                <w:rFonts w:ascii="宋体" w:hAnsi="宋体"/>
                <w:sz w:val="18"/>
                <w:szCs w:val="18"/>
              </w:rPr>
            </w:pPr>
            <w:r>
              <w:rPr>
                <w:rFonts w:hint="eastAsia" w:ascii="宋体" w:hAnsi="宋体"/>
                <w:sz w:val="18"/>
                <w:szCs w:val="18"/>
              </w:rPr>
              <w:t>旅游点</w:t>
            </w:r>
          </w:p>
        </w:tc>
        <w:tc>
          <w:tcPr>
            <w:tcW w:w="708" w:type="dxa"/>
            <w:vMerge w:val="restart"/>
            <w:vAlign w:val="center"/>
          </w:tcPr>
          <w:p>
            <w:pPr>
              <w:spacing w:line="240" w:lineRule="auto"/>
              <w:ind w:firstLine="0" w:firstLineChars="0"/>
              <w:jc w:val="center"/>
              <w:rPr>
                <w:rFonts w:ascii="宋体" w:hAnsi="宋体"/>
                <w:sz w:val="18"/>
                <w:szCs w:val="18"/>
              </w:rPr>
            </w:pPr>
            <w:r>
              <w:rPr>
                <w:rFonts w:hint="eastAsia" w:ascii="宋体" w:hAnsi="宋体"/>
                <w:sz w:val="18"/>
                <w:szCs w:val="18"/>
              </w:rPr>
              <w:t>1</w:t>
            </w:r>
            <w:r>
              <w:rPr>
                <w:rFonts w:ascii="宋体" w:hAnsi="宋体"/>
                <w:sz w:val="18"/>
                <w:szCs w:val="18"/>
              </w:rPr>
              <w:t>4</w:t>
            </w:r>
          </w:p>
        </w:tc>
        <w:tc>
          <w:tcPr>
            <w:tcW w:w="1567" w:type="dxa"/>
            <w:vMerge w:val="restart"/>
            <w:vAlign w:val="center"/>
          </w:tcPr>
          <w:p>
            <w:pPr>
              <w:spacing w:line="240" w:lineRule="auto"/>
              <w:ind w:firstLine="0" w:firstLineChars="0"/>
              <w:jc w:val="center"/>
              <w:rPr>
                <w:rFonts w:ascii="宋体" w:hAnsi="宋体"/>
                <w:sz w:val="18"/>
                <w:szCs w:val="18"/>
              </w:rPr>
            </w:pPr>
            <w:r>
              <w:rPr>
                <w:rFonts w:hint="eastAsia" w:ascii="宋体" w:hAnsi="宋体"/>
                <w:sz w:val="18"/>
                <w:szCs w:val="18"/>
              </w:rPr>
              <w:t>百丈飞瀑景区（风景区外）</w:t>
            </w:r>
          </w:p>
        </w:tc>
        <w:tc>
          <w:tcPr>
            <w:tcW w:w="2978"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天湖</w:t>
            </w:r>
          </w:p>
        </w:tc>
        <w:tc>
          <w:tcPr>
            <w:tcW w:w="993" w:type="dxa"/>
            <w:vAlign w:val="center"/>
          </w:tcPr>
          <w:p>
            <w:pPr>
              <w:spacing w:line="240" w:lineRule="auto"/>
              <w:ind w:firstLine="0" w:firstLineChars="0"/>
              <w:jc w:val="center"/>
              <w:rPr>
                <w:rFonts w:ascii="宋体" w:hAnsi="宋体"/>
                <w:sz w:val="18"/>
                <w:szCs w:val="18"/>
              </w:rPr>
            </w:pPr>
            <w:r>
              <w:rPr>
                <w:rFonts w:ascii="宋体" w:hAnsi="宋体"/>
                <w:sz w:val="18"/>
                <w:szCs w:val="18"/>
              </w:rPr>
              <w:t>0.5</w:t>
            </w:r>
            <w:r>
              <w:rPr>
                <w:rFonts w:hint="eastAsia" w:ascii="宋体" w:hAnsi="宋体"/>
                <w:sz w:val="18"/>
                <w:szCs w:val="18"/>
              </w:rPr>
              <w:t>%</w:t>
            </w:r>
          </w:p>
        </w:tc>
        <w:tc>
          <w:tcPr>
            <w:tcW w:w="1357" w:type="dxa"/>
            <w:vAlign w:val="center"/>
          </w:tcPr>
          <w:p>
            <w:pPr>
              <w:spacing w:line="240" w:lineRule="auto"/>
              <w:ind w:firstLine="0" w:firstLineChars="0"/>
              <w:jc w:val="center"/>
              <w:rPr>
                <w:rFonts w:ascii="宋体" w:hAnsi="宋体"/>
                <w:sz w:val="18"/>
                <w:szCs w:val="18"/>
              </w:rPr>
            </w:pPr>
            <w:r>
              <w:rPr>
                <w:rFonts w:ascii="宋体" w:hAnsi="宋体"/>
                <w:sz w:val="18"/>
                <w:szCs w:val="18"/>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pacing w:line="240" w:lineRule="auto"/>
              <w:ind w:firstLine="0" w:firstLineChars="0"/>
              <w:jc w:val="center"/>
              <w:rPr>
                <w:rFonts w:ascii="宋体" w:hAnsi="宋体"/>
                <w:sz w:val="18"/>
                <w:szCs w:val="18"/>
              </w:rPr>
            </w:pPr>
          </w:p>
        </w:tc>
        <w:tc>
          <w:tcPr>
            <w:tcW w:w="708" w:type="dxa"/>
            <w:vMerge w:val="continue"/>
            <w:vAlign w:val="center"/>
          </w:tcPr>
          <w:p>
            <w:pPr>
              <w:spacing w:line="240" w:lineRule="auto"/>
              <w:ind w:firstLine="0" w:firstLineChars="0"/>
              <w:jc w:val="center"/>
              <w:rPr>
                <w:rFonts w:ascii="宋体" w:hAnsi="宋体"/>
                <w:sz w:val="18"/>
                <w:szCs w:val="18"/>
              </w:rPr>
            </w:pPr>
          </w:p>
        </w:tc>
        <w:tc>
          <w:tcPr>
            <w:tcW w:w="1567" w:type="dxa"/>
            <w:vMerge w:val="continue"/>
            <w:vAlign w:val="center"/>
          </w:tcPr>
          <w:p>
            <w:pPr>
              <w:spacing w:line="240" w:lineRule="auto"/>
              <w:ind w:firstLine="0" w:firstLineChars="0"/>
              <w:jc w:val="center"/>
              <w:rPr>
                <w:rFonts w:ascii="宋体" w:hAnsi="宋体"/>
                <w:sz w:val="18"/>
                <w:szCs w:val="18"/>
              </w:rPr>
            </w:pPr>
          </w:p>
        </w:tc>
        <w:tc>
          <w:tcPr>
            <w:tcW w:w="2978"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百丈漈南</w:t>
            </w:r>
          </w:p>
        </w:tc>
        <w:tc>
          <w:tcPr>
            <w:tcW w:w="993"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w:t>
            </w:r>
          </w:p>
        </w:tc>
        <w:tc>
          <w:tcPr>
            <w:tcW w:w="1357"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pacing w:line="240" w:lineRule="auto"/>
              <w:ind w:firstLine="0" w:firstLineChars="0"/>
              <w:jc w:val="center"/>
              <w:rPr>
                <w:rFonts w:ascii="宋体" w:hAnsi="宋体"/>
                <w:sz w:val="18"/>
                <w:szCs w:val="18"/>
              </w:rPr>
            </w:pPr>
          </w:p>
        </w:tc>
        <w:tc>
          <w:tcPr>
            <w:tcW w:w="708" w:type="dxa"/>
            <w:vMerge w:val="continue"/>
            <w:vAlign w:val="center"/>
          </w:tcPr>
          <w:p>
            <w:pPr>
              <w:spacing w:line="240" w:lineRule="auto"/>
              <w:ind w:firstLine="0" w:firstLineChars="0"/>
              <w:jc w:val="center"/>
              <w:rPr>
                <w:rFonts w:ascii="宋体" w:hAnsi="宋体"/>
                <w:sz w:val="18"/>
                <w:szCs w:val="18"/>
              </w:rPr>
            </w:pPr>
          </w:p>
        </w:tc>
        <w:tc>
          <w:tcPr>
            <w:tcW w:w="1567" w:type="dxa"/>
            <w:vMerge w:val="continue"/>
            <w:vAlign w:val="center"/>
          </w:tcPr>
          <w:p>
            <w:pPr>
              <w:spacing w:line="240" w:lineRule="auto"/>
              <w:ind w:firstLine="0" w:firstLineChars="0"/>
              <w:jc w:val="center"/>
              <w:rPr>
                <w:rFonts w:ascii="宋体" w:hAnsi="宋体"/>
                <w:sz w:val="18"/>
                <w:szCs w:val="18"/>
              </w:rPr>
            </w:pPr>
          </w:p>
        </w:tc>
        <w:tc>
          <w:tcPr>
            <w:tcW w:w="2978"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百丈漈北</w:t>
            </w:r>
          </w:p>
        </w:tc>
        <w:tc>
          <w:tcPr>
            <w:tcW w:w="993"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w:t>
            </w:r>
          </w:p>
        </w:tc>
        <w:tc>
          <w:tcPr>
            <w:tcW w:w="1357"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pacing w:line="240" w:lineRule="auto"/>
              <w:ind w:firstLine="0" w:firstLineChars="0"/>
              <w:jc w:val="center"/>
              <w:rPr>
                <w:rFonts w:ascii="宋体" w:hAnsi="宋体"/>
                <w:sz w:val="18"/>
                <w:szCs w:val="18"/>
              </w:rPr>
            </w:pPr>
          </w:p>
        </w:tc>
        <w:tc>
          <w:tcPr>
            <w:tcW w:w="708" w:type="dxa"/>
            <w:vMerge w:val="continue"/>
            <w:vAlign w:val="center"/>
          </w:tcPr>
          <w:p>
            <w:pPr>
              <w:spacing w:line="240" w:lineRule="auto"/>
              <w:ind w:firstLine="0" w:firstLineChars="0"/>
              <w:jc w:val="center"/>
              <w:rPr>
                <w:rFonts w:ascii="宋体" w:hAnsi="宋体"/>
                <w:sz w:val="18"/>
                <w:szCs w:val="18"/>
              </w:rPr>
            </w:pPr>
          </w:p>
        </w:tc>
        <w:tc>
          <w:tcPr>
            <w:tcW w:w="1567" w:type="dxa"/>
            <w:vMerge w:val="continue"/>
            <w:vAlign w:val="center"/>
          </w:tcPr>
          <w:p>
            <w:pPr>
              <w:spacing w:line="240" w:lineRule="auto"/>
              <w:ind w:firstLine="0" w:firstLineChars="0"/>
              <w:jc w:val="center"/>
              <w:rPr>
                <w:rFonts w:ascii="宋体" w:hAnsi="宋体"/>
                <w:sz w:val="18"/>
                <w:szCs w:val="18"/>
              </w:rPr>
            </w:pPr>
          </w:p>
        </w:tc>
        <w:tc>
          <w:tcPr>
            <w:tcW w:w="2978"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吴垟码头</w:t>
            </w:r>
          </w:p>
        </w:tc>
        <w:tc>
          <w:tcPr>
            <w:tcW w:w="993"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w:t>
            </w:r>
          </w:p>
        </w:tc>
        <w:tc>
          <w:tcPr>
            <w:tcW w:w="1357"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exact"/>
          <w:jc w:val="center"/>
        </w:trPr>
        <w:tc>
          <w:tcPr>
            <w:tcW w:w="954" w:type="dxa"/>
            <w:vMerge w:val="continue"/>
            <w:vAlign w:val="center"/>
          </w:tcPr>
          <w:p>
            <w:pPr>
              <w:spacing w:line="240" w:lineRule="auto"/>
              <w:ind w:firstLine="0" w:firstLineChars="0"/>
              <w:jc w:val="center"/>
              <w:rPr>
                <w:rFonts w:ascii="宋体" w:hAnsi="宋体"/>
                <w:sz w:val="18"/>
                <w:szCs w:val="18"/>
              </w:rPr>
            </w:pPr>
          </w:p>
        </w:tc>
        <w:tc>
          <w:tcPr>
            <w:tcW w:w="708" w:type="dxa"/>
            <w:vMerge w:val="continue"/>
            <w:vAlign w:val="center"/>
          </w:tcPr>
          <w:p>
            <w:pPr>
              <w:spacing w:line="240" w:lineRule="auto"/>
              <w:ind w:firstLine="0" w:firstLineChars="0"/>
              <w:jc w:val="center"/>
              <w:rPr>
                <w:rFonts w:ascii="宋体" w:hAnsi="宋体"/>
                <w:sz w:val="18"/>
                <w:szCs w:val="18"/>
              </w:rPr>
            </w:pPr>
          </w:p>
        </w:tc>
        <w:tc>
          <w:tcPr>
            <w:tcW w:w="1567" w:type="dxa"/>
            <w:vMerge w:val="restart"/>
            <w:vAlign w:val="center"/>
          </w:tcPr>
          <w:p>
            <w:pPr>
              <w:spacing w:line="240" w:lineRule="auto"/>
              <w:ind w:firstLine="0" w:firstLineChars="0"/>
              <w:jc w:val="center"/>
              <w:rPr>
                <w:rFonts w:ascii="宋体" w:hAnsi="宋体"/>
                <w:sz w:val="18"/>
                <w:szCs w:val="18"/>
              </w:rPr>
            </w:pPr>
            <w:r>
              <w:rPr>
                <w:rFonts w:hint="eastAsia" w:ascii="宋体" w:hAnsi="宋体"/>
                <w:sz w:val="18"/>
                <w:szCs w:val="18"/>
              </w:rPr>
              <w:t>朱阳九峰景区</w:t>
            </w:r>
          </w:p>
        </w:tc>
        <w:tc>
          <w:tcPr>
            <w:tcW w:w="2978"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好汉山庄</w:t>
            </w:r>
          </w:p>
        </w:tc>
        <w:tc>
          <w:tcPr>
            <w:tcW w:w="993" w:type="dxa"/>
            <w:vAlign w:val="center"/>
          </w:tcPr>
          <w:p>
            <w:pPr>
              <w:spacing w:line="240" w:lineRule="auto"/>
              <w:ind w:firstLine="0" w:firstLineChars="0"/>
              <w:jc w:val="center"/>
              <w:rPr>
                <w:rFonts w:ascii="宋体" w:hAnsi="宋体"/>
                <w:sz w:val="18"/>
                <w:szCs w:val="18"/>
              </w:rPr>
            </w:pPr>
            <w:r>
              <w:rPr>
                <w:rFonts w:ascii="宋体" w:hAnsi="宋体"/>
                <w:sz w:val="18"/>
                <w:szCs w:val="18"/>
              </w:rPr>
              <w:t>-</w:t>
            </w:r>
          </w:p>
        </w:tc>
        <w:tc>
          <w:tcPr>
            <w:tcW w:w="1357"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pacing w:line="240" w:lineRule="auto"/>
              <w:ind w:firstLine="0" w:firstLineChars="0"/>
              <w:jc w:val="center"/>
              <w:rPr>
                <w:rFonts w:ascii="宋体" w:hAnsi="宋体"/>
                <w:sz w:val="18"/>
                <w:szCs w:val="18"/>
              </w:rPr>
            </w:pPr>
          </w:p>
        </w:tc>
        <w:tc>
          <w:tcPr>
            <w:tcW w:w="708" w:type="dxa"/>
            <w:vMerge w:val="continue"/>
            <w:vAlign w:val="center"/>
          </w:tcPr>
          <w:p>
            <w:pPr>
              <w:spacing w:line="240" w:lineRule="auto"/>
              <w:ind w:firstLine="0" w:firstLineChars="0"/>
              <w:jc w:val="center"/>
              <w:rPr>
                <w:rFonts w:ascii="宋体" w:hAnsi="宋体"/>
                <w:sz w:val="18"/>
                <w:szCs w:val="18"/>
              </w:rPr>
            </w:pPr>
          </w:p>
        </w:tc>
        <w:tc>
          <w:tcPr>
            <w:tcW w:w="1567" w:type="dxa"/>
            <w:vMerge w:val="continue"/>
            <w:vAlign w:val="center"/>
          </w:tcPr>
          <w:p>
            <w:pPr>
              <w:spacing w:line="240" w:lineRule="auto"/>
              <w:ind w:firstLine="0" w:firstLineChars="0"/>
              <w:jc w:val="center"/>
              <w:rPr>
                <w:rFonts w:ascii="宋体" w:hAnsi="宋体"/>
                <w:sz w:val="18"/>
                <w:szCs w:val="18"/>
              </w:rPr>
            </w:pPr>
          </w:p>
        </w:tc>
        <w:tc>
          <w:tcPr>
            <w:tcW w:w="2978"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朱山</w:t>
            </w:r>
          </w:p>
        </w:tc>
        <w:tc>
          <w:tcPr>
            <w:tcW w:w="993"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w:t>
            </w:r>
          </w:p>
        </w:tc>
        <w:tc>
          <w:tcPr>
            <w:tcW w:w="1357"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pacing w:line="240" w:lineRule="auto"/>
              <w:ind w:firstLine="0" w:firstLineChars="0"/>
              <w:jc w:val="center"/>
              <w:rPr>
                <w:rFonts w:ascii="宋体" w:hAnsi="宋体"/>
                <w:sz w:val="18"/>
                <w:szCs w:val="18"/>
              </w:rPr>
            </w:pPr>
          </w:p>
        </w:tc>
        <w:tc>
          <w:tcPr>
            <w:tcW w:w="708" w:type="dxa"/>
            <w:vMerge w:val="continue"/>
            <w:vAlign w:val="center"/>
          </w:tcPr>
          <w:p>
            <w:pPr>
              <w:spacing w:line="240" w:lineRule="auto"/>
              <w:ind w:firstLine="0" w:firstLineChars="0"/>
              <w:jc w:val="center"/>
              <w:rPr>
                <w:rFonts w:ascii="宋体" w:hAnsi="宋体"/>
                <w:sz w:val="18"/>
                <w:szCs w:val="18"/>
              </w:rPr>
            </w:pPr>
          </w:p>
        </w:tc>
        <w:tc>
          <w:tcPr>
            <w:tcW w:w="1567"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龙麒源景区</w:t>
            </w:r>
          </w:p>
        </w:tc>
        <w:tc>
          <w:tcPr>
            <w:tcW w:w="2978"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龙麒源</w:t>
            </w:r>
          </w:p>
        </w:tc>
        <w:tc>
          <w:tcPr>
            <w:tcW w:w="993"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2%</w:t>
            </w:r>
          </w:p>
        </w:tc>
        <w:tc>
          <w:tcPr>
            <w:tcW w:w="1357"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pacing w:line="240" w:lineRule="auto"/>
              <w:ind w:firstLine="0" w:firstLineChars="0"/>
              <w:jc w:val="center"/>
              <w:rPr>
                <w:rFonts w:ascii="宋体" w:hAnsi="宋体"/>
                <w:sz w:val="18"/>
                <w:szCs w:val="18"/>
              </w:rPr>
            </w:pPr>
          </w:p>
        </w:tc>
        <w:tc>
          <w:tcPr>
            <w:tcW w:w="708" w:type="dxa"/>
            <w:vMerge w:val="continue"/>
            <w:vAlign w:val="center"/>
          </w:tcPr>
          <w:p>
            <w:pPr>
              <w:spacing w:line="240" w:lineRule="auto"/>
              <w:ind w:firstLine="0" w:firstLineChars="0"/>
              <w:jc w:val="center"/>
              <w:rPr>
                <w:rFonts w:ascii="宋体" w:hAnsi="宋体"/>
                <w:sz w:val="18"/>
                <w:szCs w:val="18"/>
              </w:rPr>
            </w:pPr>
          </w:p>
        </w:tc>
        <w:tc>
          <w:tcPr>
            <w:tcW w:w="1567" w:type="dxa"/>
            <w:vMerge w:val="restart"/>
            <w:vAlign w:val="center"/>
          </w:tcPr>
          <w:p>
            <w:pPr>
              <w:spacing w:line="240" w:lineRule="auto"/>
              <w:ind w:firstLine="0" w:firstLineChars="0"/>
              <w:jc w:val="center"/>
              <w:rPr>
                <w:rFonts w:ascii="宋体" w:hAnsi="宋体"/>
                <w:sz w:val="18"/>
                <w:szCs w:val="18"/>
              </w:rPr>
            </w:pPr>
            <w:r>
              <w:rPr>
                <w:rFonts w:hint="eastAsia" w:ascii="宋体" w:hAnsi="宋体"/>
                <w:sz w:val="18"/>
                <w:szCs w:val="18"/>
              </w:rPr>
              <w:t>石垟景区</w:t>
            </w:r>
          </w:p>
        </w:tc>
        <w:tc>
          <w:tcPr>
            <w:tcW w:w="2978"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月老山</w:t>
            </w:r>
          </w:p>
        </w:tc>
        <w:tc>
          <w:tcPr>
            <w:tcW w:w="993" w:type="dxa"/>
            <w:vAlign w:val="center"/>
          </w:tcPr>
          <w:p>
            <w:pPr>
              <w:spacing w:line="240" w:lineRule="auto"/>
              <w:ind w:firstLine="0" w:firstLineChars="0"/>
              <w:jc w:val="center"/>
              <w:rPr>
                <w:rFonts w:ascii="宋体" w:hAnsi="宋体"/>
                <w:sz w:val="18"/>
                <w:szCs w:val="18"/>
              </w:rPr>
            </w:pPr>
            <w:r>
              <w:rPr>
                <w:rFonts w:ascii="宋体" w:hAnsi="宋体"/>
                <w:sz w:val="18"/>
                <w:szCs w:val="18"/>
              </w:rPr>
              <w:t>0.5</w:t>
            </w:r>
            <w:r>
              <w:rPr>
                <w:rFonts w:hint="eastAsia" w:ascii="宋体" w:hAnsi="宋体"/>
                <w:sz w:val="18"/>
                <w:szCs w:val="18"/>
              </w:rPr>
              <w:t>%</w:t>
            </w:r>
          </w:p>
        </w:tc>
        <w:tc>
          <w:tcPr>
            <w:tcW w:w="1357" w:type="dxa"/>
            <w:vAlign w:val="center"/>
          </w:tcPr>
          <w:p>
            <w:pPr>
              <w:spacing w:line="240" w:lineRule="auto"/>
              <w:ind w:firstLine="0" w:firstLineChars="0"/>
              <w:jc w:val="center"/>
              <w:rPr>
                <w:rFonts w:ascii="宋体" w:hAnsi="宋体"/>
                <w:sz w:val="18"/>
                <w:szCs w:val="18"/>
              </w:rPr>
            </w:pPr>
            <w:r>
              <w:rPr>
                <w:rFonts w:ascii="宋体" w:hAnsi="宋体"/>
                <w:sz w:val="18"/>
                <w:szCs w:val="18"/>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pacing w:line="240" w:lineRule="auto"/>
              <w:ind w:firstLine="0" w:firstLineChars="0"/>
              <w:jc w:val="center"/>
              <w:rPr>
                <w:rFonts w:ascii="宋体" w:hAnsi="宋体"/>
                <w:sz w:val="18"/>
                <w:szCs w:val="18"/>
              </w:rPr>
            </w:pPr>
          </w:p>
        </w:tc>
        <w:tc>
          <w:tcPr>
            <w:tcW w:w="708" w:type="dxa"/>
            <w:vMerge w:val="continue"/>
            <w:vAlign w:val="center"/>
          </w:tcPr>
          <w:p>
            <w:pPr>
              <w:spacing w:line="240" w:lineRule="auto"/>
              <w:ind w:firstLine="0" w:firstLineChars="0"/>
              <w:jc w:val="center"/>
              <w:rPr>
                <w:rFonts w:ascii="宋体" w:hAnsi="宋体"/>
                <w:sz w:val="18"/>
                <w:szCs w:val="18"/>
              </w:rPr>
            </w:pPr>
          </w:p>
        </w:tc>
        <w:tc>
          <w:tcPr>
            <w:tcW w:w="1567" w:type="dxa"/>
            <w:vMerge w:val="continue"/>
            <w:vAlign w:val="center"/>
          </w:tcPr>
          <w:p>
            <w:pPr>
              <w:spacing w:line="240" w:lineRule="auto"/>
              <w:ind w:firstLine="0" w:firstLineChars="0"/>
              <w:jc w:val="center"/>
              <w:rPr>
                <w:rFonts w:ascii="宋体" w:hAnsi="宋体"/>
                <w:sz w:val="18"/>
                <w:szCs w:val="18"/>
              </w:rPr>
            </w:pPr>
          </w:p>
        </w:tc>
        <w:tc>
          <w:tcPr>
            <w:tcW w:w="2978"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猴王谷</w:t>
            </w:r>
          </w:p>
        </w:tc>
        <w:tc>
          <w:tcPr>
            <w:tcW w:w="993"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w:t>
            </w:r>
          </w:p>
        </w:tc>
        <w:tc>
          <w:tcPr>
            <w:tcW w:w="1357"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pacing w:line="240" w:lineRule="auto"/>
              <w:ind w:firstLine="0" w:firstLineChars="0"/>
              <w:jc w:val="center"/>
              <w:rPr>
                <w:rFonts w:ascii="宋体" w:hAnsi="宋体"/>
                <w:sz w:val="18"/>
                <w:szCs w:val="18"/>
              </w:rPr>
            </w:pPr>
          </w:p>
        </w:tc>
        <w:tc>
          <w:tcPr>
            <w:tcW w:w="708" w:type="dxa"/>
            <w:vMerge w:val="continue"/>
            <w:vAlign w:val="center"/>
          </w:tcPr>
          <w:p>
            <w:pPr>
              <w:spacing w:line="240" w:lineRule="auto"/>
              <w:ind w:firstLine="0" w:firstLineChars="0"/>
              <w:jc w:val="center"/>
              <w:rPr>
                <w:rFonts w:ascii="宋体" w:hAnsi="宋体"/>
                <w:sz w:val="18"/>
                <w:szCs w:val="18"/>
              </w:rPr>
            </w:pPr>
          </w:p>
        </w:tc>
        <w:tc>
          <w:tcPr>
            <w:tcW w:w="1567"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岩门大峡谷景区</w:t>
            </w:r>
          </w:p>
        </w:tc>
        <w:tc>
          <w:tcPr>
            <w:tcW w:w="2978"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三板桥</w:t>
            </w:r>
          </w:p>
        </w:tc>
        <w:tc>
          <w:tcPr>
            <w:tcW w:w="993"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w:t>
            </w:r>
          </w:p>
        </w:tc>
        <w:tc>
          <w:tcPr>
            <w:tcW w:w="1357"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pacing w:line="240" w:lineRule="auto"/>
              <w:ind w:firstLine="0" w:firstLineChars="0"/>
              <w:jc w:val="center"/>
              <w:rPr>
                <w:rFonts w:ascii="宋体" w:hAnsi="宋体"/>
                <w:sz w:val="18"/>
                <w:szCs w:val="18"/>
              </w:rPr>
            </w:pPr>
          </w:p>
        </w:tc>
        <w:tc>
          <w:tcPr>
            <w:tcW w:w="708" w:type="dxa"/>
            <w:vMerge w:val="continue"/>
            <w:vAlign w:val="center"/>
          </w:tcPr>
          <w:p>
            <w:pPr>
              <w:spacing w:line="240" w:lineRule="auto"/>
              <w:ind w:firstLine="0" w:firstLineChars="0"/>
              <w:jc w:val="center"/>
              <w:rPr>
                <w:rFonts w:ascii="宋体" w:hAnsi="宋体"/>
                <w:sz w:val="18"/>
                <w:szCs w:val="18"/>
              </w:rPr>
            </w:pPr>
          </w:p>
        </w:tc>
        <w:tc>
          <w:tcPr>
            <w:tcW w:w="1567" w:type="dxa"/>
            <w:vMerge w:val="restart"/>
            <w:vAlign w:val="center"/>
          </w:tcPr>
          <w:p>
            <w:pPr>
              <w:spacing w:line="240" w:lineRule="auto"/>
              <w:ind w:firstLine="0" w:firstLineChars="0"/>
              <w:jc w:val="center"/>
              <w:rPr>
                <w:rFonts w:ascii="宋体" w:hAnsi="宋体"/>
                <w:sz w:val="18"/>
                <w:szCs w:val="18"/>
              </w:rPr>
            </w:pPr>
            <w:r>
              <w:rPr>
                <w:rFonts w:hint="eastAsia" w:ascii="宋体" w:hAnsi="宋体"/>
                <w:sz w:val="18"/>
                <w:szCs w:val="18"/>
              </w:rPr>
              <w:t>飞云湖景区</w:t>
            </w:r>
          </w:p>
        </w:tc>
        <w:tc>
          <w:tcPr>
            <w:tcW w:w="2978"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前斜</w:t>
            </w:r>
          </w:p>
        </w:tc>
        <w:tc>
          <w:tcPr>
            <w:tcW w:w="993"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w:t>
            </w:r>
          </w:p>
        </w:tc>
        <w:tc>
          <w:tcPr>
            <w:tcW w:w="1357"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pacing w:line="240" w:lineRule="auto"/>
              <w:ind w:firstLine="0" w:firstLineChars="0"/>
              <w:jc w:val="center"/>
              <w:rPr>
                <w:rFonts w:ascii="宋体" w:hAnsi="宋体"/>
                <w:sz w:val="18"/>
                <w:szCs w:val="18"/>
              </w:rPr>
            </w:pPr>
          </w:p>
        </w:tc>
        <w:tc>
          <w:tcPr>
            <w:tcW w:w="708" w:type="dxa"/>
            <w:vMerge w:val="continue"/>
            <w:vAlign w:val="center"/>
          </w:tcPr>
          <w:p>
            <w:pPr>
              <w:spacing w:line="240" w:lineRule="auto"/>
              <w:ind w:firstLine="0" w:firstLineChars="0"/>
              <w:jc w:val="center"/>
              <w:rPr>
                <w:rFonts w:ascii="宋体" w:hAnsi="宋体"/>
                <w:sz w:val="18"/>
                <w:szCs w:val="18"/>
              </w:rPr>
            </w:pPr>
          </w:p>
        </w:tc>
        <w:tc>
          <w:tcPr>
            <w:tcW w:w="1567" w:type="dxa"/>
            <w:vMerge w:val="continue"/>
            <w:vAlign w:val="center"/>
          </w:tcPr>
          <w:p>
            <w:pPr>
              <w:spacing w:line="240" w:lineRule="auto"/>
              <w:ind w:firstLine="0" w:firstLineChars="0"/>
              <w:jc w:val="center"/>
              <w:rPr>
                <w:rFonts w:ascii="宋体" w:hAnsi="宋体"/>
                <w:sz w:val="18"/>
                <w:szCs w:val="18"/>
              </w:rPr>
            </w:pPr>
          </w:p>
        </w:tc>
        <w:tc>
          <w:tcPr>
            <w:tcW w:w="2978"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飞云湖</w:t>
            </w:r>
          </w:p>
        </w:tc>
        <w:tc>
          <w:tcPr>
            <w:tcW w:w="993"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w:t>
            </w:r>
          </w:p>
        </w:tc>
        <w:tc>
          <w:tcPr>
            <w:tcW w:w="1357"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pacing w:line="240" w:lineRule="auto"/>
              <w:ind w:firstLine="0" w:firstLineChars="0"/>
              <w:jc w:val="center"/>
              <w:rPr>
                <w:rFonts w:ascii="宋体" w:hAnsi="宋体"/>
                <w:sz w:val="18"/>
                <w:szCs w:val="18"/>
              </w:rPr>
            </w:pPr>
          </w:p>
        </w:tc>
        <w:tc>
          <w:tcPr>
            <w:tcW w:w="708" w:type="dxa"/>
            <w:vMerge w:val="continue"/>
            <w:vAlign w:val="center"/>
          </w:tcPr>
          <w:p>
            <w:pPr>
              <w:spacing w:line="240" w:lineRule="auto"/>
              <w:ind w:firstLine="0" w:firstLineChars="0"/>
              <w:jc w:val="center"/>
              <w:rPr>
                <w:rFonts w:ascii="宋体" w:hAnsi="宋体"/>
                <w:sz w:val="18"/>
                <w:szCs w:val="18"/>
              </w:rPr>
            </w:pPr>
          </w:p>
        </w:tc>
        <w:tc>
          <w:tcPr>
            <w:tcW w:w="1567" w:type="dxa"/>
            <w:vMerge w:val="restart"/>
            <w:vAlign w:val="center"/>
          </w:tcPr>
          <w:p>
            <w:pPr>
              <w:spacing w:line="240" w:lineRule="auto"/>
              <w:ind w:firstLine="0" w:firstLineChars="0"/>
              <w:jc w:val="center"/>
              <w:rPr>
                <w:rFonts w:ascii="宋体" w:hAnsi="宋体"/>
                <w:sz w:val="18"/>
                <w:szCs w:val="18"/>
              </w:rPr>
            </w:pPr>
            <w:r>
              <w:rPr>
                <w:rFonts w:hint="eastAsia" w:ascii="宋体" w:hAnsi="宋体"/>
                <w:sz w:val="18"/>
                <w:szCs w:val="18"/>
              </w:rPr>
              <w:t>牛栏湾景区</w:t>
            </w:r>
          </w:p>
        </w:tc>
        <w:tc>
          <w:tcPr>
            <w:tcW w:w="2978"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牛栏湾入口</w:t>
            </w:r>
          </w:p>
        </w:tc>
        <w:tc>
          <w:tcPr>
            <w:tcW w:w="993"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w:t>
            </w:r>
          </w:p>
        </w:tc>
        <w:tc>
          <w:tcPr>
            <w:tcW w:w="1357"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954" w:type="dxa"/>
            <w:vMerge w:val="continue"/>
            <w:vAlign w:val="center"/>
          </w:tcPr>
          <w:p>
            <w:pPr>
              <w:spacing w:line="240" w:lineRule="auto"/>
              <w:ind w:firstLine="0" w:firstLineChars="0"/>
              <w:jc w:val="center"/>
              <w:rPr>
                <w:rFonts w:ascii="宋体" w:hAnsi="宋体"/>
                <w:sz w:val="18"/>
                <w:szCs w:val="18"/>
              </w:rPr>
            </w:pPr>
          </w:p>
        </w:tc>
        <w:tc>
          <w:tcPr>
            <w:tcW w:w="708" w:type="dxa"/>
            <w:vMerge w:val="continue"/>
            <w:vAlign w:val="center"/>
          </w:tcPr>
          <w:p>
            <w:pPr>
              <w:spacing w:line="240" w:lineRule="auto"/>
              <w:ind w:firstLine="0" w:firstLineChars="0"/>
              <w:jc w:val="center"/>
              <w:rPr>
                <w:rFonts w:ascii="宋体" w:hAnsi="宋体"/>
                <w:sz w:val="18"/>
                <w:szCs w:val="18"/>
              </w:rPr>
            </w:pPr>
          </w:p>
        </w:tc>
        <w:tc>
          <w:tcPr>
            <w:tcW w:w="1567" w:type="dxa"/>
            <w:vMerge w:val="continue"/>
            <w:vAlign w:val="center"/>
          </w:tcPr>
          <w:p>
            <w:pPr>
              <w:spacing w:line="240" w:lineRule="auto"/>
              <w:ind w:firstLine="0" w:firstLineChars="0"/>
              <w:jc w:val="center"/>
              <w:rPr>
                <w:rFonts w:ascii="宋体" w:hAnsi="宋体"/>
                <w:sz w:val="18"/>
                <w:szCs w:val="18"/>
              </w:rPr>
            </w:pPr>
          </w:p>
        </w:tc>
        <w:tc>
          <w:tcPr>
            <w:tcW w:w="2978"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牛栏湾次入口</w:t>
            </w:r>
          </w:p>
        </w:tc>
        <w:tc>
          <w:tcPr>
            <w:tcW w:w="993"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w:t>
            </w:r>
          </w:p>
        </w:tc>
        <w:tc>
          <w:tcPr>
            <w:tcW w:w="1357"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w:t>
            </w:r>
          </w:p>
        </w:tc>
      </w:tr>
    </w:tbl>
    <w:p>
      <w:pPr>
        <w:adjustRightInd w:val="0"/>
        <w:ind w:firstLine="0" w:firstLineChars="0"/>
        <w:rPr>
          <w:rFonts w:ascii="宋体" w:hAnsi="宋体" w:cs="宋体"/>
          <w:sz w:val="18"/>
          <w:szCs w:val="18"/>
        </w:rPr>
      </w:pPr>
      <w:bookmarkStart w:id="49" w:name="_Hlk177676107"/>
      <w:r>
        <w:rPr>
          <w:rFonts w:hint="eastAsia" w:ascii="宋体" w:hAnsi="宋体" w:cs="宋体"/>
          <w:sz w:val="18"/>
          <w:szCs w:val="18"/>
        </w:rPr>
        <w:t>注：表格中的床位数不包括村民利用自用住宅经营的民宿床位。</w:t>
      </w:r>
    </w:p>
    <w:bookmarkEnd w:id="49"/>
    <w:p>
      <w:pPr>
        <w:pStyle w:val="3"/>
        <w:spacing w:before="312"/>
      </w:pPr>
      <w:bookmarkStart w:id="50" w:name="_Toc176456013"/>
      <w:bookmarkStart w:id="51" w:name="_Toc279442874"/>
      <w:bookmarkStart w:id="52" w:name="_Toc370992487"/>
      <w:r>
        <w:rPr>
          <w:rFonts w:hint="eastAsia"/>
        </w:rPr>
        <w:t>三、基础工程规划</w:t>
      </w:r>
      <w:bookmarkEnd w:id="50"/>
    </w:p>
    <w:p>
      <w:pPr>
        <w:pStyle w:val="4"/>
        <w:spacing w:before="156"/>
        <w:ind w:firstLine="360"/>
      </w:pPr>
      <w:r>
        <w:rPr>
          <w:rFonts w:hint="eastAsia"/>
        </w:rPr>
        <w:t>（一）给水工程规划</w:t>
      </w:r>
    </w:p>
    <w:p>
      <w:pPr>
        <w:spacing w:before="72" w:after="93" w:afterLines="30"/>
        <w:ind w:firstLine="482"/>
        <w:rPr>
          <w:b/>
          <w:color w:val="000000"/>
        </w:rPr>
      </w:pPr>
      <w:r>
        <w:rPr>
          <w:b/>
          <w:color w:val="000000"/>
        </w:rPr>
        <w:t>1</w:t>
      </w:r>
      <w:r>
        <w:rPr>
          <w:rFonts w:hint="eastAsia"/>
          <w:b/>
          <w:color w:val="000000"/>
        </w:rPr>
        <w:t>、现状概况</w:t>
      </w:r>
    </w:p>
    <w:p>
      <w:pPr>
        <w:ind w:firstLine="480"/>
        <w:rPr>
          <w:rFonts w:ascii="宋体" w:hAnsi="宋体"/>
          <w:bCs/>
          <w:szCs w:val="21"/>
        </w:rPr>
      </w:pPr>
      <w:r>
        <w:rPr>
          <w:rFonts w:hint="eastAsia" w:ascii="宋体" w:hAnsi="宋体"/>
          <w:bCs/>
          <w:szCs w:val="21"/>
        </w:rPr>
        <w:t>由于景区面积大，景区内的各个景点较为分散，整个景区目前尚无统一的供水管网。但是整个景区的水资源丰富，众多水库属于饮用水源地，景区内及景区周边的各镇区建有镇自来水厂；分散的村庄以及其他服务点以自建给水设施为主，供水水源主要来自山塘、山溪。</w:t>
      </w:r>
    </w:p>
    <w:p>
      <w:pPr>
        <w:spacing w:before="72" w:after="93" w:afterLines="30"/>
        <w:ind w:firstLine="482"/>
        <w:rPr>
          <w:b/>
          <w:color w:val="000000"/>
        </w:rPr>
      </w:pPr>
      <w:r>
        <w:rPr>
          <w:rFonts w:hint="eastAsia"/>
          <w:b/>
          <w:color w:val="000000"/>
        </w:rPr>
        <w:t>2、用水量预测</w:t>
      </w:r>
    </w:p>
    <w:p>
      <w:pPr>
        <w:ind w:firstLine="480"/>
        <w:rPr>
          <w:rFonts w:ascii="宋体" w:hAnsi="宋体"/>
          <w:b/>
          <w:sz w:val="21"/>
        </w:rPr>
      </w:pPr>
      <w:r>
        <w:rPr>
          <w:rFonts w:hint="eastAsia" w:cs="宋体"/>
        </w:rPr>
        <w:t>风景区内规划居民总人口约14159人，</w:t>
      </w:r>
      <w:r>
        <w:rPr>
          <w:rFonts w:hint="eastAsia" w:ascii="宋体" w:hAnsi="宋体"/>
          <w:bCs/>
          <w:szCs w:val="21"/>
        </w:rPr>
        <w:t>景区内的规划床位数为</w:t>
      </w:r>
      <w:r>
        <w:rPr>
          <w:rFonts w:ascii="宋体" w:hAnsi="宋体"/>
          <w:bCs/>
          <w:szCs w:val="21"/>
        </w:rPr>
        <w:t>2076</w:t>
      </w:r>
      <w:r>
        <w:rPr>
          <w:rFonts w:hint="eastAsia" w:ascii="宋体" w:hAnsi="宋体"/>
          <w:bCs/>
          <w:szCs w:val="21"/>
        </w:rPr>
        <w:t>床，本风景区的最高日游客量按文成县规划远期高峰期游人量4</w:t>
      </w:r>
      <w:r>
        <w:rPr>
          <w:rFonts w:ascii="宋体" w:hAnsi="宋体"/>
          <w:bCs/>
          <w:szCs w:val="21"/>
        </w:rPr>
        <w:t>64</w:t>
      </w:r>
      <w:r>
        <w:rPr>
          <w:rFonts w:hint="eastAsia" w:ascii="宋体" w:hAnsi="宋体"/>
          <w:bCs/>
          <w:szCs w:val="21"/>
        </w:rPr>
        <w:t>00人的</w:t>
      </w:r>
      <w:r>
        <w:rPr>
          <w:rFonts w:ascii="宋体" w:hAnsi="宋体"/>
          <w:bCs/>
          <w:szCs w:val="21"/>
        </w:rPr>
        <w:t>80</w:t>
      </w:r>
      <w:r>
        <w:rPr>
          <w:rFonts w:hint="eastAsia" w:ascii="宋体" w:hAnsi="宋体"/>
          <w:bCs/>
          <w:szCs w:val="21"/>
        </w:rPr>
        <w:t>%计算，用水量采用人均用水指标法计算，计算可得本风景区的规划最高日总用水量约为</w:t>
      </w:r>
      <w:r>
        <w:rPr>
          <w:rFonts w:ascii="宋体" w:hAnsi="宋体"/>
          <w:bCs/>
          <w:szCs w:val="21"/>
        </w:rPr>
        <w:t>3201</w:t>
      </w:r>
      <w:r>
        <w:rPr>
          <w:rFonts w:hint="eastAsia" w:ascii="宋体" w:hAnsi="宋体"/>
          <w:bCs/>
          <w:szCs w:val="21"/>
        </w:rPr>
        <w:t>m</w:t>
      </w:r>
      <w:r>
        <w:rPr>
          <w:rFonts w:hint="eastAsia" w:ascii="宋体" w:hAnsi="宋体"/>
          <w:bCs/>
          <w:szCs w:val="21"/>
          <w:vertAlign w:val="superscript"/>
        </w:rPr>
        <w:t>3</w:t>
      </w:r>
      <w:r>
        <w:rPr>
          <w:rFonts w:hint="eastAsia" w:ascii="宋体" w:hAnsi="宋体"/>
          <w:bCs/>
          <w:szCs w:val="21"/>
        </w:rPr>
        <w:t>/d。</w:t>
      </w:r>
    </w:p>
    <w:p>
      <w:pPr>
        <w:adjustRightInd w:val="0"/>
        <w:spacing w:line="400" w:lineRule="exact"/>
        <w:ind w:firstLine="422"/>
        <w:jc w:val="center"/>
        <w:rPr>
          <w:sz w:val="21"/>
        </w:rPr>
      </w:pPr>
      <w:r>
        <w:rPr>
          <w:rFonts w:hint="eastAsia" w:ascii="宋体" w:hAnsi="宋体"/>
          <w:b/>
          <w:sz w:val="21"/>
        </w:rPr>
        <w:t>表4</w:t>
      </w:r>
      <w:r>
        <w:rPr>
          <w:rFonts w:ascii="宋体" w:hAnsi="宋体"/>
          <w:b/>
          <w:sz w:val="21"/>
        </w:rPr>
        <w:t xml:space="preserve">-12 </w:t>
      </w:r>
      <w:r>
        <w:rPr>
          <w:rFonts w:hint="eastAsia" w:ascii="宋体" w:hAnsi="宋体"/>
          <w:b/>
          <w:sz w:val="21"/>
        </w:rPr>
        <w:t>用水量预测表</w:t>
      </w:r>
    </w:p>
    <w:tbl>
      <w:tblPr>
        <w:tblStyle w:val="42"/>
        <w:tblW w:w="8804" w:type="dxa"/>
        <w:tblInd w:w="91" w:type="dxa"/>
        <w:tblLayout w:type="fixed"/>
        <w:tblCellMar>
          <w:top w:w="0" w:type="dxa"/>
          <w:left w:w="108" w:type="dxa"/>
          <w:bottom w:w="0" w:type="dxa"/>
          <w:right w:w="108" w:type="dxa"/>
        </w:tblCellMar>
      </w:tblPr>
      <w:tblGrid>
        <w:gridCol w:w="2283"/>
        <w:gridCol w:w="1843"/>
        <w:gridCol w:w="2268"/>
        <w:gridCol w:w="2410"/>
      </w:tblGrid>
      <w:tr>
        <w:tblPrEx>
          <w:tblLayout w:type="fixed"/>
          <w:tblCellMar>
            <w:top w:w="0" w:type="dxa"/>
            <w:left w:w="108" w:type="dxa"/>
            <w:bottom w:w="0" w:type="dxa"/>
            <w:right w:w="108" w:type="dxa"/>
          </w:tblCellMar>
        </w:tblPrEx>
        <w:trPr>
          <w:trHeight w:val="420" w:hRule="atLeast"/>
          <w:tblHeader/>
        </w:trPr>
        <w:tc>
          <w:tcPr>
            <w:tcW w:w="2283" w:type="dxa"/>
            <w:tcBorders>
              <w:top w:val="single" w:color="auto" w:sz="4" w:space="0"/>
              <w:left w:val="single" w:color="auto" w:sz="4" w:space="0"/>
              <w:bottom w:val="single" w:color="auto" w:sz="4" w:space="0"/>
              <w:right w:val="single" w:color="auto" w:sz="4" w:space="0"/>
            </w:tcBorders>
            <w:shd w:val="clear" w:color="auto" w:fill="E2E2E2"/>
            <w:vAlign w:val="center"/>
          </w:tcPr>
          <w:p>
            <w:pPr>
              <w:widowControl/>
              <w:spacing w:line="240" w:lineRule="auto"/>
              <w:ind w:firstLine="0" w:firstLineChars="0"/>
              <w:jc w:val="center"/>
              <w:rPr>
                <w:rFonts w:cs="宋体" w:asciiTheme="minorEastAsia" w:hAnsiTheme="minorEastAsia" w:eastAsiaTheme="minorEastAsia"/>
                <w:b/>
                <w:color w:val="000000"/>
                <w:kern w:val="0"/>
                <w:sz w:val="18"/>
                <w:szCs w:val="18"/>
              </w:rPr>
            </w:pPr>
            <w:r>
              <w:rPr>
                <w:rFonts w:hint="eastAsia" w:cs="宋体" w:asciiTheme="minorEastAsia" w:hAnsiTheme="minorEastAsia" w:eastAsiaTheme="minorEastAsia"/>
                <w:b/>
                <w:color w:val="000000"/>
                <w:kern w:val="0"/>
                <w:sz w:val="18"/>
                <w:szCs w:val="18"/>
              </w:rPr>
              <w:t>人口类别</w:t>
            </w:r>
          </w:p>
        </w:tc>
        <w:tc>
          <w:tcPr>
            <w:tcW w:w="1843" w:type="dxa"/>
            <w:tcBorders>
              <w:top w:val="single" w:color="auto" w:sz="4" w:space="0"/>
              <w:left w:val="nil"/>
              <w:bottom w:val="single" w:color="auto" w:sz="4" w:space="0"/>
              <w:right w:val="single" w:color="auto" w:sz="4" w:space="0"/>
            </w:tcBorders>
            <w:shd w:val="clear" w:color="auto" w:fill="E2E2E2"/>
            <w:vAlign w:val="center"/>
          </w:tcPr>
          <w:p>
            <w:pPr>
              <w:widowControl/>
              <w:spacing w:line="240" w:lineRule="auto"/>
              <w:ind w:firstLine="0" w:firstLineChars="0"/>
              <w:jc w:val="center"/>
              <w:rPr>
                <w:rFonts w:cs="宋体" w:asciiTheme="minorEastAsia" w:hAnsiTheme="minorEastAsia" w:eastAsiaTheme="minorEastAsia"/>
                <w:b/>
                <w:kern w:val="0"/>
                <w:sz w:val="18"/>
                <w:szCs w:val="18"/>
              </w:rPr>
            </w:pPr>
            <w:r>
              <w:rPr>
                <w:rFonts w:hint="eastAsia" w:cs="宋体" w:asciiTheme="minorEastAsia" w:hAnsiTheme="minorEastAsia" w:eastAsiaTheme="minorEastAsia"/>
                <w:b/>
                <w:kern w:val="0"/>
                <w:sz w:val="18"/>
                <w:szCs w:val="18"/>
              </w:rPr>
              <w:t>规划人数（人）</w:t>
            </w:r>
          </w:p>
        </w:tc>
        <w:tc>
          <w:tcPr>
            <w:tcW w:w="2268" w:type="dxa"/>
            <w:tcBorders>
              <w:top w:val="single" w:color="auto" w:sz="4" w:space="0"/>
              <w:left w:val="nil"/>
              <w:bottom w:val="single" w:color="auto" w:sz="4" w:space="0"/>
              <w:right w:val="single" w:color="auto" w:sz="4" w:space="0"/>
            </w:tcBorders>
            <w:shd w:val="clear" w:color="auto" w:fill="E2E2E2"/>
            <w:vAlign w:val="center"/>
          </w:tcPr>
          <w:p>
            <w:pPr>
              <w:widowControl/>
              <w:spacing w:line="240" w:lineRule="auto"/>
              <w:ind w:firstLine="0" w:firstLineChars="0"/>
              <w:jc w:val="center"/>
              <w:rPr>
                <w:rFonts w:cs="宋体" w:asciiTheme="minorEastAsia" w:hAnsiTheme="minorEastAsia" w:eastAsiaTheme="minorEastAsia"/>
                <w:b/>
                <w:kern w:val="0"/>
                <w:sz w:val="18"/>
                <w:szCs w:val="18"/>
              </w:rPr>
            </w:pPr>
            <w:r>
              <w:rPr>
                <w:rFonts w:hint="eastAsia" w:cs="宋体" w:asciiTheme="minorEastAsia" w:hAnsiTheme="minorEastAsia" w:eastAsiaTheme="minorEastAsia"/>
                <w:b/>
                <w:kern w:val="0"/>
                <w:sz w:val="18"/>
                <w:szCs w:val="18"/>
              </w:rPr>
              <w:t>用水指标(L/人·d)</w:t>
            </w:r>
          </w:p>
        </w:tc>
        <w:tc>
          <w:tcPr>
            <w:tcW w:w="2410" w:type="dxa"/>
            <w:tcBorders>
              <w:top w:val="single" w:color="auto" w:sz="4" w:space="0"/>
              <w:left w:val="nil"/>
              <w:bottom w:val="single" w:color="auto" w:sz="4" w:space="0"/>
              <w:right w:val="single" w:color="auto" w:sz="4" w:space="0"/>
            </w:tcBorders>
            <w:shd w:val="clear" w:color="auto" w:fill="E2E2E2"/>
            <w:vAlign w:val="center"/>
          </w:tcPr>
          <w:p>
            <w:pPr>
              <w:widowControl/>
              <w:spacing w:line="240" w:lineRule="auto"/>
              <w:ind w:firstLine="0" w:firstLineChars="0"/>
              <w:jc w:val="center"/>
              <w:rPr>
                <w:rFonts w:cs="宋体" w:asciiTheme="minorEastAsia" w:hAnsiTheme="minorEastAsia" w:eastAsiaTheme="minorEastAsia"/>
                <w:b/>
                <w:color w:val="000000"/>
                <w:kern w:val="0"/>
                <w:sz w:val="18"/>
                <w:szCs w:val="18"/>
              </w:rPr>
            </w:pPr>
            <w:r>
              <w:rPr>
                <w:rFonts w:hint="eastAsia" w:cs="宋体" w:asciiTheme="minorEastAsia" w:hAnsiTheme="minorEastAsia" w:eastAsiaTheme="minorEastAsia"/>
                <w:b/>
                <w:color w:val="000000"/>
                <w:kern w:val="0"/>
                <w:sz w:val="18"/>
                <w:szCs w:val="18"/>
              </w:rPr>
              <w:t>最高日用水量（m</w:t>
            </w:r>
            <w:r>
              <w:rPr>
                <w:rFonts w:hint="eastAsia" w:cs="宋体" w:asciiTheme="minorEastAsia" w:hAnsiTheme="minorEastAsia" w:eastAsiaTheme="minorEastAsia"/>
                <w:b/>
                <w:color w:val="000000"/>
                <w:kern w:val="0"/>
                <w:sz w:val="18"/>
                <w:szCs w:val="18"/>
                <w:vertAlign w:val="superscript"/>
              </w:rPr>
              <w:t>3</w:t>
            </w:r>
            <w:r>
              <w:rPr>
                <w:rFonts w:hint="eastAsia" w:cs="宋体" w:asciiTheme="minorEastAsia" w:hAnsiTheme="minorEastAsia" w:eastAsiaTheme="minorEastAsia"/>
                <w:b/>
                <w:color w:val="000000"/>
                <w:kern w:val="0"/>
                <w:sz w:val="18"/>
                <w:szCs w:val="18"/>
              </w:rPr>
              <w:t>/d）</w:t>
            </w:r>
          </w:p>
        </w:tc>
      </w:tr>
      <w:tr>
        <w:tblPrEx>
          <w:tblLayout w:type="fixed"/>
          <w:tblCellMar>
            <w:top w:w="0" w:type="dxa"/>
            <w:left w:w="108" w:type="dxa"/>
            <w:bottom w:w="0" w:type="dxa"/>
            <w:right w:w="108" w:type="dxa"/>
          </w:tblCellMar>
        </w:tblPrEx>
        <w:trPr>
          <w:trHeight w:val="291" w:hRule="atLeast"/>
        </w:trPr>
        <w:tc>
          <w:tcPr>
            <w:tcW w:w="2283"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居民</w:t>
            </w:r>
          </w:p>
        </w:tc>
        <w:tc>
          <w:tcPr>
            <w:tcW w:w="184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1</w:t>
            </w:r>
            <w:r>
              <w:rPr>
                <w:rFonts w:cs="宋体" w:asciiTheme="minorEastAsia" w:hAnsiTheme="minorEastAsia" w:eastAsiaTheme="minorEastAsia"/>
                <w:color w:val="000000"/>
                <w:kern w:val="0"/>
                <w:sz w:val="18"/>
                <w:szCs w:val="18"/>
              </w:rPr>
              <w:t>4159</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150</w:t>
            </w:r>
          </w:p>
        </w:tc>
        <w:tc>
          <w:tcPr>
            <w:tcW w:w="241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2123.85</w:t>
            </w:r>
          </w:p>
        </w:tc>
      </w:tr>
      <w:tr>
        <w:tblPrEx>
          <w:tblLayout w:type="fixed"/>
          <w:tblCellMar>
            <w:top w:w="0" w:type="dxa"/>
            <w:left w:w="108" w:type="dxa"/>
            <w:bottom w:w="0" w:type="dxa"/>
            <w:right w:w="108" w:type="dxa"/>
          </w:tblCellMar>
        </w:tblPrEx>
        <w:trPr>
          <w:trHeight w:val="291" w:hRule="atLeast"/>
        </w:trPr>
        <w:tc>
          <w:tcPr>
            <w:tcW w:w="2283"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散客</w:t>
            </w:r>
          </w:p>
        </w:tc>
        <w:tc>
          <w:tcPr>
            <w:tcW w:w="184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37120</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10</w:t>
            </w:r>
          </w:p>
        </w:tc>
        <w:tc>
          <w:tcPr>
            <w:tcW w:w="241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371.2</w:t>
            </w:r>
          </w:p>
        </w:tc>
      </w:tr>
      <w:tr>
        <w:tblPrEx>
          <w:tblLayout w:type="fixed"/>
          <w:tblCellMar>
            <w:top w:w="0" w:type="dxa"/>
            <w:left w:w="108" w:type="dxa"/>
            <w:bottom w:w="0" w:type="dxa"/>
            <w:right w:w="108" w:type="dxa"/>
          </w:tblCellMar>
        </w:tblPrEx>
        <w:trPr>
          <w:trHeight w:val="291" w:hRule="atLeast"/>
        </w:trPr>
        <w:tc>
          <w:tcPr>
            <w:tcW w:w="2283"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住宿游客</w:t>
            </w:r>
          </w:p>
        </w:tc>
        <w:tc>
          <w:tcPr>
            <w:tcW w:w="184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2076</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2</w:t>
            </w:r>
            <w:r>
              <w:rPr>
                <w:rFonts w:hint="eastAsia" w:cs="宋体" w:asciiTheme="minorEastAsia" w:hAnsiTheme="minorEastAsia" w:eastAsiaTheme="minorEastAsia"/>
                <w:color w:val="000000"/>
                <w:kern w:val="0"/>
                <w:sz w:val="18"/>
                <w:szCs w:val="18"/>
              </w:rPr>
              <w:t>00</w:t>
            </w:r>
          </w:p>
        </w:tc>
        <w:tc>
          <w:tcPr>
            <w:tcW w:w="241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415.2</w:t>
            </w:r>
          </w:p>
        </w:tc>
      </w:tr>
      <w:tr>
        <w:tblPrEx>
          <w:tblLayout w:type="fixed"/>
          <w:tblCellMar>
            <w:top w:w="0" w:type="dxa"/>
            <w:left w:w="108" w:type="dxa"/>
            <w:bottom w:w="0" w:type="dxa"/>
            <w:right w:w="108" w:type="dxa"/>
          </w:tblCellMar>
        </w:tblPrEx>
        <w:trPr>
          <w:trHeight w:val="291" w:hRule="atLeast"/>
        </w:trPr>
        <w:tc>
          <w:tcPr>
            <w:tcW w:w="2283"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小计</w:t>
            </w:r>
          </w:p>
        </w:tc>
        <w:tc>
          <w:tcPr>
            <w:tcW w:w="18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w:t>
            </w:r>
          </w:p>
        </w:tc>
        <w:tc>
          <w:tcPr>
            <w:tcW w:w="2268"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w:t>
            </w:r>
          </w:p>
        </w:tc>
        <w:tc>
          <w:tcPr>
            <w:tcW w:w="241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2910.25</w:t>
            </w:r>
          </w:p>
        </w:tc>
      </w:tr>
      <w:tr>
        <w:tblPrEx>
          <w:tblLayout w:type="fixed"/>
          <w:tblCellMar>
            <w:top w:w="0" w:type="dxa"/>
            <w:left w:w="108" w:type="dxa"/>
            <w:bottom w:w="0" w:type="dxa"/>
            <w:right w:w="108" w:type="dxa"/>
          </w:tblCellMar>
        </w:tblPrEx>
        <w:trPr>
          <w:trHeight w:val="291" w:hRule="atLeast"/>
        </w:trPr>
        <w:tc>
          <w:tcPr>
            <w:tcW w:w="2283"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未预见（10%）</w:t>
            </w:r>
          </w:p>
        </w:tc>
        <w:tc>
          <w:tcPr>
            <w:tcW w:w="18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w:t>
            </w:r>
          </w:p>
        </w:tc>
        <w:tc>
          <w:tcPr>
            <w:tcW w:w="2268"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w:t>
            </w:r>
          </w:p>
        </w:tc>
        <w:tc>
          <w:tcPr>
            <w:tcW w:w="241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291.03</w:t>
            </w:r>
          </w:p>
        </w:tc>
      </w:tr>
      <w:tr>
        <w:tblPrEx>
          <w:tblLayout w:type="fixed"/>
          <w:tblCellMar>
            <w:top w:w="0" w:type="dxa"/>
            <w:left w:w="108" w:type="dxa"/>
            <w:bottom w:w="0" w:type="dxa"/>
            <w:right w:w="108" w:type="dxa"/>
          </w:tblCellMar>
        </w:tblPrEx>
        <w:trPr>
          <w:trHeight w:val="291" w:hRule="atLeast"/>
        </w:trPr>
        <w:tc>
          <w:tcPr>
            <w:tcW w:w="2283"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合计</w:t>
            </w:r>
          </w:p>
        </w:tc>
        <w:tc>
          <w:tcPr>
            <w:tcW w:w="1843"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w:t>
            </w:r>
          </w:p>
        </w:tc>
        <w:tc>
          <w:tcPr>
            <w:tcW w:w="2268"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w:t>
            </w:r>
          </w:p>
        </w:tc>
        <w:tc>
          <w:tcPr>
            <w:tcW w:w="241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cs="宋体" w:asciiTheme="minorEastAsia" w:hAnsiTheme="minorEastAsia" w:eastAsiaTheme="minorEastAsia"/>
                <w:color w:val="000000"/>
                <w:kern w:val="0"/>
                <w:sz w:val="18"/>
                <w:szCs w:val="18"/>
              </w:rPr>
              <w:t>3201.28</w:t>
            </w:r>
          </w:p>
        </w:tc>
      </w:tr>
    </w:tbl>
    <w:p>
      <w:pPr>
        <w:spacing w:before="72" w:after="93" w:afterLines="30"/>
        <w:ind w:firstLine="482"/>
        <w:rPr>
          <w:b/>
          <w:color w:val="000000"/>
        </w:rPr>
      </w:pPr>
      <w:r>
        <w:rPr>
          <w:rFonts w:hint="eastAsia"/>
          <w:b/>
          <w:color w:val="000000"/>
        </w:rPr>
        <w:t>3、给水系统规划</w:t>
      </w:r>
    </w:p>
    <w:p>
      <w:pPr>
        <w:spacing w:before="93" w:beforeLines="30"/>
        <w:ind w:firstLine="480"/>
        <w:rPr>
          <w:rFonts w:cs="宋体"/>
        </w:rPr>
      </w:pPr>
      <w:r>
        <w:rPr>
          <w:rFonts w:hint="eastAsia"/>
        </w:rPr>
        <w:t>进一步优化供水格局，强化水安全保障，构建以城市供水县域网为主、乡镇局域供水网为辅、村级供水站为补充的三级供水网，城乡供水网络系统实现县域全覆盖。实施农村供水水源保障及数字化建设工程，完善风景区内各村庄及旅游服务基地的供水设施，到2</w:t>
      </w:r>
      <w:r>
        <w:t>035</w:t>
      </w:r>
      <w:r>
        <w:rPr>
          <w:rFonts w:hint="eastAsia"/>
        </w:rPr>
        <w:t>年实现农村自来水普及率1</w:t>
      </w:r>
      <w:r>
        <w:t>00</w:t>
      </w:r>
      <w:r>
        <w:rPr>
          <w:rFonts w:hint="eastAsia"/>
        </w:rPr>
        <w:t>%</w:t>
      </w:r>
      <w:r>
        <w:rPr>
          <w:rFonts w:hint="eastAsia" w:cs="宋体"/>
        </w:rPr>
        <w:t>。风景区内外设置游览服务设施（住宿、餐饮等）的旅游城、旅游镇和旅游村，规划给水设施见下表：</w:t>
      </w:r>
    </w:p>
    <w:p>
      <w:pPr>
        <w:spacing w:before="93" w:beforeLines="30" w:line="400" w:lineRule="exact"/>
        <w:ind w:left="360" w:leftChars="150" w:firstLine="422"/>
        <w:jc w:val="center"/>
        <w:rPr>
          <w:rFonts w:cs="宋体"/>
          <w:b/>
          <w:sz w:val="21"/>
        </w:rPr>
      </w:pPr>
      <w:r>
        <w:rPr>
          <w:rFonts w:hint="eastAsia" w:cs="宋体"/>
          <w:b/>
          <w:sz w:val="21"/>
        </w:rPr>
        <w:t>表4</w:t>
      </w:r>
      <w:r>
        <w:rPr>
          <w:rFonts w:cs="宋体"/>
          <w:b/>
          <w:sz w:val="21"/>
        </w:rPr>
        <w:t xml:space="preserve">-13 </w:t>
      </w:r>
      <w:r>
        <w:rPr>
          <w:rFonts w:hint="eastAsia" w:cs="宋体"/>
          <w:b/>
          <w:sz w:val="21"/>
        </w:rPr>
        <w:t>风景区内外旅游城、镇、村给水规划一览表</w:t>
      </w:r>
    </w:p>
    <w:tbl>
      <w:tblPr>
        <w:tblStyle w:val="42"/>
        <w:tblW w:w="8918"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41"/>
        <w:gridCol w:w="1762"/>
        <w:gridCol w:w="2640"/>
        <w:gridCol w:w="337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67" w:hRule="atLeast"/>
        </w:trPr>
        <w:tc>
          <w:tcPr>
            <w:tcW w:w="1141" w:type="dxa"/>
            <w:shd w:val="clear" w:color="auto" w:fill="E2E2E2"/>
            <w:vAlign w:val="center"/>
          </w:tcPr>
          <w:p>
            <w:pPr>
              <w:widowControl/>
              <w:spacing w:line="240" w:lineRule="auto"/>
              <w:ind w:firstLine="0" w:firstLineChars="0"/>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设施级别</w:t>
            </w:r>
          </w:p>
        </w:tc>
        <w:tc>
          <w:tcPr>
            <w:tcW w:w="1762" w:type="dxa"/>
            <w:shd w:val="clear" w:color="auto" w:fill="E2E2E2"/>
            <w:vAlign w:val="center"/>
          </w:tcPr>
          <w:p>
            <w:pPr>
              <w:widowControl/>
              <w:spacing w:line="240" w:lineRule="auto"/>
              <w:ind w:firstLine="0" w:firstLineChars="0"/>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规划位置</w:t>
            </w:r>
          </w:p>
        </w:tc>
        <w:tc>
          <w:tcPr>
            <w:tcW w:w="2640" w:type="dxa"/>
            <w:shd w:val="clear" w:color="auto" w:fill="E2E2E2"/>
            <w:vAlign w:val="center"/>
          </w:tcPr>
          <w:p>
            <w:pPr>
              <w:widowControl/>
              <w:spacing w:line="240" w:lineRule="auto"/>
              <w:ind w:firstLine="0" w:firstLineChars="0"/>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名称</w:t>
            </w:r>
          </w:p>
        </w:tc>
        <w:tc>
          <w:tcPr>
            <w:tcW w:w="3375" w:type="dxa"/>
            <w:shd w:val="clear" w:color="auto" w:fill="E2E2E2"/>
            <w:vAlign w:val="center"/>
          </w:tcPr>
          <w:p>
            <w:pPr>
              <w:widowControl/>
              <w:spacing w:line="240" w:lineRule="auto"/>
              <w:ind w:firstLine="0" w:firstLineChars="0"/>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给水设施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41"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旅游城</w:t>
            </w:r>
          </w:p>
        </w:tc>
        <w:tc>
          <w:tcPr>
            <w:tcW w:w="1762"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风景区外</w:t>
            </w:r>
          </w:p>
        </w:tc>
        <w:tc>
          <w:tcPr>
            <w:tcW w:w="2640"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大峃镇</w:t>
            </w:r>
          </w:p>
        </w:tc>
        <w:tc>
          <w:tcPr>
            <w:tcW w:w="3375" w:type="dxa"/>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文成水厂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41" w:type="dxa"/>
            <w:vMerge w:val="restart"/>
            <w:shd w:val="clear" w:color="auto" w:fill="auto"/>
            <w:vAlign w:val="center"/>
          </w:tcPr>
          <w:p>
            <w:pPr>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旅游镇</w:t>
            </w:r>
          </w:p>
        </w:tc>
        <w:tc>
          <w:tcPr>
            <w:tcW w:w="1762" w:type="dxa"/>
            <w:vMerge w:val="restart"/>
            <w:shd w:val="clear" w:color="auto" w:fill="auto"/>
            <w:vAlign w:val="center"/>
          </w:tcPr>
          <w:p>
            <w:pPr>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风景区外</w:t>
            </w:r>
          </w:p>
        </w:tc>
        <w:tc>
          <w:tcPr>
            <w:tcW w:w="2640"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西坑畲族镇</w:t>
            </w:r>
          </w:p>
        </w:tc>
        <w:tc>
          <w:tcPr>
            <w:tcW w:w="3375" w:type="dxa"/>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西坑水厂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41" w:type="dxa"/>
            <w:vMerge w:val="continue"/>
            <w:shd w:val="clear" w:color="auto" w:fill="auto"/>
            <w:vAlign w:val="center"/>
          </w:tcPr>
          <w:p>
            <w:pPr>
              <w:spacing w:line="240" w:lineRule="auto"/>
              <w:ind w:firstLine="360"/>
              <w:jc w:val="center"/>
              <w:rPr>
                <w:rFonts w:cs="宋体" w:asciiTheme="minorEastAsia" w:hAnsiTheme="minorEastAsia" w:eastAsiaTheme="minorEastAsia"/>
                <w:color w:val="000000"/>
                <w:kern w:val="0"/>
                <w:sz w:val="18"/>
                <w:szCs w:val="18"/>
              </w:rPr>
            </w:pPr>
          </w:p>
        </w:tc>
        <w:tc>
          <w:tcPr>
            <w:tcW w:w="1762" w:type="dxa"/>
            <w:vMerge w:val="continue"/>
            <w:shd w:val="clear" w:color="auto" w:fill="auto"/>
            <w:vAlign w:val="center"/>
          </w:tcPr>
          <w:p>
            <w:pPr>
              <w:spacing w:line="240" w:lineRule="auto"/>
              <w:ind w:firstLine="360"/>
              <w:jc w:val="center"/>
              <w:rPr>
                <w:rFonts w:cs="宋体" w:asciiTheme="minorEastAsia" w:hAnsiTheme="minorEastAsia" w:eastAsiaTheme="minorEastAsia"/>
                <w:color w:val="000000"/>
                <w:kern w:val="0"/>
                <w:sz w:val="18"/>
                <w:szCs w:val="18"/>
              </w:rPr>
            </w:pPr>
          </w:p>
        </w:tc>
        <w:tc>
          <w:tcPr>
            <w:tcW w:w="2640"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珊溪镇</w:t>
            </w:r>
          </w:p>
        </w:tc>
        <w:tc>
          <w:tcPr>
            <w:tcW w:w="3375" w:type="dxa"/>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珊溪水厂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77" w:hRule="atLeast"/>
        </w:trPr>
        <w:tc>
          <w:tcPr>
            <w:tcW w:w="1141" w:type="dxa"/>
            <w:vMerge w:val="continue"/>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1762" w:type="dxa"/>
            <w:vMerge w:val="continue"/>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2640"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百丈漈镇</w:t>
            </w:r>
          </w:p>
        </w:tc>
        <w:tc>
          <w:tcPr>
            <w:tcW w:w="3375" w:type="dxa"/>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百丈漈水厂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trPr>
        <w:tc>
          <w:tcPr>
            <w:tcW w:w="1141"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1762"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2640"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南田镇</w:t>
            </w:r>
          </w:p>
        </w:tc>
        <w:tc>
          <w:tcPr>
            <w:tcW w:w="3375" w:type="dxa"/>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南田水厂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41"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1762"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2640"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黄坦镇</w:t>
            </w:r>
          </w:p>
        </w:tc>
        <w:tc>
          <w:tcPr>
            <w:tcW w:w="3375" w:type="dxa"/>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黄坦水厂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41"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1762"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2640"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玉壶镇</w:t>
            </w:r>
          </w:p>
        </w:tc>
        <w:tc>
          <w:tcPr>
            <w:tcW w:w="3375" w:type="dxa"/>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玉壶水厂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41"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1762" w:type="dxa"/>
            <w:vMerge w:val="continue"/>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2640"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铜铃山镇</w:t>
            </w:r>
          </w:p>
        </w:tc>
        <w:tc>
          <w:tcPr>
            <w:tcW w:w="3375" w:type="dxa"/>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铜铃山镇自来水厂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41" w:type="dxa"/>
            <w:vMerge w:val="restart"/>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旅游村</w:t>
            </w:r>
          </w:p>
        </w:tc>
        <w:tc>
          <w:tcPr>
            <w:tcW w:w="1762" w:type="dxa"/>
            <w:vMerge w:val="restart"/>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ascii="宋体" w:hAnsi="宋体"/>
                <w:sz w:val="18"/>
                <w:szCs w:val="18"/>
              </w:rPr>
              <w:t>百丈飞瀑景区（风景区外）</w:t>
            </w:r>
          </w:p>
        </w:tc>
        <w:tc>
          <w:tcPr>
            <w:tcW w:w="2640"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西段村</w:t>
            </w:r>
          </w:p>
        </w:tc>
        <w:tc>
          <w:tcPr>
            <w:tcW w:w="3375" w:type="dxa"/>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百丈漈水厂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41"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1762" w:type="dxa"/>
            <w:vMerge w:val="continue"/>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2640"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吴垟村</w:t>
            </w:r>
          </w:p>
        </w:tc>
        <w:tc>
          <w:tcPr>
            <w:tcW w:w="3375" w:type="dxa"/>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文成水厂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41"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1762" w:type="dxa"/>
            <w:vMerge w:val="continue"/>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2640"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下余村</w:t>
            </w:r>
          </w:p>
        </w:tc>
        <w:tc>
          <w:tcPr>
            <w:tcW w:w="3375" w:type="dxa"/>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asciiTheme="minorEastAsia" w:hAnsiTheme="minorEastAsia" w:eastAsiaTheme="minorEastAsia"/>
                <w:sz w:val="18"/>
                <w:szCs w:val="18"/>
              </w:rPr>
              <w:t>村级供水站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41"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1762" w:type="dxa"/>
            <w:vMerge w:val="restart"/>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ascii="宋体" w:hAnsi="宋体"/>
                <w:sz w:val="18"/>
                <w:szCs w:val="18"/>
              </w:rPr>
              <w:t>朱阳九峰景区</w:t>
            </w:r>
          </w:p>
        </w:tc>
        <w:tc>
          <w:tcPr>
            <w:tcW w:w="2640"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碧坑村</w:t>
            </w:r>
          </w:p>
        </w:tc>
        <w:tc>
          <w:tcPr>
            <w:tcW w:w="3375" w:type="dxa"/>
            <w:vMerge w:val="restart"/>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asciiTheme="minorEastAsia" w:hAnsiTheme="minorEastAsia" w:eastAsiaTheme="minorEastAsia"/>
                <w:sz w:val="18"/>
                <w:szCs w:val="18"/>
              </w:rPr>
              <w:t>村级供水站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41"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1762" w:type="dxa"/>
            <w:vMerge w:val="continue"/>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2640"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谈阳村</w:t>
            </w:r>
          </w:p>
        </w:tc>
        <w:tc>
          <w:tcPr>
            <w:tcW w:w="3375"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41"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1762"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ascii="宋体" w:hAnsi="宋体"/>
                <w:sz w:val="18"/>
                <w:szCs w:val="18"/>
              </w:rPr>
              <w:t>伯温故里景区</w:t>
            </w:r>
          </w:p>
        </w:tc>
        <w:tc>
          <w:tcPr>
            <w:tcW w:w="2640"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武阳村</w:t>
            </w:r>
          </w:p>
        </w:tc>
        <w:tc>
          <w:tcPr>
            <w:tcW w:w="3375" w:type="dxa"/>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asciiTheme="minorEastAsia" w:hAnsiTheme="minorEastAsia" w:eastAsiaTheme="minorEastAsia"/>
                <w:sz w:val="18"/>
                <w:szCs w:val="18"/>
              </w:rPr>
              <w:t>村级供水站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65" w:hRule="atLeast"/>
        </w:trPr>
        <w:tc>
          <w:tcPr>
            <w:tcW w:w="1141"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1762" w:type="dxa"/>
            <w:shd w:val="clear" w:color="auto" w:fill="auto"/>
            <w:vAlign w:val="center"/>
          </w:tcPr>
          <w:p>
            <w:pPr>
              <w:widowControl/>
              <w:spacing w:line="240" w:lineRule="auto"/>
              <w:ind w:firstLine="0" w:firstLineChars="0"/>
              <w:jc w:val="center"/>
              <w:rPr>
                <w:rFonts w:ascii="宋体" w:hAnsi="宋体"/>
                <w:sz w:val="18"/>
                <w:szCs w:val="18"/>
              </w:rPr>
            </w:pPr>
            <w:r>
              <w:rPr>
                <w:rFonts w:hint="eastAsia" w:ascii="宋体" w:hAnsi="宋体"/>
                <w:sz w:val="18"/>
                <w:szCs w:val="18"/>
              </w:rPr>
              <w:t>风景区外</w:t>
            </w:r>
          </w:p>
        </w:tc>
        <w:tc>
          <w:tcPr>
            <w:tcW w:w="2640" w:type="dxa"/>
            <w:shd w:val="clear" w:color="auto" w:fill="auto"/>
            <w:vAlign w:val="center"/>
          </w:tcPr>
          <w:p>
            <w:pPr>
              <w:widowControl/>
              <w:spacing w:line="240" w:lineRule="auto"/>
              <w:ind w:firstLine="0" w:firstLineChars="0"/>
              <w:jc w:val="center"/>
              <w:rPr>
                <w:rFonts w:ascii="宋体" w:hAnsi="宋体"/>
                <w:sz w:val="18"/>
                <w:szCs w:val="18"/>
              </w:rPr>
            </w:pPr>
            <w:r>
              <w:rPr>
                <w:rFonts w:hint="eastAsia" w:ascii="宋体" w:hAnsi="宋体"/>
                <w:sz w:val="18"/>
                <w:szCs w:val="18"/>
              </w:rPr>
              <w:t>胜坑村</w:t>
            </w:r>
          </w:p>
        </w:tc>
        <w:tc>
          <w:tcPr>
            <w:tcW w:w="3375" w:type="dxa"/>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asciiTheme="minorEastAsia" w:hAnsiTheme="minorEastAsia" w:eastAsiaTheme="minorEastAsia"/>
                <w:sz w:val="18"/>
                <w:szCs w:val="18"/>
              </w:rPr>
              <w:t>村级供水站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65" w:hRule="atLeast"/>
        </w:trPr>
        <w:tc>
          <w:tcPr>
            <w:tcW w:w="1141"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1762" w:type="dxa"/>
            <w:vMerge w:val="restart"/>
            <w:shd w:val="clear" w:color="auto" w:fill="auto"/>
            <w:vAlign w:val="center"/>
          </w:tcPr>
          <w:p>
            <w:pPr>
              <w:widowControl/>
              <w:spacing w:line="240" w:lineRule="auto"/>
              <w:ind w:firstLine="0" w:firstLineChars="0"/>
              <w:jc w:val="center"/>
              <w:rPr>
                <w:rFonts w:ascii="宋体" w:hAnsi="宋体"/>
                <w:sz w:val="18"/>
                <w:szCs w:val="18"/>
              </w:rPr>
            </w:pPr>
            <w:r>
              <w:rPr>
                <w:rFonts w:hint="eastAsia" w:ascii="宋体" w:hAnsi="宋体"/>
                <w:sz w:val="18"/>
                <w:szCs w:val="18"/>
              </w:rPr>
              <w:t>岩门大峡谷景区</w:t>
            </w:r>
          </w:p>
        </w:tc>
        <w:tc>
          <w:tcPr>
            <w:tcW w:w="2640" w:type="dxa"/>
            <w:shd w:val="clear" w:color="auto" w:fill="auto"/>
            <w:vAlign w:val="center"/>
          </w:tcPr>
          <w:p>
            <w:pPr>
              <w:widowControl/>
              <w:spacing w:line="240" w:lineRule="auto"/>
              <w:ind w:firstLine="0" w:firstLineChars="0"/>
              <w:jc w:val="center"/>
              <w:rPr>
                <w:rFonts w:ascii="宋体" w:hAnsi="宋体"/>
                <w:sz w:val="18"/>
                <w:szCs w:val="18"/>
              </w:rPr>
            </w:pPr>
            <w:r>
              <w:rPr>
                <w:rFonts w:hint="eastAsia" w:ascii="宋体" w:hAnsi="宋体"/>
                <w:sz w:val="18"/>
                <w:szCs w:val="18"/>
              </w:rPr>
              <w:t>岭后村</w:t>
            </w:r>
          </w:p>
        </w:tc>
        <w:tc>
          <w:tcPr>
            <w:tcW w:w="3375" w:type="dxa"/>
            <w:vMerge w:val="restart"/>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村级供水站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65" w:hRule="atLeast"/>
        </w:trPr>
        <w:tc>
          <w:tcPr>
            <w:tcW w:w="1141"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1762" w:type="dxa"/>
            <w:vMerge w:val="continue"/>
            <w:shd w:val="clear" w:color="auto" w:fill="auto"/>
            <w:vAlign w:val="center"/>
          </w:tcPr>
          <w:p>
            <w:pPr>
              <w:widowControl/>
              <w:spacing w:line="240" w:lineRule="auto"/>
              <w:ind w:firstLine="0" w:firstLineChars="0"/>
              <w:jc w:val="center"/>
              <w:rPr>
                <w:rFonts w:ascii="宋体" w:hAnsi="宋体"/>
                <w:sz w:val="18"/>
                <w:szCs w:val="18"/>
              </w:rPr>
            </w:pPr>
          </w:p>
        </w:tc>
        <w:tc>
          <w:tcPr>
            <w:tcW w:w="2640" w:type="dxa"/>
            <w:shd w:val="clear" w:color="auto" w:fill="auto"/>
            <w:vAlign w:val="center"/>
          </w:tcPr>
          <w:p>
            <w:pPr>
              <w:widowControl/>
              <w:spacing w:line="240" w:lineRule="auto"/>
              <w:ind w:firstLine="0" w:firstLineChars="0"/>
              <w:jc w:val="center"/>
              <w:rPr>
                <w:rFonts w:ascii="宋体" w:hAnsi="宋体"/>
                <w:sz w:val="18"/>
                <w:szCs w:val="18"/>
              </w:rPr>
            </w:pPr>
            <w:r>
              <w:rPr>
                <w:rFonts w:hint="eastAsia" w:ascii="宋体" w:hAnsi="宋体"/>
                <w:sz w:val="18"/>
                <w:szCs w:val="18"/>
              </w:rPr>
              <w:t>下庄村</w:t>
            </w:r>
          </w:p>
        </w:tc>
        <w:tc>
          <w:tcPr>
            <w:tcW w:w="3375"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41"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1762" w:type="dxa"/>
            <w:vMerge w:val="restart"/>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飞云湖景区</w:t>
            </w:r>
          </w:p>
        </w:tc>
        <w:tc>
          <w:tcPr>
            <w:tcW w:w="2640"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云湖社区</w:t>
            </w:r>
          </w:p>
        </w:tc>
        <w:tc>
          <w:tcPr>
            <w:tcW w:w="3375" w:type="dxa"/>
            <w:vMerge w:val="restart"/>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asciiTheme="minorEastAsia" w:hAnsiTheme="minorEastAsia" w:eastAsiaTheme="minorEastAsia"/>
                <w:sz w:val="18"/>
                <w:szCs w:val="18"/>
              </w:rPr>
              <w:t>村级供水站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41"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1762" w:type="dxa"/>
            <w:vMerge w:val="continue"/>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2640"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塘垄村</w:t>
            </w:r>
          </w:p>
        </w:tc>
        <w:tc>
          <w:tcPr>
            <w:tcW w:w="3375"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41"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1762" w:type="dxa"/>
            <w:vMerge w:val="continue"/>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2640"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松坑村</w:t>
            </w:r>
          </w:p>
        </w:tc>
        <w:tc>
          <w:tcPr>
            <w:tcW w:w="3375"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41"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1762" w:type="dxa"/>
            <w:vMerge w:val="continue"/>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2640"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塘山村</w:t>
            </w:r>
          </w:p>
        </w:tc>
        <w:tc>
          <w:tcPr>
            <w:tcW w:w="3375"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41"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1762"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风景区内</w:t>
            </w:r>
          </w:p>
        </w:tc>
        <w:tc>
          <w:tcPr>
            <w:tcW w:w="2640"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南川村</w:t>
            </w:r>
          </w:p>
        </w:tc>
        <w:tc>
          <w:tcPr>
            <w:tcW w:w="3375" w:type="dxa"/>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asciiTheme="minorEastAsia" w:hAnsiTheme="minorEastAsia" w:eastAsiaTheme="minorEastAsia"/>
                <w:sz w:val="18"/>
                <w:szCs w:val="18"/>
              </w:rPr>
              <w:t>村级供水站</w:t>
            </w:r>
          </w:p>
        </w:tc>
      </w:tr>
    </w:tbl>
    <w:p>
      <w:pPr>
        <w:pStyle w:val="4"/>
        <w:spacing w:before="156"/>
        <w:ind w:firstLine="360"/>
      </w:pPr>
      <w:r>
        <w:rPr>
          <w:rFonts w:hint="eastAsia"/>
        </w:rPr>
        <w:t>（二）排水工程规划</w:t>
      </w:r>
    </w:p>
    <w:p>
      <w:pPr>
        <w:spacing w:before="72" w:after="93" w:afterLines="30"/>
        <w:ind w:firstLine="482"/>
        <w:rPr>
          <w:b/>
          <w:color w:val="000000"/>
        </w:rPr>
      </w:pPr>
      <w:r>
        <w:rPr>
          <w:b/>
          <w:color w:val="000000"/>
        </w:rPr>
        <w:t>1</w:t>
      </w:r>
      <w:r>
        <w:rPr>
          <w:rFonts w:hint="eastAsia"/>
          <w:b/>
          <w:color w:val="000000"/>
        </w:rPr>
        <w:t>、现状概况</w:t>
      </w:r>
    </w:p>
    <w:p>
      <w:pPr>
        <w:spacing w:before="93" w:beforeLines="30"/>
        <w:ind w:firstLine="480"/>
        <w:rPr>
          <w:rFonts w:cs="宋体"/>
        </w:rPr>
      </w:pPr>
      <w:r>
        <w:rPr>
          <w:rFonts w:hint="eastAsia" w:cs="宋体"/>
        </w:rPr>
        <w:t>由于景区面积大，景区内的各个景点较为分散，整个景区目前尚无统一的污水管网。景区内及景区周边的各镇区建有镇污水处理厂，一些高级酒店自身建有污水处理设备；部分村庄建有小型污水处理设施，收集周边部分污水；部分村庄产生的污水则通过室外化粪池、沼气池处理排放；还有部分生活污水未经任何处理直接排放，通过地面漫流、渗透或直接排放进入景区内水系，对水体造成污染。</w:t>
      </w:r>
    </w:p>
    <w:p>
      <w:pPr>
        <w:spacing w:before="93" w:beforeLines="30"/>
        <w:ind w:firstLine="480"/>
        <w:rPr>
          <w:rFonts w:cs="宋体"/>
        </w:rPr>
      </w:pPr>
      <w:r>
        <w:rPr>
          <w:rFonts w:hint="eastAsia" w:cs="宋体"/>
        </w:rPr>
        <w:t>现状存在问题：</w:t>
      </w:r>
    </w:p>
    <w:p>
      <w:pPr>
        <w:spacing w:before="93" w:beforeLines="30"/>
        <w:ind w:firstLine="480"/>
        <w:rPr>
          <w:rFonts w:cs="宋体"/>
        </w:rPr>
      </w:pPr>
      <w:r>
        <w:rPr>
          <w:rFonts w:hint="eastAsia" w:cs="宋体"/>
        </w:rPr>
        <w:t>（</w:t>
      </w:r>
      <w:r>
        <w:rPr>
          <w:rFonts w:cs="宋体"/>
        </w:rPr>
        <w:t>1</w:t>
      </w:r>
      <w:r>
        <w:rPr>
          <w:rFonts w:hint="eastAsia" w:cs="宋体"/>
        </w:rPr>
        <w:t>）小型污水处理设施由于污水量波动大、缺乏维护管理，运行效果不佳。</w:t>
      </w:r>
    </w:p>
    <w:p>
      <w:pPr>
        <w:spacing w:before="93" w:beforeLines="30"/>
        <w:ind w:firstLine="480"/>
        <w:rPr>
          <w:rFonts w:cs="宋体"/>
        </w:rPr>
      </w:pPr>
      <w:r>
        <w:rPr>
          <w:rFonts w:hint="eastAsia" w:cs="宋体"/>
        </w:rPr>
        <w:t>（</w:t>
      </w:r>
      <w:r>
        <w:rPr>
          <w:rFonts w:cs="宋体"/>
        </w:rPr>
        <w:t>2</w:t>
      </w:r>
      <w:r>
        <w:rPr>
          <w:rFonts w:hint="eastAsia" w:cs="宋体"/>
        </w:rPr>
        <w:t>）未有效处理的污水进入景区水系易造成地表水体污染，同时还会威胁风景区生活用水水源，影响景区生态环境。</w:t>
      </w:r>
    </w:p>
    <w:p>
      <w:pPr>
        <w:spacing w:before="93" w:beforeLines="30"/>
        <w:ind w:firstLine="482"/>
        <w:rPr>
          <w:b/>
          <w:color w:val="000000"/>
        </w:rPr>
      </w:pPr>
      <w:r>
        <w:rPr>
          <w:b/>
          <w:color w:val="000000"/>
        </w:rPr>
        <w:t>2</w:t>
      </w:r>
      <w:r>
        <w:rPr>
          <w:rFonts w:hint="eastAsia"/>
          <w:b/>
          <w:color w:val="000000"/>
        </w:rPr>
        <w:t>、排水体制</w:t>
      </w:r>
    </w:p>
    <w:p>
      <w:pPr>
        <w:spacing w:before="93" w:beforeLines="30"/>
        <w:ind w:firstLine="480"/>
        <w:rPr>
          <w:b/>
          <w:color w:val="000000"/>
        </w:rPr>
      </w:pPr>
      <w:r>
        <w:rPr>
          <w:rFonts w:hint="eastAsia" w:cs="宋体"/>
        </w:rPr>
        <w:t>排水体制为雨、污分流制。</w:t>
      </w:r>
    </w:p>
    <w:p>
      <w:pPr>
        <w:spacing w:before="93" w:beforeLines="30"/>
        <w:ind w:firstLine="482"/>
        <w:rPr>
          <w:b/>
          <w:color w:val="000000"/>
        </w:rPr>
      </w:pPr>
      <w:r>
        <w:rPr>
          <w:rFonts w:hint="eastAsia"/>
          <w:b/>
          <w:color w:val="000000"/>
        </w:rPr>
        <w:t>3、污水量预测</w:t>
      </w:r>
    </w:p>
    <w:p>
      <w:pPr>
        <w:ind w:firstLine="480"/>
      </w:pPr>
      <w:r>
        <w:rPr>
          <w:rFonts w:hint="eastAsia" w:cs="宋体"/>
        </w:rPr>
        <w:t>规划产污率95%，截污率按80%~90%，则最高日污水量按生活最高日用水量的</w:t>
      </w:r>
      <w:r>
        <w:rPr>
          <w:rFonts w:cs="宋体"/>
        </w:rPr>
        <w:t>80%</w:t>
      </w:r>
      <w:r>
        <w:rPr>
          <w:rFonts w:hint="eastAsia" w:cs="宋体"/>
        </w:rPr>
        <w:t>计，规划最高日污水量为</w:t>
      </w:r>
      <w:r>
        <w:rPr>
          <w:rFonts w:cs="宋体"/>
        </w:rPr>
        <w:t>2561m</w:t>
      </w:r>
      <w:r>
        <w:rPr>
          <w:rFonts w:cs="宋体"/>
          <w:vertAlign w:val="superscript"/>
        </w:rPr>
        <w:t>3</w:t>
      </w:r>
      <w:r>
        <w:rPr>
          <w:rFonts w:cs="宋体"/>
        </w:rPr>
        <w:t>/d</w:t>
      </w:r>
      <w:r>
        <w:rPr>
          <w:rFonts w:hint="eastAsia" w:cs="宋体"/>
        </w:rPr>
        <w:t>，日变化系数取1.5，则平均日污水量为</w:t>
      </w:r>
      <w:r>
        <w:rPr>
          <w:rFonts w:cs="宋体"/>
        </w:rPr>
        <w:t>1707</w:t>
      </w:r>
      <w:r>
        <w:rPr>
          <w:color w:val="FF0000"/>
        </w:rPr>
        <w:t xml:space="preserve"> </w:t>
      </w:r>
      <w:r>
        <w:rPr>
          <w:rFonts w:cs="宋体"/>
        </w:rPr>
        <w:t>m</w:t>
      </w:r>
      <w:r>
        <w:rPr>
          <w:rFonts w:cs="宋体"/>
          <w:vertAlign w:val="superscript"/>
        </w:rPr>
        <w:t>3</w:t>
      </w:r>
      <w:r>
        <w:rPr>
          <w:rFonts w:cs="宋体"/>
        </w:rPr>
        <w:t>/d</w:t>
      </w:r>
      <w:r>
        <w:rPr>
          <w:rFonts w:hint="eastAsia" w:cs="宋体"/>
        </w:rPr>
        <w:t>。</w:t>
      </w:r>
    </w:p>
    <w:p>
      <w:pPr>
        <w:spacing w:before="93" w:beforeLines="30"/>
        <w:ind w:firstLine="482"/>
        <w:rPr>
          <w:b/>
          <w:color w:val="000000"/>
        </w:rPr>
      </w:pPr>
      <w:r>
        <w:rPr>
          <w:rFonts w:hint="eastAsia"/>
          <w:b/>
          <w:color w:val="000000"/>
        </w:rPr>
        <w:t>4、排水系统规划</w:t>
      </w:r>
    </w:p>
    <w:p>
      <w:pPr>
        <w:spacing w:before="93" w:beforeLines="30"/>
        <w:ind w:firstLine="480"/>
      </w:pPr>
      <w:r>
        <w:rPr>
          <w:rFonts w:hint="eastAsia"/>
        </w:rPr>
        <w:t>风景区内大部分雨水可根据地势自行排入附近水体。山体雨水一般直接通过山体渗透或自流入溪。雨水管道应以就近、分散排放入河为主要布置原则，尽量利用地势，把地面径流通过管网排入水体。</w:t>
      </w:r>
    </w:p>
    <w:p>
      <w:pPr>
        <w:spacing w:before="93" w:beforeLines="30"/>
        <w:ind w:firstLine="480"/>
      </w:pPr>
      <w:r>
        <w:rPr>
          <w:rFonts w:hint="eastAsia"/>
        </w:rPr>
        <w:t>风景区内的其他分散村庄和服务点分别自成污水系统，自建小型污水处理设施分散处理，达标后排放。</w:t>
      </w:r>
      <w:r>
        <w:rPr>
          <w:rFonts w:hint="eastAsia" w:cs="宋体"/>
        </w:rPr>
        <w:t>风景区内的旅游镇和旅游村等应尽量纳入城镇污水处理系统。</w:t>
      </w:r>
      <w:r>
        <w:rPr>
          <w:rFonts w:hint="eastAsia"/>
        </w:rPr>
        <w:t>对12个乡镇的农村污水管网、终端、站点进行改造提升，优化排水系统，实现智能化排水。</w:t>
      </w:r>
      <w:r>
        <w:rPr>
          <w:rFonts w:hint="eastAsia" w:cs="宋体"/>
        </w:rPr>
        <w:t>规划污水管道时要充分利用地形，尽量使管道的排水方向与地形趋势一致，顺坡排放，尽量少穿河道及障碍物。</w:t>
      </w:r>
    </w:p>
    <w:p>
      <w:pPr>
        <w:spacing w:before="93" w:beforeLines="30"/>
        <w:ind w:firstLine="480"/>
        <w:rPr>
          <w:rFonts w:cs="宋体"/>
        </w:rPr>
      </w:pPr>
      <w:r>
        <w:rPr>
          <w:rFonts w:hint="eastAsia" w:cs="宋体"/>
        </w:rPr>
        <w:t>风景区内外设置游览服务设施（住宿、餐饮等）的旅游镇和旅游村，规划污水处理设施见下表：</w:t>
      </w:r>
    </w:p>
    <w:p>
      <w:pPr>
        <w:spacing w:before="93" w:beforeLines="30" w:line="400" w:lineRule="exact"/>
        <w:ind w:left="360" w:leftChars="150" w:firstLine="422"/>
        <w:jc w:val="center"/>
        <w:rPr>
          <w:rFonts w:cs="宋体"/>
          <w:b/>
          <w:sz w:val="21"/>
        </w:rPr>
      </w:pPr>
      <w:r>
        <w:rPr>
          <w:rFonts w:hint="eastAsia" w:cs="宋体"/>
          <w:b/>
          <w:sz w:val="21"/>
        </w:rPr>
        <w:t>表4</w:t>
      </w:r>
      <w:r>
        <w:rPr>
          <w:rFonts w:cs="宋体"/>
          <w:b/>
          <w:sz w:val="21"/>
        </w:rPr>
        <w:t xml:space="preserve">-14 </w:t>
      </w:r>
      <w:r>
        <w:rPr>
          <w:rFonts w:hint="eastAsia" w:cs="宋体"/>
          <w:b/>
          <w:sz w:val="21"/>
        </w:rPr>
        <w:t>风景区内外旅游城、镇、村污水规划一览表</w:t>
      </w:r>
    </w:p>
    <w:tbl>
      <w:tblPr>
        <w:tblStyle w:val="42"/>
        <w:tblW w:w="8918"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41"/>
        <w:gridCol w:w="1762"/>
        <w:gridCol w:w="2640"/>
        <w:gridCol w:w="337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3" w:hRule="atLeast"/>
        </w:trPr>
        <w:tc>
          <w:tcPr>
            <w:tcW w:w="1141" w:type="dxa"/>
            <w:shd w:val="clear" w:color="auto" w:fill="E2E2E2"/>
            <w:vAlign w:val="center"/>
          </w:tcPr>
          <w:p>
            <w:pPr>
              <w:widowControl/>
              <w:spacing w:line="240" w:lineRule="auto"/>
              <w:ind w:firstLine="0" w:firstLineChars="0"/>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设施级别</w:t>
            </w:r>
          </w:p>
        </w:tc>
        <w:tc>
          <w:tcPr>
            <w:tcW w:w="1762" w:type="dxa"/>
            <w:shd w:val="clear" w:color="auto" w:fill="E2E2E2"/>
            <w:vAlign w:val="center"/>
          </w:tcPr>
          <w:p>
            <w:pPr>
              <w:widowControl/>
              <w:spacing w:line="240" w:lineRule="auto"/>
              <w:ind w:firstLine="0" w:firstLineChars="0"/>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规划位置</w:t>
            </w:r>
          </w:p>
        </w:tc>
        <w:tc>
          <w:tcPr>
            <w:tcW w:w="2640" w:type="dxa"/>
            <w:shd w:val="clear" w:color="auto" w:fill="E2E2E2"/>
            <w:vAlign w:val="center"/>
          </w:tcPr>
          <w:p>
            <w:pPr>
              <w:widowControl/>
              <w:spacing w:line="240" w:lineRule="auto"/>
              <w:ind w:firstLine="0" w:firstLineChars="0"/>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名称</w:t>
            </w:r>
          </w:p>
        </w:tc>
        <w:tc>
          <w:tcPr>
            <w:tcW w:w="3375" w:type="dxa"/>
            <w:shd w:val="clear" w:color="auto" w:fill="E2E2E2"/>
            <w:vAlign w:val="center"/>
          </w:tcPr>
          <w:p>
            <w:pPr>
              <w:widowControl/>
              <w:spacing w:line="240" w:lineRule="auto"/>
              <w:ind w:firstLine="0" w:firstLineChars="0"/>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污水处理设施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41"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旅游城</w:t>
            </w:r>
          </w:p>
        </w:tc>
        <w:tc>
          <w:tcPr>
            <w:tcW w:w="1762"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风景区外</w:t>
            </w:r>
          </w:p>
        </w:tc>
        <w:tc>
          <w:tcPr>
            <w:tcW w:w="2640"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大峃镇</w:t>
            </w:r>
          </w:p>
        </w:tc>
        <w:tc>
          <w:tcPr>
            <w:tcW w:w="3375" w:type="dxa"/>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文成污水处理厂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41" w:type="dxa"/>
            <w:vMerge w:val="restart"/>
            <w:shd w:val="clear" w:color="auto" w:fill="auto"/>
            <w:vAlign w:val="center"/>
          </w:tcPr>
          <w:p>
            <w:pPr>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旅游镇</w:t>
            </w:r>
          </w:p>
        </w:tc>
        <w:tc>
          <w:tcPr>
            <w:tcW w:w="1762" w:type="dxa"/>
            <w:vMerge w:val="restart"/>
            <w:shd w:val="clear" w:color="auto" w:fill="auto"/>
            <w:vAlign w:val="center"/>
          </w:tcPr>
          <w:p>
            <w:pPr>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风景区外</w:t>
            </w:r>
          </w:p>
        </w:tc>
        <w:tc>
          <w:tcPr>
            <w:tcW w:w="2640"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西坑畲族镇</w:t>
            </w:r>
          </w:p>
        </w:tc>
        <w:tc>
          <w:tcPr>
            <w:tcW w:w="3375" w:type="dxa"/>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西坑污水处理厂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41" w:type="dxa"/>
            <w:vMerge w:val="continue"/>
            <w:shd w:val="clear" w:color="auto" w:fill="auto"/>
            <w:vAlign w:val="center"/>
          </w:tcPr>
          <w:p>
            <w:pPr>
              <w:spacing w:line="240" w:lineRule="auto"/>
              <w:ind w:firstLine="360"/>
              <w:jc w:val="center"/>
              <w:rPr>
                <w:rFonts w:cs="宋体" w:asciiTheme="minorEastAsia" w:hAnsiTheme="minorEastAsia" w:eastAsiaTheme="minorEastAsia"/>
                <w:color w:val="000000"/>
                <w:kern w:val="0"/>
                <w:sz w:val="18"/>
                <w:szCs w:val="18"/>
              </w:rPr>
            </w:pPr>
          </w:p>
        </w:tc>
        <w:tc>
          <w:tcPr>
            <w:tcW w:w="1762" w:type="dxa"/>
            <w:vMerge w:val="continue"/>
            <w:shd w:val="clear" w:color="auto" w:fill="auto"/>
            <w:vAlign w:val="center"/>
          </w:tcPr>
          <w:p>
            <w:pPr>
              <w:spacing w:line="240" w:lineRule="auto"/>
              <w:ind w:firstLine="360"/>
              <w:jc w:val="center"/>
              <w:rPr>
                <w:rFonts w:cs="宋体" w:asciiTheme="minorEastAsia" w:hAnsiTheme="minorEastAsia" w:eastAsiaTheme="minorEastAsia"/>
                <w:color w:val="000000"/>
                <w:kern w:val="0"/>
                <w:sz w:val="18"/>
                <w:szCs w:val="18"/>
              </w:rPr>
            </w:pPr>
          </w:p>
        </w:tc>
        <w:tc>
          <w:tcPr>
            <w:tcW w:w="2640"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珊溪镇</w:t>
            </w:r>
          </w:p>
        </w:tc>
        <w:tc>
          <w:tcPr>
            <w:tcW w:w="3375" w:type="dxa"/>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巨屿污水处理厂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77" w:hRule="atLeast"/>
        </w:trPr>
        <w:tc>
          <w:tcPr>
            <w:tcW w:w="1141" w:type="dxa"/>
            <w:vMerge w:val="continue"/>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1762" w:type="dxa"/>
            <w:vMerge w:val="continue"/>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2640"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百丈漈镇</w:t>
            </w:r>
          </w:p>
        </w:tc>
        <w:tc>
          <w:tcPr>
            <w:tcW w:w="3375" w:type="dxa"/>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百丈漈污水处理厂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trPr>
        <w:tc>
          <w:tcPr>
            <w:tcW w:w="1141"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1762"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2640"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南田镇</w:t>
            </w:r>
          </w:p>
        </w:tc>
        <w:tc>
          <w:tcPr>
            <w:tcW w:w="3375" w:type="dxa"/>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南田污水处理厂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41"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1762"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2640"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黄坦镇</w:t>
            </w:r>
          </w:p>
        </w:tc>
        <w:tc>
          <w:tcPr>
            <w:tcW w:w="3375" w:type="dxa"/>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黄坦污水处理厂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41"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1762"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2640"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玉壶镇</w:t>
            </w:r>
          </w:p>
        </w:tc>
        <w:tc>
          <w:tcPr>
            <w:tcW w:w="3375" w:type="dxa"/>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玉壶污水处理厂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41"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1762" w:type="dxa"/>
            <w:vMerge w:val="continue"/>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2640"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铜铃山镇</w:t>
            </w:r>
          </w:p>
        </w:tc>
        <w:tc>
          <w:tcPr>
            <w:tcW w:w="3375" w:type="dxa"/>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铜铃山镇污水处理厂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41" w:type="dxa"/>
            <w:vMerge w:val="restart"/>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旅游村</w:t>
            </w:r>
          </w:p>
        </w:tc>
        <w:tc>
          <w:tcPr>
            <w:tcW w:w="1762" w:type="dxa"/>
            <w:vMerge w:val="restart"/>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ascii="宋体" w:hAnsi="宋体"/>
                <w:sz w:val="18"/>
                <w:szCs w:val="18"/>
              </w:rPr>
              <w:t>百丈飞瀑景区（风景区外）</w:t>
            </w:r>
          </w:p>
        </w:tc>
        <w:tc>
          <w:tcPr>
            <w:tcW w:w="2640"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西段村</w:t>
            </w:r>
          </w:p>
        </w:tc>
        <w:tc>
          <w:tcPr>
            <w:tcW w:w="3375" w:type="dxa"/>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百丈漈污水处理厂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41"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1762" w:type="dxa"/>
            <w:vMerge w:val="continue"/>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2640"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吴垟村</w:t>
            </w:r>
          </w:p>
        </w:tc>
        <w:tc>
          <w:tcPr>
            <w:tcW w:w="3375" w:type="dxa"/>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文成污水处理厂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41"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1762" w:type="dxa"/>
            <w:vMerge w:val="continue"/>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2640"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下余村</w:t>
            </w:r>
          </w:p>
        </w:tc>
        <w:tc>
          <w:tcPr>
            <w:tcW w:w="3375" w:type="dxa"/>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asciiTheme="minorEastAsia" w:hAnsiTheme="minorEastAsia" w:eastAsiaTheme="minorEastAsia"/>
                <w:sz w:val="18"/>
                <w:szCs w:val="18"/>
              </w:rPr>
              <w:t>小型集中污水处理设施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41"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1762" w:type="dxa"/>
            <w:vMerge w:val="restart"/>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ascii="宋体" w:hAnsi="宋体"/>
                <w:sz w:val="18"/>
                <w:szCs w:val="18"/>
              </w:rPr>
              <w:t>朱阳九峰景区</w:t>
            </w:r>
          </w:p>
        </w:tc>
        <w:tc>
          <w:tcPr>
            <w:tcW w:w="2640"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碧坑村</w:t>
            </w:r>
          </w:p>
        </w:tc>
        <w:tc>
          <w:tcPr>
            <w:tcW w:w="3375" w:type="dxa"/>
            <w:vMerge w:val="restart"/>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asciiTheme="minorEastAsia" w:hAnsiTheme="minorEastAsia" w:eastAsiaTheme="minorEastAsia"/>
                <w:sz w:val="18"/>
                <w:szCs w:val="18"/>
              </w:rPr>
              <w:t>小型集中污水处理设施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41"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1762" w:type="dxa"/>
            <w:vMerge w:val="continue"/>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2640"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谈阳村</w:t>
            </w:r>
          </w:p>
        </w:tc>
        <w:tc>
          <w:tcPr>
            <w:tcW w:w="3375"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41"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1762"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ascii="宋体" w:hAnsi="宋体"/>
                <w:sz w:val="18"/>
                <w:szCs w:val="18"/>
              </w:rPr>
              <w:t>伯温故里景区</w:t>
            </w:r>
          </w:p>
        </w:tc>
        <w:tc>
          <w:tcPr>
            <w:tcW w:w="2640"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武阳村</w:t>
            </w:r>
          </w:p>
        </w:tc>
        <w:tc>
          <w:tcPr>
            <w:tcW w:w="3375" w:type="dxa"/>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asciiTheme="minorEastAsia" w:hAnsiTheme="minorEastAsia" w:eastAsiaTheme="minorEastAsia"/>
                <w:sz w:val="18"/>
                <w:szCs w:val="18"/>
              </w:rPr>
              <w:t>小型集中污水处理设施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65" w:hRule="atLeast"/>
        </w:trPr>
        <w:tc>
          <w:tcPr>
            <w:tcW w:w="1141"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1762" w:type="dxa"/>
            <w:shd w:val="clear" w:color="auto" w:fill="auto"/>
            <w:vAlign w:val="center"/>
          </w:tcPr>
          <w:p>
            <w:pPr>
              <w:widowControl/>
              <w:spacing w:line="240" w:lineRule="auto"/>
              <w:ind w:firstLine="0" w:firstLineChars="0"/>
              <w:jc w:val="center"/>
              <w:rPr>
                <w:rFonts w:ascii="宋体" w:hAnsi="宋体"/>
                <w:sz w:val="18"/>
                <w:szCs w:val="18"/>
              </w:rPr>
            </w:pPr>
            <w:r>
              <w:rPr>
                <w:rFonts w:hint="eastAsia" w:ascii="宋体" w:hAnsi="宋体"/>
                <w:sz w:val="18"/>
                <w:szCs w:val="18"/>
              </w:rPr>
              <w:t>风景区外</w:t>
            </w:r>
          </w:p>
        </w:tc>
        <w:tc>
          <w:tcPr>
            <w:tcW w:w="2640" w:type="dxa"/>
            <w:shd w:val="clear" w:color="auto" w:fill="auto"/>
            <w:vAlign w:val="center"/>
          </w:tcPr>
          <w:p>
            <w:pPr>
              <w:widowControl/>
              <w:spacing w:line="240" w:lineRule="auto"/>
              <w:ind w:firstLine="0" w:firstLineChars="0"/>
              <w:jc w:val="center"/>
              <w:rPr>
                <w:rFonts w:ascii="宋体" w:hAnsi="宋体"/>
                <w:sz w:val="18"/>
                <w:szCs w:val="18"/>
              </w:rPr>
            </w:pPr>
            <w:r>
              <w:rPr>
                <w:rFonts w:hint="eastAsia" w:ascii="宋体" w:hAnsi="宋体"/>
                <w:sz w:val="18"/>
                <w:szCs w:val="18"/>
              </w:rPr>
              <w:t>胜坑村</w:t>
            </w:r>
          </w:p>
        </w:tc>
        <w:tc>
          <w:tcPr>
            <w:tcW w:w="3375" w:type="dxa"/>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asciiTheme="minorEastAsia" w:hAnsiTheme="minorEastAsia" w:eastAsiaTheme="minorEastAsia"/>
                <w:sz w:val="18"/>
                <w:szCs w:val="18"/>
              </w:rPr>
              <w:t>小型集中污水处理设施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65" w:hRule="atLeast"/>
        </w:trPr>
        <w:tc>
          <w:tcPr>
            <w:tcW w:w="1141"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1762" w:type="dxa"/>
            <w:vMerge w:val="restart"/>
            <w:shd w:val="clear" w:color="auto" w:fill="auto"/>
            <w:vAlign w:val="center"/>
          </w:tcPr>
          <w:p>
            <w:pPr>
              <w:widowControl/>
              <w:spacing w:line="240" w:lineRule="auto"/>
              <w:ind w:firstLine="0" w:firstLineChars="0"/>
              <w:jc w:val="center"/>
              <w:rPr>
                <w:rFonts w:ascii="宋体" w:hAnsi="宋体"/>
                <w:sz w:val="18"/>
                <w:szCs w:val="18"/>
              </w:rPr>
            </w:pPr>
            <w:r>
              <w:rPr>
                <w:rFonts w:hint="eastAsia" w:ascii="宋体" w:hAnsi="宋体"/>
                <w:sz w:val="18"/>
                <w:szCs w:val="18"/>
              </w:rPr>
              <w:t>岩门大峡谷景区</w:t>
            </w:r>
          </w:p>
        </w:tc>
        <w:tc>
          <w:tcPr>
            <w:tcW w:w="2640" w:type="dxa"/>
            <w:shd w:val="clear" w:color="auto" w:fill="auto"/>
            <w:vAlign w:val="center"/>
          </w:tcPr>
          <w:p>
            <w:pPr>
              <w:widowControl/>
              <w:spacing w:line="240" w:lineRule="auto"/>
              <w:ind w:firstLine="0" w:firstLineChars="0"/>
              <w:jc w:val="center"/>
              <w:rPr>
                <w:rFonts w:ascii="宋体" w:hAnsi="宋体"/>
                <w:sz w:val="18"/>
                <w:szCs w:val="18"/>
              </w:rPr>
            </w:pPr>
            <w:r>
              <w:rPr>
                <w:rFonts w:hint="eastAsia" w:ascii="宋体" w:hAnsi="宋体"/>
                <w:sz w:val="18"/>
                <w:szCs w:val="18"/>
              </w:rPr>
              <w:t>岭后村</w:t>
            </w:r>
          </w:p>
        </w:tc>
        <w:tc>
          <w:tcPr>
            <w:tcW w:w="3375" w:type="dxa"/>
            <w:vMerge w:val="restart"/>
            <w:vAlign w:val="center"/>
          </w:tcPr>
          <w:p>
            <w:pPr>
              <w:spacing w:line="240" w:lineRule="auto"/>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小型集中污水处理设施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65" w:hRule="atLeast"/>
        </w:trPr>
        <w:tc>
          <w:tcPr>
            <w:tcW w:w="1141"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1762" w:type="dxa"/>
            <w:vMerge w:val="continue"/>
            <w:shd w:val="clear" w:color="auto" w:fill="auto"/>
            <w:vAlign w:val="center"/>
          </w:tcPr>
          <w:p>
            <w:pPr>
              <w:widowControl/>
              <w:spacing w:line="240" w:lineRule="auto"/>
              <w:ind w:firstLine="0" w:firstLineChars="0"/>
              <w:jc w:val="center"/>
              <w:rPr>
                <w:rFonts w:ascii="宋体" w:hAnsi="宋体"/>
                <w:sz w:val="18"/>
                <w:szCs w:val="18"/>
              </w:rPr>
            </w:pPr>
          </w:p>
        </w:tc>
        <w:tc>
          <w:tcPr>
            <w:tcW w:w="2640" w:type="dxa"/>
            <w:shd w:val="clear" w:color="auto" w:fill="auto"/>
            <w:vAlign w:val="center"/>
          </w:tcPr>
          <w:p>
            <w:pPr>
              <w:widowControl/>
              <w:spacing w:line="240" w:lineRule="auto"/>
              <w:ind w:firstLine="0" w:firstLineChars="0"/>
              <w:jc w:val="center"/>
              <w:rPr>
                <w:rFonts w:ascii="宋体" w:hAnsi="宋体"/>
                <w:sz w:val="18"/>
                <w:szCs w:val="18"/>
              </w:rPr>
            </w:pPr>
            <w:r>
              <w:rPr>
                <w:rFonts w:hint="eastAsia" w:ascii="宋体" w:hAnsi="宋体"/>
                <w:sz w:val="18"/>
                <w:szCs w:val="18"/>
              </w:rPr>
              <w:t>下庄村</w:t>
            </w:r>
          </w:p>
        </w:tc>
        <w:tc>
          <w:tcPr>
            <w:tcW w:w="3375"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41"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1762" w:type="dxa"/>
            <w:vMerge w:val="restart"/>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飞云湖景区</w:t>
            </w:r>
          </w:p>
        </w:tc>
        <w:tc>
          <w:tcPr>
            <w:tcW w:w="2640"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云湖社区</w:t>
            </w:r>
          </w:p>
        </w:tc>
        <w:tc>
          <w:tcPr>
            <w:tcW w:w="3375" w:type="dxa"/>
            <w:vMerge w:val="restart"/>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asciiTheme="minorEastAsia" w:hAnsiTheme="minorEastAsia" w:eastAsiaTheme="minorEastAsia"/>
                <w:sz w:val="18"/>
                <w:szCs w:val="18"/>
              </w:rPr>
              <w:t>小型集中污水处理设施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41"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1762" w:type="dxa"/>
            <w:vMerge w:val="continue"/>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2640"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塘垄村</w:t>
            </w:r>
          </w:p>
        </w:tc>
        <w:tc>
          <w:tcPr>
            <w:tcW w:w="3375"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41"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1762" w:type="dxa"/>
            <w:vMerge w:val="continue"/>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2640"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松坑村</w:t>
            </w:r>
          </w:p>
        </w:tc>
        <w:tc>
          <w:tcPr>
            <w:tcW w:w="3375"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41"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1762" w:type="dxa"/>
            <w:vMerge w:val="continue"/>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2640"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塘山村</w:t>
            </w:r>
          </w:p>
        </w:tc>
        <w:tc>
          <w:tcPr>
            <w:tcW w:w="3375"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41" w:type="dxa"/>
            <w:vMerge w:val="continue"/>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p>
        </w:tc>
        <w:tc>
          <w:tcPr>
            <w:tcW w:w="1762"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风景区内</w:t>
            </w:r>
          </w:p>
        </w:tc>
        <w:tc>
          <w:tcPr>
            <w:tcW w:w="2640" w:type="dxa"/>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南川村</w:t>
            </w:r>
          </w:p>
        </w:tc>
        <w:tc>
          <w:tcPr>
            <w:tcW w:w="3375" w:type="dxa"/>
            <w:vAlign w:val="center"/>
          </w:tcPr>
          <w:p>
            <w:pPr>
              <w:widowControl/>
              <w:spacing w:line="240" w:lineRule="auto"/>
              <w:ind w:firstLine="0" w:firstLineChars="0"/>
              <w:jc w:val="center"/>
              <w:rPr>
                <w:rFonts w:cs="宋体" w:asciiTheme="minorEastAsia" w:hAnsiTheme="minorEastAsia" w:eastAsiaTheme="minorEastAsia"/>
                <w:color w:val="000000"/>
                <w:kern w:val="0"/>
                <w:sz w:val="18"/>
                <w:szCs w:val="18"/>
              </w:rPr>
            </w:pPr>
            <w:r>
              <w:rPr>
                <w:rFonts w:hint="eastAsia" w:asciiTheme="minorEastAsia" w:hAnsiTheme="minorEastAsia" w:eastAsiaTheme="minorEastAsia"/>
                <w:sz w:val="18"/>
                <w:szCs w:val="18"/>
              </w:rPr>
              <w:t>小型集中污水处理设施</w:t>
            </w:r>
          </w:p>
        </w:tc>
      </w:tr>
    </w:tbl>
    <w:p>
      <w:pPr>
        <w:pStyle w:val="4"/>
        <w:spacing w:before="156"/>
        <w:ind w:firstLine="0" w:firstLineChars="0"/>
        <w:rPr>
          <w:b/>
        </w:rPr>
      </w:pPr>
      <w:r>
        <w:rPr>
          <w:b/>
        </w:rPr>
        <w:t>（</w:t>
      </w:r>
      <w:r>
        <w:rPr>
          <w:rFonts w:hint="eastAsia"/>
          <w:b/>
        </w:rPr>
        <w:t>三</w:t>
      </w:r>
      <w:r>
        <w:rPr>
          <w:b/>
        </w:rPr>
        <w:t>）电力工程规划</w:t>
      </w:r>
    </w:p>
    <w:p>
      <w:pPr>
        <w:ind w:firstLine="482"/>
        <w:rPr>
          <w:b/>
        </w:rPr>
      </w:pPr>
      <w:r>
        <w:rPr>
          <w:b/>
        </w:rPr>
        <w:t>1、现状概况</w:t>
      </w:r>
    </w:p>
    <w:p>
      <w:pPr>
        <w:spacing w:before="93" w:beforeLines="30"/>
        <w:ind w:firstLine="482"/>
        <w:rPr>
          <w:b/>
          <w:bCs/>
        </w:rPr>
      </w:pPr>
      <w:r>
        <w:rPr>
          <w:b/>
          <w:bCs/>
        </w:rPr>
        <w:t>（1）现状基本情况</w:t>
      </w:r>
    </w:p>
    <w:p>
      <w:pPr>
        <w:spacing w:before="93" w:beforeLines="30"/>
        <w:ind w:firstLine="480"/>
      </w:pPr>
      <w:r>
        <w:t>截</w:t>
      </w:r>
      <w:r>
        <w:rPr>
          <w:rFonts w:hint="eastAsia"/>
        </w:rPr>
        <w:t>至2</w:t>
      </w:r>
      <w:r>
        <w:t>023</w:t>
      </w:r>
      <w:r>
        <w:rPr>
          <w:rFonts w:hint="eastAsia"/>
        </w:rPr>
        <w:t>年，文成县境内拥有省网统调电厂1座（珊溪水力发电厂）</w:t>
      </w:r>
      <w:r>
        <w:t>，</w:t>
      </w:r>
      <w:r>
        <w:rPr>
          <w:rFonts w:hint="eastAsia"/>
        </w:rPr>
        <w:t>县调管辖电厂共8</w:t>
      </w:r>
      <w:r>
        <w:t>5</w:t>
      </w:r>
      <w:r>
        <w:rPr>
          <w:rFonts w:hint="eastAsia"/>
        </w:rPr>
        <w:t>座。目前文成县已经形成了以1座</w:t>
      </w:r>
      <w:r>
        <w:t>220kV变电</w:t>
      </w:r>
      <w:r>
        <w:rPr>
          <w:rFonts w:hint="eastAsia"/>
        </w:rPr>
        <w:t>所（周壤变）为核心，以</w:t>
      </w:r>
      <w:r>
        <w:t>4座110kV变电站</w:t>
      </w:r>
      <w:r>
        <w:rPr>
          <w:rFonts w:hint="eastAsia"/>
        </w:rPr>
        <w:t>（</w:t>
      </w:r>
      <w:r>
        <w:t>文成变、百丈变、栖霞变</w:t>
      </w:r>
      <w:r>
        <w:rPr>
          <w:rFonts w:hint="eastAsia"/>
        </w:rPr>
        <w:t>、</w:t>
      </w:r>
      <w:r>
        <w:t>巨屿变</w:t>
      </w:r>
      <w:r>
        <w:rPr>
          <w:rFonts w:hint="eastAsia"/>
        </w:rPr>
        <w:t>）、</w:t>
      </w:r>
      <w:r>
        <w:t>5座35kV变电站</w:t>
      </w:r>
      <w:r>
        <w:rPr>
          <w:rFonts w:hint="eastAsia"/>
        </w:rPr>
        <w:t>（</w:t>
      </w:r>
      <w:r>
        <w:t>玉壶变、南田变、西坑变、黄坦变</w:t>
      </w:r>
      <w:r>
        <w:rPr>
          <w:rFonts w:hint="eastAsia"/>
        </w:rPr>
        <w:t>、</w:t>
      </w:r>
      <w:r>
        <w:t>珊溪变</w:t>
      </w:r>
      <w:r>
        <w:rPr>
          <w:rFonts w:hint="eastAsia"/>
        </w:rPr>
        <w:t>）为重要支撑的电网结构</w:t>
      </w:r>
      <w:r>
        <w:t>。</w:t>
      </w:r>
    </w:p>
    <w:p>
      <w:pPr>
        <w:spacing w:before="93" w:beforeLines="30"/>
        <w:ind w:firstLine="480"/>
      </w:pPr>
      <w:r>
        <w:t>文成共有10千伏公用线路93条，线路总长度约1531公里。有公用配变1392台，配变总容量约500兆伏安。</w:t>
      </w:r>
    </w:p>
    <w:p>
      <w:pPr>
        <w:spacing w:before="93" w:beforeLines="30"/>
        <w:ind w:firstLine="480"/>
      </w:pPr>
      <w:r>
        <w:t>根据本次风景名胜区各景点分布情况，可知景区主要涉及的供电区域为110kV百丈变供电范围、35kV玉壶变供电范围、35kV南田变供电范围、35kV西坑变供电范围、35kV黄坦变供电范围、35kV珊溪变供电范围。</w:t>
      </w:r>
    </w:p>
    <w:p>
      <w:pPr>
        <w:spacing w:before="93" w:beforeLines="30"/>
        <w:ind w:firstLine="480"/>
      </w:pPr>
      <w:r>
        <w:rPr>
          <w:rFonts w:hint="eastAsia"/>
        </w:rPr>
        <w:t>风景区内现有水电站3</w:t>
      </w:r>
      <w:r>
        <w:t>0</w:t>
      </w:r>
      <w:r>
        <w:rPr>
          <w:rFonts w:hint="eastAsia"/>
        </w:rPr>
        <w:t>座，其中</w:t>
      </w:r>
      <w:r>
        <w:t>6</w:t>
      </w:r>
      <w:r>
        <w:rPr>
          <w:rFonts w:hint="eastAsia"/>
        </w:rPr>
        <w:t>座涉及核心景区（消能电站、百丈漈一级水电站、高岭头二级水电站、高岭头三级水电站、岩门水电站、龙井口三级水电站）。（见附图5）</w:t>
      </w:r>
    </w:p>
    <w:p>
      <w:pPr>
        <w:spacing w:line="300" w:lineRule="auto"/>
        <w:ind w:firstLine="0" w:firstLineChars="0"/>
        <w:jc w:val="center"/>
        <w:rPr>
          <w:b/>
          <w:sz w:val="21"/>
        </w:rPr>
      </w:pPr>
      <w:r>
        <w:rPr>
          <w:rFonts w:hint="eastAsia"/>
          <w:b/>
          <w:sz w:val="21"/>
        </w:rPr>
        <w:t>表4</w:t>
      </w:r>
      <w:r>
        <w:rPr>
          <w:b/>
          <w:sz w:val="21"/>
        </w:rPr>
        <w:t>-15 景区现状供电变电站分析表</w:t>
      </w:r>
    </w:p>
    <w:tbl>
      <w:tblPr>
        <w:tblStyle w:val="43"/>
        <w:tblW w:w="872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22"/>
        <w:gridCol w:w="4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22" w:type="dxa"/>
            <w:shd w:val="clear" w:color="auto" w:fill="E2E2E2"/>
          </w:tcPr>
          <w:p>
            <w:pPr>
              <w:spacing w:line="300" w:lineRule="auto"/>
              <w:ind w:firstLine="0" w:firstLineChars="0"/>
              <w:jc w:val="center"/>
              <w:rPr>
                <w:b/>
                <w:sz w:val="18"/>
              </w:rPr>
            </w:pPr>
            <w:r>
              <w:rPr>
                <w:b/>
                <w:sz w:val="18"/>
              </w:rPr>
              <w:t>景区名称</w:t>
            </w:r>
          </w:p>
        </w:tc>
        <w:tc>
          <w:tcPr>
            <w:tcW w:w="4604" w:type="dxa"/>
            <w:shd w:val="clear" w:color="auto" w:fill="E2E2E2"/>
          </w:tcPr>
          <w:p>
            <w:pPr>
              <w:spacing w:line="300" w:lineRule="auto"/>
              <w:ind w:firstLine="0" w:firstLineChars="0"/>
              <w:jc w:val="center"/>
              <w:rPr>
                <w:b/>
                <w:sz w:val="18"/>
              </w:rPr>
            </w:pPr>
            <w:r>
              <w:rPr>
                <w:b/>
                <w:sz w:val="18"/>
              </w:rPr>
              <w:t>供电变电站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22" w:type="dxa"/>
          </w:tcPr>
          <w:p>
            <w:pPr>
              <w:spacing w:line="300" w:lineRule="auto"/>
              <w:ind w:firstLine="0" w:firstLineChars="0"/>
              <w:jc w:val="center"/>
              <w:rPr>
                <w:sz w:val="18"/>
              </w:rPr>
            </w:pPr>
            <w:r>
              <w:rPr>
                <w:sz w:val="18"/>
              </w:rPr>
              <w:t>百丈飞瀑景区</w:t>
            </w:r>
          </w:p>
        </w:tc>
        <w:tc>
          <w:tcPr>
            <w:tcW w:w="4604" w:type="dxa"/>
          </w:tcPr>
          <w:p>
            <w:pPr>
              <w:spacing w:line="300" w:lineRule="auto"/>
              <w:ind w:firstLine="0" w:firstLineChars="0"/>
              <w:jc w:val="center"/>
              <w:rPr>
                <w:sz w:val="18"/>
              </w:rPr>
            </w:pPr>
            <w:r>
              <w:rPr>
                <w:sz w:val="18"/>
              </w:rPr>
              <w:t>110kV百丈变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22" w:type="dxa"/>
          </w:tcPr>
          <w:p>
            <w:pPr>
              <w:spacing w:line="300" w:lineRule="auto"/>
              <w:ind w:firstLine="0" w:firstLineChars="0"/>
              <w:jc w:val="center"/>
              <w:rPr>
                <w:sz w:val="18"/>
              </w:rPr>
            </w:pPr>
            <w:r>
              <w:rPr>
                <w:sz w:val="18"/>
              </w:rPr>
              <w:t>朱阳九峰景区</w:t>
            </w:r>
          </w:p>
        </w:tc>
        <w:tc>
          <w:tcPr>
            <w:tcW w:w="4604" w:type="dxa"/>
          </w:tcPr>
          <w:p>
            <w:pPr>
              <w:spacing w:line="300" w:lineRule="auto"/>
              <w:ind w:firstLine="0" w:firstLineChars="0"/>
              <w:jc w:val="center"/>
              <w:rPr>
                <w:sz w:val="18"/>
              </w:rPr>
            </w:pPr>
            <w:r>
              <w:rPr>
                <w:sz w:val="18"/>
              </w:rPr>
              <w:t>110kV百丈变、35kV玉壶变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22" w:type="dxa"/>
          </w:tcPr>
          <w:p>
            <w:pPr>
              <w:spacing w:line="300" w:lineRule="auto"/>
              <w:ind w:firstLine="0" w:firstLineChars="0"/>
              <w:jc w:val="center"/>
              <w:rPr>
                <w:sz w:val="18"/>
              </w:rPr>
            </w:pPr>
            <w:r>
              <w:rPr>
                <w:rFonts w:hint="eastAsia"/>
                <w:sz w:val="18"/>
              </w:rPr>
              <w:t>伯温</w:t>
            </w:r>
            <w:r>
              <w:rPr>
                <w:sz w:val="18"/>
              </w:rPr>
              <w:t>故里景区</w:t>
            </w:r>
          </w:p>
        </w:tc>
        <w:tc>
          <w:tcPr>
            <w:tcW w:w="4604" w:type="dxa"/>
          </w:tcPr>
          <w:p>
            <w:pPr>
              <w:spacing w:line="300" w:lineRule="auto"/>
              <w:ind w:firstLine="0" w:firstLineChars="0"/>
              <w:jc w:val="center"/>
              <w:rPr>
                <w:sz w:val="18"/>
              </w:rPr>
            </w:pPr>
            <w:r>
              <w:rPr>
                <w:sz w:val="18"/>
              </w:rPr>
              <w:t>35kV南田变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22" w:type="dxa"/>
          </w:tcPr>
          <w:p>
            <w:pPr>
              <w:spacing w:line="300" w:lineRule="auto"/>
              <w:ind w:firstLine="0" w:firstLineChars="0"/>
              <w:jc w:val="center"/>
              <w:rPr>
                <w:sz w:val="18"/>
              </w:rPr>
            </w:pPr>
            <w:r>
              <w:rPr>
                <w:sz w:val="18"/>
              </w:rPr>
              <w:t>龙麒源景区</w:t>
            </w:r>
          </w:p>
        </w:tc>
        <w:tc>
          <w:tcPr>
            <w:tcW w:w="4604" w:type="dxa"/>
          </w:tcPr>
          <w:p>
            <w:pPr>
              <w:spacing w:line="300" w:lineRule="auto"/>
              <w:ind w:firstLine="0" w:firstLineChars="0"/>
              <w:jc w:val="center"/>
              <w:rPr>
                <w:sz w:val="18"/>
              </w:rPr>
            </w:pPr>
            <w:r>
              <w:rPr>
                <w:sz w:val="18"/>
              </w:rPr>
              <w:t>35kV南田变、35kV西坑变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22" w:type="dxa"/>
          </w:tcPr>
          <w:p>
            <w:pPr>
              <w:spacing w:line="300" w:lineRule="auto"/>
              <w:ind w:firstLine="0" w:firstLineChars="0"/>
              <w:jc w:val="center"/>
              <w:rPr>
                <w:sz w:val="18"/>
              </w:rPr>
            </w:pPr>
            <w:r>
              <w:rPr>
                <w:sz w:val="18"/>
              </w:rPr>
              <w:t>石垟景区</w:t>
            </w:r>
          </w:p>
        </w:tc>
        <w:tc>
          <w:tcPr>
            <w:tcW w:w="4604" w:type="dxa"/>
          </w:tcPr>
          <w:p>
            <w:pPr>
              <w:spacing w:line="300" w:lineRule="auto"/>
              <w:ind w:firstLine="0" w:firstLineChars="0"/>
              <w:jc w:val="center"/>
              <w:rPr>
                <w:sz w:val="18"/>
              </w:rPr>
            </w:pPr>
            <w:r>
              <w:rPr>
                <w:sz w:val="18"/>
              </w:rPr>
              <w:t>35kV西坑变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22" w:type="dxa"/>
          </w:tcPr>
          <w:p>
            <w:pPr>
              <w:spacing w:line="300" w:lineRule="auto"/>
              <w:ind w:firstLine="0" w:firstLineChars="0"/>
              <w:jc w:val="center"/>
              <w:rPr>
                <w:sz w:val="18"/>
              </w:rPr>
            </w:pPr>
            <w:r>
              <w:rPr>
                <w:sz w:val="18"/>
              </w:rPr>
              <w:t>飞云湖景区</w:t>
            </w:r>
          </w:p>
        </w:tc>
        <w:tc>
          <w:tcPr>
            <w:tcW w:w="4604" w:type="dxa"/>
          </w:tcPr>
          <w:p>
            <w:pPr>
              <w:spacing w:line="300" w:lineRule="auto"/>
              <w:ind w:firstLine="0" w:firstLineChars="0"/>
              <w:jc w:val="center"/>
              <w:rPr>
                <w:sz w:val="18"/>
              </w:rPr>
            </w:pPr>
            <w:r>
              <w:rPr>
                <w:sz w:val="18"/>
              </w:rPr>
              <w:t>35kV黄坦变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22" w:type="dxa"/>
          </w:tcPr>
          <w:p>
            <w:pPr>
              <w:spacing w:line="300" w:lineRule="auto"/>
              <w:ind w:firstLine="0" w:firstLineChars="0"/>
              <w:jc w:val="center"/>
              <w:rPr>
                <w:sz w:val="18"/>
              </w:rPr>
            </w:pPr>
            <w:r>
              <w:rPr>
                <w:sz w:val="18"/>
              </w:rPr>
              <w:t>岩门大峡谷景区</w:t>
            </w:r>
          </w:p>
        </w:tc>
        <w:tc>
          <w:tcPr>
            <w:tcW w:w="4604" w:type="dxa"/>
          </w:tcPr>
          <w:p>
            <w:pPr>
              <w:spacing w:line="300" w:lineRule="auto"/>
              <w:ind w:firstLine="0" w:firstLineChars="0"/>
              <w:jc w:val="center"/>
              <w:rPr>
                <w:sz w:val="18"/>
              </w:rPr>
            </w:pPr>
            <w:r>
              <w:rPr>
                <w:sz w:val="18"/>
              </w:rPr>
              <w:t>35kV黄坦变、35kV西坑变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22" w:type="dxa"/>
          </w:tcPr>
          <w:p>
            <w:pPr>
              <w:spacing w:line="300" w:lineRule="auto"/>
              <w:ind w:firstLine="0" w:firstLineChars="0"/>
              <w:jc w:val="center"/>
              <w:rPr>
                <w:sz w:val="18"/>
              </w:rPr>
            </w:pPr>
            <w:r>
              <w:rPr>
                <w:sz w:val="18"/>
              </w:rPr>
              <w:t>双龙景区</w:t>
            </w:r>
          </w:p>
        </w:tc>
        <w:tc>
          <w:tcPr>
            <w:tcW w:w="4604" w:type="dxa"/>
          </w:tcPr>
          <w:p>
            <w:pPr>
              <w:spacing w:line="300" w:lineRule="auto"/>
              <w:ind w:firstLine="0" w:firstLineChars="0"/>
              <w:jc w:val="center"/>
              <w:rPr>
                <w:sz w:val="18"/>
              </w:rPr>
            </w:pPr>
            <w:r>
              <w:rPr>
                <w:sz w:val="18"/>
              </w:rPr>
              <w:t>35kV西坑变、35kV珊溪变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22" w:type="dxa"/>
          </w:tcPr>
          <w:p>
            <w:pPr>
              <w:spacing w:line="300" w:lineRule="auto"/>
              <w:ind w:firstLine="0" w:firstLineChars="0"/>
              <w:jc w:val="center"/>
              <w:rPr>
                <w:sz w:val="18"/>
              </w:rPr>
            </w:pPr>
            <w:r>
              <w:rPr>
                <w:sz w:val="18"/>
              </w:rPr>
              <w:t>牛栏湾景区</w:t>
            </w:r>
          </w:p>
        </w:tc>
        <w:tc>
          <w:tcPr>
            <w:tcW w:w="4604" w:type="dxa"/>
          </w:tcPr>
          <w:p>
            <w:pPr>
              <w:spacing w:line="300" w:lineRule="auto"/>
              <w:ind w:firstLine="0" w:firstLineChars="0"/>
              <w:jc w:val="center"/>
              <w:rPr>
                <w:sz w:val="18"/>
              </w:rPr>
            </w:pPr>
            <w:r>
              <w:rPr>
                <w:sz w:val="18"/>
              </w:rPr>
              <w:t>35kV珊溪变</w:t>
            </w:r>
          </w:p>
        </w:tc>
      </w:tr>
    </w:tbl>
    <w:p>
      <w:pPr>
        <w:spacing w:line="240" w:lineRule="auto"/>
        <w:ind w:firstLine="0" w:firstLineChars="0"/>
        <w:jc w:val="center"/>
      </w:pPr>
    </w:p>
    <w:p>
      <w:pPr>
        <w:spacing w:before="93" w:beforeLines="30"/>
        <w:ind w:firstLine="482"/>
        <w:rPr>
          <w:b/>
          <w:bCs/>
        </w:rPr>
      </w:pPr>
      <w:r>
        <w:rPr>
          <w:b/>
          <w:bCs/>
        </w:rPr>
        <w:t>（2）存在的主要问题</w:t>
      </w:r>
    </w:p>
    <w:p>
      <w:pPr>
        <w:spacing w:before="93" w:beforeLines="30"/>
        <w:ind w:firstLine="480"/>
      </w:pPr>
      <w:r>
        <w:t>目前文成县现状4座110kV变电站均为双辐射电网结构，供电可靠性有待加强。景区内架空线路，对景观造成一定程度的破坏。</w:t>
      </w:r>
      <w:r>
        <w:rPr>
          <w:rFonts w:hint="eastAsia"/>
        </w:rPr>
        <w:t>近年来，多元化负荷和新能源的迅猛发展，对就地消纳和电网接入提出更高要求。</w:t>
      </w:r>
    </w:p>
    <w:p>
      <w:pPr>
        <w:ind w:firstLine="482"/>
        <w:rPr>
          <w:b/>
        </w:rPr>
      </w:pPr>
      <w:r>
        <w:rPr>
          <w:b/>
        </w:rPr>
        <w:t>2、电力需求预测</w:t>
      </w:r>
    </w:p>
    <w:p>
      <w:pPr>
        <w:spacing w:before="93" w:beforeLines="30"/>
        <w:ind w:firstLine="480"/>
      </w:pPr>
      <w:r>
        <w:rPr>
          <w:rFonts w:hint="eastAsia"/>
        </w:rPr>
        <w:t>根据《文成县国土空间总体规划（2</w:t>
      </w:r>
      <w:r>
        <w:t>021-2035</w:t>
      </w:r>
      <w:r>
        <w:rPr>
          <w:rFonts w:hint="eastAsia"/>
        </w:rPr>
        <w:t>年）》，预计2</w:t>
      </w:r>
      <w:r>
        <w:t>025</w:t>
      </w:r>
      <w:r>
        <w:rPr>
          <w:rFonts w:hint="eastAsia"/>
        </w:rPr>
        <w:t>年文成电网最大用电负荷约1</w:t>
      </w:r>
      <w:r>
        <w:t>81.3MW</w:t>
      </w:r>
      <w:r>
        <w:rPr>
          <w:rFonts w:hint="eastAsia"/>
        </w:rPr>
        <w:t>，全社会用电量约8</w:t>
      </w:r>
      <w:r>
        <w:t>.5</w:t>
      </w:r>
      <w:r>
        <w:rPr>
          <w:rFonts w:hint="eastAsia"/>
        </w:rPr>
        <w:t>亿千瓦时；2</w:t>
      </w:r>
      <w:r>
        <w:t>035</w:t>
      </w:r>
      <w:r>
        <w:rPr>
          <w:rFonts w:hint="eastAsia"/>
        </w:rPr>
        <w:t>年文成电网最大用电负荷约</w:t>
      </w:r>
      <w:r>
        <w:t>281.6MW</w:t>
      </w:r>
      <w:r>
        <w:rPr>
          <w:rFonts w:hint="eastAsia"/>
        </w:rPr>
        <w:t>，全社会用电量约</w:t>
      </w:r>
      <w:r>
        <w:t>12.7</w:t>
      </w:r>
      <w:r>
        <w:rPr>
          <w:rFonts w:hint="eastAsia"/>
        </w:rPr>
        <w:t>亿千瓦时。</w:t>
      </w:r>
    </w:p>
    <w:p>
      <w:pPr>
        <w:spacing w:before="93" w:beforeLines="30"/>
        <w:ind w:firstLine="480"/>
      </w:pPr>
      <w:r>
        <w:rPr>
          <w:rFonts w:hint="eastAsia"/>
        </w:rPr>
        <w:t>采用单位建设用地负荷密度法</w:t>
      </w:r>
      <w:r>
        <w:t>对</w:t>
      </w:r>
      <w:r>
        <w:rPr>
          <w:rFonts w:hint="eastAsia"/>
        </w:rPr>
        <w:t>风景区内的</w:t>
      </w:r>
      <w:r>
        <w:t>用电负荷进行预测</w:t>
      </w:r>
      <w:r>
        <w:rPr>
          <w:rFonts w:hint="eastAsia"/>
        </w:rPr>
        <w:t>，</w:t>
      </w:r>
      <w:r>
        <w:t>预测结果作为景区内各类电力设施布置的依据。根据总规拟定的各类规划用地的性质、面积及开发强度，参照景区现状和发展趋势以及国内其他类似风景名胜区用电负荷发展水平，</w:t>
      </w:r>
      <w:r>
        <w:rPr>
          <w:rFonts w:hint="eastAsia"/>
        </w:rPr>
        <w:t>计算得出风景区</w:t>
      </w:r>
      <w:r>
        <w:t>电力负荷约19.8MW，预计景区年用电量4554万</w:t>
      </w:r>
      <w:r>
        <w:rPr>
          <w:rFonts w:hint="eastAsia"/>
        </w:rPr>
        <w:t>千瓦时</w:t>
      </w:r>
      <w:r>
        <w:t>。</w:t>
      </w:r>
    </w:p>
    <w:p>
      <w:pPr>
        <w:spacing w:before="156" w:beforeLines="50"/>
        <w:ind w:firstLine="422"/>
        <w:jc w:val="center"/>
        <w:rPr>
          <w:b/>
          <w:kern w:val="0"/>
          <w:sz w:val="21"/>
          <w:szCs w:val="21"/>
        </w:rPr>
      </w:pPr>
      <w:r>
        <w:rPr>
          <w:rFonts w:hint="eastAsia"/>
          <w:b/>
          <w:kern w:val="0"/>
          <w:sz w:val="21"/>
          <w:szCs w:val="21"/>
        </w:rPr>
        <w:t>表4</w:t>
      </w:r>
      <w:r>
        <w:rPr>
          <w:b/>
          <w:kern w:val="0"/>
          <w:sz w:val="21"/>
          <w:szCs w:val="21"/>
        </w:rPr>
        <w:t>-16 风景名胜区用电负荷预测表</w:t>
      </w:r>
      <w:r>
        <w:rPr>
          <w:rFonts w:hint="eastAsia"/>
          <w:b/>
          <w:kern w:val="0"/>
          <w:sz w:val="21"/>
          <w:szCs w:val="21"/>
        </w:rPr>
        <w:t>（单位建设用地负荷密度法）</w:t>
      </w:r>
    </w:p>
    <w:tbl>
      <w:tblPr>
        <w:tblStyle w:val="42"/>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9"/>
        <w:gridCol w:w="2410"/>
        <w:gridCol w:w="1701"/>
        <w:gridCol w:w="1275"/>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trPr>
        <w:tc>
          <w:tcPr>
            <w:tcW w:w="709" w:type="dxa"/>
            <w:shd w:val="clear" w:color="auto" w:fill="E2E2E2"/>
            <w:vAlign w:val="center"/>
          </w:tcPr>
          <w:p>
            <w:pPr>
              <w:spacing w:line="240" w:lineRule="auto"/>
              <w:ind w:firstLine="0" w:firstLineChars="0"/>
              <w:jc w:val="center"/>
              <w:rPr>
                <w:kern w:val="0"/>
                <w:sz w:val="21"/>
                <w:szCs w:val="21"/>
              </w:rPr>
            </w:pPr>
            <w:r>
              <w:rPr>
                <w:b/>
                <w:sz w:val="18"/>
                <w:szCs w:val="20"/>
              </w:rPr>
              <w:t>序号</w:t>
            </w:r>
          </w:p>
        </w:tc>
        <w:tc>
          <w:tcPr>
            <w:tcW w:w="709" w:type="dxa"/>
            <w:shd w:val="clear" w:color="auto" w:fill="E2E2E2"/>
            <w:vAlign w:val="center"/>
          </w:tcPr>
          <w:p>
            <w:pPr>
              <w:spacing w:line="240" w:lineRule="auto"/>
              <w:ind w:firstLine="0" w:firstLineChars="0"/>
              <w:jc w:val="center"/>
              <w:rPr>
                <w:b/>
                <w:sz w:val="18"/>
                <w:szCs w:val="20"/>
              </w:rPr>
            </w:pPr>
            <w:r>
              <w:rPr>
                <w:b/>
                <w:sz w:val="18"/>
                <w:szCs w:val="20"/>
              </w:rPr>
              <w:t>用地代号</w:t>
            </w:r>
          </w:p>
        </w:tc>
        <w:tc>
          <w:tcPr>
            <w:tcW w:w="2410" w:type="dxa"/>
            <w:shd w:val="clear" w:color="auto" w:fill="E2E2E2"/>
            <w:vAlign w:val="center"/>
          </w:tcPr>
          <w:p>
            <w:pPr>
              <w:spacing w:line="240" w:lineRule="auto"/>
              <w:ind w:firstLine="0" w:firstLineChars="0"/>
              <w:jc w:val="center"/>
              <w:rPr>
                <w:b/>
                <w:sz w:val="18"/>
                <w:szCs w:val="20"/>
              </w:rPr>
            </w:pPr>
            <w:r>
              <w:rPr>
                <w:b/>
                <w:sz w:val="18"/>
                <w:szCs w:val="20"/>
              </w:rPr>
              <w:t>用地类型</w:t>
            </w:r>
          </w:p>
        </w:tc>
        <w:tc>
          <w:tcPr>
            <w:tcW w:w="1701" w:type="dxa"/>
            <w:shd w:val="clear" w:color="auto" w:fill="E2E2E2"/>
            <w:vAlign w:val="center"/>
          </w:tcPr>
          <w:p>
            <w:pPr>
              <w:spacing w:line="240" w:lineRule="auto"/>
              <w:ind w:firstLine="0" w:firstLineChars="0"/>
              <w:jc w:val="center"/>
              <w:rPr>
                <w:b/>
                <w:sz w:val="18"/>
                <w:szCs w:val="20"/>
              </w:rPr>
            </w:pPr>
            <w:r>
              <w:rPr>
                <w:b/>
                <w:sz w:val="18"/>
                <w:szCs w:val="20"/>
              </w:rPr>
              <w:t>用地面积</w:t>
            </w:r>
          </w:p>
          <w:p>
            <w:pPr>
              <w:spacing w:line="240" w:lineRule="auto"/>
              <w:ind w:firstLine="0" w:firstLineChars="0"/>
              <w:jc w:val="center"/>
              <w:rPr>
                <w:b/>
                <w:sz w:val="18"/>
                <w:szCs w:val="20"/>
              </w:rPr>
            </w:pPr>
            <w:r>
              <w:rPr>
                <w:rFonts w:hint="eastAsia"/>
                <w:b/>
                <w:sz w:val="18"/>
                <w:szCs w:val="20"/>
              </w:rPr>
              <w:t>（公顷）</w:t>
            </w:r>
          </w:p>
        </w:tc>
        <w:tc>
          <w:tcPr>
            <w:tcW w:w="1275" w:type="dxa"/>
            <w:shd w:val="clear" w:color="auto" w:fill="E2E2E2"/>
            <w:vAlign w:val="center"/>
          </w:tcPr>
          <w:p>
            <w:pPr>
              <w:spacing w:line="240" w:lineRule="auto"/>
              <w:ind w:firstLine="0" w:firstLineChars="0"/>
              <w:jc w:val="center"/>
              <w:rPr>
                <w:b/>
                <w:sz w:val="18"/>
                <w:szCs w:val="20"/>
              </w:rPr>
            </w:pPr>
            <w:r>
              <w:rPr>
                <w:b/>
                <w:sz w:val="18"/>
                <w:szCs w:val="20"/>
              </w:rPr>
              <w:t>用电指标（kw/hm</w:t>
            </w:r>
            <w:r>
              <w:rPr>
                <w:b/>
                <w:sz w:val="18"/>
                <w:szCs w:val="20"/>
                <w:vertAlign w:val="superscript"/>
              </w:rPr>
              <w:t>2</w:t>
            </w:r>
            <w:r>
              <w:rPr>
                <w:b/>
                <w:sz w:val="18"/>
                <w:szCs w:val="20"/>
              </w:rPr>
              <w:t>)</w:t>
            </w:r>
          </w:p>
        </w:tc>
        <w:tc>
          <w:tcPr>
            <w:tcW w:w="2127" w:type="dxa"/>
            <w:shd w:val="clear" w:color="auto" w:fill="E2E2E2"/>
            <w:vAlign w:val="center"/>
          </w:tcPr>
          <w:p>
            <w:pPr>
              <w:spacing w:line="240" w:lineRule="auto"/>
              <w:ind w:firstLine="0" w:firstLineChars="0"/>
              <w:jc w:val="center"/>
              <w:rPr>
                <w:b/>
                <w:sz w:val="18"/>
                <w:szCs w:val="20"/>
              </w:rPr>
            </w:pPr>
            <w:r>
              <w:rPr>
                <w:b/>
                <w:sz w:val="18"/>
                <w:szCs w:val="20"/>
              </w:rPr>
              <w:t>用电负荷(kW)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shd w:val="clear" w:color="auto" w:fill="auto"/>
            <w:vAlign w:val="center"/>
          </w:tcPr>
          <w:p>
            <w:pPr>
              <w:spacing w:line="240" w:lineRule="auto"/>
              <w:ind w:firstLine="0" w:firstLineChars="0"/>
              <w:jc w:val="center"/>
              <w:rPr>
                <w:sz w:val="18"/>
                <w:szCs w:val="20"/>
              </w:rPr>
            </w:pPr>
            <w:r>
              <w:rPr>
                <w:sz w:val="18"/>
                <w:szCs w:val="20"/>
              </w:rPr>
              <w:t>1</w:t>
            </w:r>
          </w:p>
        </w:tc>
        <w:tc>
          <w:tcPr>
            <w:tcW w:w="709" w:type="dxa"/>
            <w:shd w:val="clear" w:color="auto" w:fill="auto"/>
            <w:vAlign w:val="center"/>
          </w:tcPr>
          <w:p>
            <w:pPr>
              <w:spacing w:line="240" w:lineRule="auto"/>
              <w:ind w:firstLine="0" w:firstLineChars="0"/>
              <w:jc w:val="center"/>
              <w:rPr>
                <w:sz w:val="18"/>
                <w:szCs w:val="20"/>
              </w:rPr>
            </w:pPr>
            <w:r>
              <w:rPr>
                <w:sz w:val="18"/>
                <w:szCs w:val="20"/>
              </w:rPr>
              <w:t>甲</w:t>
            </w:r>
          </w:p>
        </w:tc>
        <w:tc>
          <w:tcPr>
            <w:tcW w:w="2410" w:type="dxa"/>
            <w:shd w:val="clear" w:color="auto" w:fill="auto"/>
            <w:vAlign w:val="center"/>
          </w:tcPr>
          <w:p>
            <w:pPr>
              <w:spacing w:line="240" w:lineRule="auto"/>
              <w:ind w:firstLine="0" w:firstLineChars="0"/>
              <w:jc w:val="center"/>
              <w:rPr>
                <w:sz w:val="18"/>
                <w:szCs w:val="20"/>
              </w:rPr>
            </w:pPr>
            <w:r>
              <w:rPr>
                <w:sz w:val="18"/>
                <w:szCs w:val="20"/>
              </w:rPr>
              <w:t>风景游赏用地</w:t>
            </w:r>
          </w:p>
        </w:tc>
        <w:tc>
          <w:tcPr>
            <w:tcW w:w="1701" w:type="dxa"/>
            <w:shd w:val="clear" w:color="auto" w:fill="auto"/>
            <w:vAlign w:val="center"/>
          </w:tcPr>
          <w:p>
            <w:pPr>
              <w:spacing w:line="240" w:lineRule="auto"/>
              <w:ind w:firstLine="0" w:firstLineChars="0"/>
              <w:jc w:val="center"/>
              <w:rPr>
                <w:sz w:val="18"/>
                <w:szCs w:val="20"/>
              </w:rPr>
            </w:pPr>
            <w:r>
              <w:rPr>
                <w:sz w:val="18"/>
                <w:szCs w:val="20"/>
              </w:rPr>
              <w:t>21435.52</w:t>
            </w:r>
          </w:p>
        </w:tc>
        <w:tc>
          <w:tcPr>
            <w:tcW w:w="1275" w:type="dxa"/>
            <w:shd w:val="clear" w:color="auto" w:fill="auto"/>
            <w:vAlign w:val="center"/>
          </w:tcPr>
          <w:p>
            <w:pPr>
              <w:spacing w:line="240" w:lineRule="auto"/>
              <w:ind w:firstLine="0" w:firstLineChars="0"/>
              <w:jc w:val="center"/>
              <w:rPr>
                <w:sz w:val="18"/>
                <w:szCs w:val="20"/>
              </w:rPr>
            </w:pPr>
            <w:r>
              <w:rPr>
                <w:sz w:val="18"/>
                <w:szCs w:val="20"/>
              </w:rPr>
              <w:t>0.07</w:t>
            </w:r>
          </w:p>
        </w:tc>
        <w:tc>
          <w:tcPr>
            <w:tcW w:w="2127" w:type="dxa"/>
            <w:shd w:val="clear" w:color="auto" w:fill="auto"/>
            <w:vAlign w:val="center"/>
          </w:tcPr>
          <w:p>
            <w:pPr>
              <w:spacing w:line="240" w:lineRule="auto"/>
              <w:ind w:firstLine="0" w:firstLineChars="0"/>
              <w:jc w:val="center"/>
              <w:rPr>
                <w:sz w:val="18"/>
                <w:szCs w:val="20"/>
              </w:rPr>
            </w:pPr>
            <w:r>
              <w:rPr>
                <w:sz w:val="18"/>
                <w:szCs w:val="20"/>
              </w:rPr>
              <w:t>1017.78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shd w:val="clear" w:color="auto" w:fill="auto"/>
            <w:vAlign w:val="center"/>
          </w:tcPr>
          <w:p>
            <w:pPr>
              <w:spacing w:line="240" w:lineRule="auto"/>
              <w:ind w:firstLine="0" w:firstLineChars="0"/>
              <w:jc w:val="center"/>
              <w:rPr>
                <w:sz w:val="18"/>
                <w:szCs w:val="20"/>
              </w:rPr>
            </w:pPr>
            <w:r>
              <w:rPr>
                <w:sz w:val="18"/>
                <w:szCs w:val="20"/>
              </w:rPr>
              <w:t>2</w:t>
            </w:r>
          </w:p>
        </w:tc>
        <w:tc>
          <w:tcPr>
            <w:tcW w:w="709" w:type="dxa"/>
            <w:shd w:val="clear" w:color="auto" w:fill="auto"/>
            <w:vAlign w:val="center"/>
          </w:tcPr>
          <w:p>
            <w:pPr>
              <w:spacing w:line="240" w:lineRule="auto"/>
              <w:ind w:firstLine="0" w:firstLineChars="0"/>
              <w:jc w:val="center"/>
              <w:rPr>
                <w:sz w:val="18"/>
                <w:szCs w:val="20"/>
              </w:rPr>
            </w:pPr>
            <w:r>
              <w:rPr>
                <w:sz w:val="18"/>
                <w:szCs w:val="20"/>
              </w:rPr>
              <w:t>乙</w:t>
            </w:r>
          </w:p>
        </w:tc>
        <w:tc>
          <w:tcPr>
            <w:tcW w:w="2410" w:type="dxa"/>
            <w:shd w:val="clear" w:color="auto" w:fill="auto"/>
            <w:vAlign w:val="center"/>
          </w:tcPr>
          <w:p>
            <w:pPr>
              <w:spacing w:line="240" w:lineRule="auto"/>
              <w:ind w:firstLine="0" w:firstLineChars="0"/>
              <w:jc w:val="center"/>
              <w:rPr>
                <w:sz w:val="18"/>
                <w:szCs w:val="20"/>
              </w:rPr>
            </w:pPr>
            <w:r>
              <w:rPr>
                <w:sz w:val="18"/>
                <w:szCs w:val="20"/>
              </w:rPr>
              <w:t>游览设施用地</w:t>
            </w:r>
          </w:p>
        </w:tc>
        <w:tc>
          <w:tcPr>
            <w:tcW w:w="1701" w:type="dxa"/>
            <w:shd w:val="clear" w:color="auto" w:fill="auto"/>
          </w:tcPr>
          <w:p>
            <w:pPr>
              <w:spacing w:line="240" w:lineRule="auto"/>
              <w:ind w:firstLine="0" w:firstLineChars="0"/>
              <w:jc w:val="center"/>
              <w:rPr>
                <w:sz w:val="18"/>
                <w:szCs w:val="20"/>
              </w:rPr>
            </w:pPr>
            <w:r>
              <w:rPr>
                <w:sz w:val="18"/>
                <w:szCs w:val="20"/>
              </w:rPr>
              <w:t xml:space="preserve">15.53 </w:t>
            </w:r>
          </w:p>
        </w:tc>
        <w:tc>
          <w:tcPr>
            <w:tcW w:w="1275" w:type="dxa"/>
            <w:shd w:val="clear" w:color="auto" w:fill="auto"/>
            <w:vAlign w:val="center"/>
          </w:tcPr>
          <w:p>
            <w:pPr>
              <w:spacing w:line="240" w:lineRule="auto"/>
              <w:ind w:firstLine="0" w:firstLineChars="0"/>
              <w:jc w:val="center"/>
              <w:rPr>
                <w:sz w:val="18"/>
                <w:szCs w:val="20"/>
              </w:rPr>
            </w:pPr>
            <w:r>
              <w:rPr>
                <w:sz w:val="18"/>
                <w:szCs w:val="20"/>
              </w:rPr>
              <w:t>100</w:t>
            </w:r>
          </w:p>
        </w:tc>
        <w:tc>
          <w:tcPr>
            <w:tcW w:w="2127" w:type="dxa"/>
            <w:shd w:val="clear" w:color="auto" w:fill="auto"/>
            <w:vAlign w:val="center"/>
          </w:tcPr>
          <w:p>
            <w:pPr>
              <w:spacing w:line="240" w:lineRule="auto"/>
              <w:ind w:firstLine="0" w:firstLineChars="0"/>
              <w:jc w:val="center"/>
              <w:rPr>
                <w:sz w:val="18"/>
                <w:szCs w:val="20"/>
              </w:rPr>
            </w:pPr>
            <w:r>
              <w:rPr>
                <w:sz w:val="18"/>
                <w:szCs w:val="20"/>
              </w:rPr>
              <w:t>1553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shd w:val="clear" w:color="auto" w:fill="auto"/>
            <w:vAlign w:val="center"/>
          </w:tcPr>
          <w:p>
            <w:pPr>
              <w:spacing w:line="240" w:lineRule="auto"/>
              <w:ind w:firstLine="0" w:firstLineChars="0"/>
              <w:jc w:val="center"/>
              <w:rPr>
                <w:sz w:val="18"/>
                <w:szCs w:val="20"/>
              </w:rPr>
            </w:pPr>
            <w:r>
              <w:rPr>
                <w:sz w:val="18"/>
                <w:szCs w:val="20"/>
              </w:rPr>
              <w:t>3</w:t>
            </w:r>
          </w:p>
        </w:tc>
        <w:tc>
          <w:tcPr>
            <w:tcW w:w="709" w:type="dxa"/>
            <w:shd w:val="clear" w:color="auto" w:fill="auto"/>
            <w:vAlign w:val="center"/>
          </w:tcPr>
          <w:p>
            <w:pPr>
              <w:spacing w:line="240" w:lineRule="auto"/>
              <w:ind w:firstLine="0" w:firstLineChars="0"/>
              <w:jc w:val="center"/>
              <w:rPr>
                <w:sz w:val="18"/>
                <w:szCs w:val="20"/>
              </w:rPr>
            </w:pPr>
            <w:r>
              <w:rPr>
                <w:sz w:val="18"/>
                <w:szCs w:val="20"/>
              </w:rPr>
              <w:t>丙</w:t>
            </w:r>
          </w:p>
        </w:tc>
        <w:tc>
          <w:tcPr>
            <w:tcW w:w="2410" w:type="dxa"/>
            <w:shd w:val="clear" w:color="auto" w:fill="auto"/>
            <w:vAlign w:val="center"/>
          </w:tcPr>
          <w:p>
            <w:pPr>
              <w:spacing w:line="240" w:lineRule="auto"/>
              <w:ind w:firstLine="0" w:firstLineChars="0"/>
              <w:jc w:val="center"/>
              <w:rPr>
                <w:sz w:val="18"/>
                <w:szCs w:val="20"/>
              </w:rPr>
            </w:pPr>
            <w:r>
              <w:rPr>
                <w:sz w:val="18"/>
                <w:szCs w:val="20"/>
              </w:rPr>
              <w:t>居民社会用地</w:t>
            </w:r>
          </w:p>
        </w:tc>
        <w:tc>
          <w:tcPr>
            <w:tcW w:w="1701" w:type="dxa"/>
            <w:shd w:val="clear" w:color="auto" w:fill="auto"/>
          </w:tcPr>
          <w:p>
            <w:pPr>
              <w:spacing w:line="240" w:lineRule="auto"/>
              <w:ind w:firstLine="0" w:firstLineChars="0"/>
              <w:jc w:val="center"/>
              <w:rPr>
                <w:sz w:val="18"/>
                <w:szCs w:val="20"/>
              </w:rPr>
            </w:pPr>
            <w:r>
              <w:rPr>
                <w:sz w:val="18"/>
                <w:szCs w:val="20"/>
              </w:rPr>
              <w:t xml:space="preserve">265.65 </w:t>
            </w:r>
          </w:p>
        </w:tc>
        <w:tc>
          <w:tcPr>
            <w:tcW w:w="1275" w:type="dxa"/>
            <w:shd w:val="clear" w:color="auto" w:fill="auto"/>
            <w:vAlign w:val="center"/>
          </w:tcPr>
          <w:p>
            <w:pPr>
              <w:spacing w:line="240" w:lineRule="auto"/>
              <w:ind w:firstLine="0" w:firstLineChars="0"/>
              <w:jc w:val="center"/>
              <w:rPr>
                <w:sz w:val="18"/>
                <w:szCs w:val="20"/>
              </w:rPr>
            </w:pPr>
            <w:r>
              <w:rPr>
                <w:sz w:val="18"/>
                <w:szCs w:val="20"/>
              </w:rPr>
              <w:t>50</w:t>
            </w:r>
          </w:p>
        </w:tc>
        <w:tc>
          <w:tcPr>
            <w:tcW w:w="2127" w:type="dxa"/>
            <w:shd w:val="clear" w:color="auto" w:fill="auto"/>
            <w:vAlign w:val="center"/>
          </w:tcPr>
          <w:p>
            <w:pPr>
              <w:spacing w:line="240" w:lineRule="auto"/>
              <w:ind w:firstLine="0" w:firstLineChars="0"/>
              <w:jc w:val="center"/>
              <w:rPr>
                <w:sz w:val="18"/>
                <w:szCs w:val="20"/>
              </w:rPr>
            </w:pPr>
            <w:r>
              <w:rPr>
                <w:sz w:val="18"/>
                <w:szCs w:val="20"/>
              </w:rPr>
              <w:t>13282.5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shd w:val="clear" w:color="auto" w:fill="auto"/>
            <w:vAlign w:val="center"/>
          </w:tcPr>
          <w:p>
            <w:pPr>
              <w:spacing w:line="240" w:lineRule="auto"/>
              <w:ind w:firstLine="0" w:firstLineChars="0"/>
              <w:jc w:val="center"/>
              <w:rPr>
                <w:sz w:val="18"/>
                <w:szCs w:val="20"/>
              </w:rPr>
            </w:pPr>
            <w:r>
              <w:rPr>
                <w:sz w:val="18"/>
                <w:szCs w:val="20"/>
              </w:rPr>
              <w:t>4</w:t>
            </w:r>
          </w:p>
        </w:tc>
        <w:tc>
          <w:tcPr>
            <w:tcW w:w="709" w:type="dxa"/>
            <w:shd w:val="clear" w:color="auto" w:fill="auto"/>
            <w:vAlign w:val="center"/>
          </w:tcPr>
          <w:p>
            <w:pPr>
              <w:spacing w:line="240" w:lineRule="auto"/>
              <w:ind w:firstLine="0" w:firstLineChars="0"/>
              <w:jc w:val="center"/>
              <w:rPr>
                <w:sz w:val="18"/>
                <w:szCs w:val="20"/>
              </w:rPr>
            </w:pPr>
            <w:r>
              <w:rPr>
                <w:sz w:val="18"/>
                <w:szCs w:val="20"/>
              </w:rPr>
              <w:t>丁</w:t>
            </w:r>
          </w:p>
        </w:tc>
        <w:tc>
          <w:tcPr>
            <w:tcW w:w="2410" w:type="dxa"/>
            <w:shd w:val="clear" w:color="auto" w:fill="auto"/>
            <w:vAlign w:val="center"/>
          </w:tcPr>
          <w:p>
            <w:pPr>
              <w:spacing w:line="240" w:lineRule="auto"/>
              <w:ind w:firstLine="0" w:firstLineChars="0"/>
              <w:jc w:val="center"/>
              <w:rPr>
                <w:sz w:val="18"/>
                <w:szCs w:val="20"/>
              </w:rPr>
            </w:pPr>
            <w:r>
              <w:rPr>
                <w:sz w:val="18"/>
                <w:szCs w:val="20"/>
              </w:rPr>
              <w:t>交通与工程用地</w:t>
            </w:r>
          </w:p>
        </w:tc>
        <w:tc>
          <w:tcPr>
            <w:tcW w:w="1701" w:type="dxa"/>
            <w:shd w:val="clear" w:color="auto" w:fill="auto"/>
          </w:tcPr>
          <w:p>
            <w:pPr>
              <w:spacing w:line="240" w:lineRule="auto"/>
              <w:ind w:firstLine="0" w:firstLineChars="0"/>
              <w:jc w:val="center"/>
              <w:rPr>
                <w:sz w:val="18"/>
                <w:szCs w:val="20"/>
              </w:rPr>
            </w:pPr>
            <w:r>
              <w:rPr>
                <w:sz w:val="18"/>
                <w:szCs w:val="20"/>
              </w:rPr>
              <w:t xml:space="preserve">695.56 </w:t>
            </w:r>
          </w:p>
        </w:tc>
        <w:tc>
          <w:tcPr>
            <w:tcW w:w="1275" w:type="dxa"/>
            <w:shd w:val="clear" w:color="auto" w:fill="auto"/>
            <w:vAlign w:val="center"/>
          </w:tcPr>
          <w:p>
            <w:pPr>
              <w:spacing w:line="240" w:lineRule="auto"/>
              <w:ind w:firstLine="0" w:firstLineChars="0"/>
              <w:jc w:val="center"/>
              <w:rPr>
                <w:sz w:val="18"/>
                <w:szCs w:val="20"/>
              </w:rPr>
            </w:pPr>
            <w:r>
              <w:rPr>
                <w:sz w:val="18"/>
                <w:szCs w:val="20"/>
              </w:rPr>
              <w:t>10</w:t>
            </w:r>
          </w:p>
        </w:tc>
        <w:tc>
          <w:tcPr>
            <w:tcW w:w="2127" w:type="dxa"/>
            <w:shd w:val="clear" w:color="auto" w:fill="auto"/>
            <w:vAlign w:val="center"/>
          </w:tcPr>
          <w:p>
            <w:pPr>
              <w:spacing w:line="240" w:lineRule="auto"/>
              <w:ind w:firstLine="0" w:firstLineChars="0"/>
              <w:jc w:val="center"/>
              <w:rPr>
                <w:sz w:val="18"/>
                <w:szCs w:val="20"/>
              </w:rPr>
            </w:pPr>
            <w:r>
              <w:rPr>
                <w:sz w:val="18"/>
                <w:szCs w:val="20"/>
              </w:rPr>
              <w:t>6955.6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828" w:type="dxa"/>
            <w:gridSpan w:val="3"/>
            <w:shd w:val="clear" w:color="auto" w:fill="auto"/>
            <w:vAlign w:val="center"/>
          </w:tcPr>
          <w:p>
            <w:pPr>
              <w:spacing w:line="240" w:lineRule="auto"/>
              <w:ind w:firstLine="0" w:firstLineChars="0"/>
              <w:jc w:val="center"/>
              <w:rPr>
                <w:sz w:val="18"/>
                <w:szCs w:val="20"/>
              </w:rPr>
            </w:pPr>
            <w:r>
              <w:rPr>
                <w:sz w:val="18"/>
                <w:szCs w:val="20"/>
              </w:rPr>
              <w:t>总用电负荷</w:t>
            </w:r>
          </w:p>
        </w:tc>
        <w:tc>
          <w:tcPr>
            <w:tcW w:w="1701" w:type="dxa"/>
            <w:shd w:val="clear" w:color="auto" w:fill="auto"/>
            <w:vAlign w:val="center"/>
          </w:tcPr>
          <w:p>
            <w:pPr>
              <w:spacing w:line="240" w:lineRule="auto"/>
              <w:ind w:firstLine="0" w:firstLineChars="0"/>
              <w:jc w:val="center"/>
              <w:rPr>
                <w:sz w:val="18"/>
                <w:szCs w:val="20"/>
              </w:rPr>
            </w:pPr>
            <w:r>
              <w:rPr>
                <w:sz w:val="18"/>
                <w:szCs w:val="20"/>
              </w:rPr>
              <w:t>/</w:t>
            </w:r>
          </w:p>
        </w:tc>
        <w:tc>
          <w:tcPr>
            <w:tcW w:w="1275" w:type="dxa"/>
            <w:shd w:val="clear" w:color="auto" w:fill="auto"/>
            <w:vAlign w:val="center"/>
          </w:tcPr>
          <w:p>
            <w:pPr>
              <w:spacing w:line="240" w:lineRule="auto"/>
              <w:ind w:firstLine="0" w:firstLineChars="0"/>
              <w:jc w:val="center"/>
              <w:rPr>
                <w:sz w:val="18"/>
                <w:szCs w:val="20"/>
              </w:rPr>
            </w:pPr>
            <w:r>
              <w:rPr>
                <w:sz w:val="18"/>
                <w:szCs w:val="20"/>
              </w:rPr>
              <w:t>/</w:t>
            </w:r>
          </w:p>
        </w:tc>
        <w:tc>
          <w:tcPr>
            <w:tcW w:w="2127" w:type="dxa"/>
            <w:shd w:val="clear" w:color="auto" w:fill="auto"/>
            <w:vAlign w:val="center"/>
          </w:tcPr>
          <w:p>
            <w:pPr>
              <w:spacing w:line="240" w:lineRule="auto"/>
              <w:ind w:firstLine="0" w:firstLineChars="0"/>
              <w:jc w:val="center"/>
              <w:rPr>
                <w:sz w:val="18"/>
                <w:szCs w:val="20"/>
              </w:rPr>
            </w:pPr>
            <w:r>
              <w:rPr>
                <w:sz w:val="18"/>
                <w:szCs w:val="20"/>
              </w:rPr>
              <w:t>19813.79</w:t>
            </w:r>
          </w:p>
        </w:tc>
      </w:tr>
    </w:tbl>
    <w:p>
      <w:pPr>
        <w:spacing w:before="93" w:beforeLines="30"/>
        <w:ind w:firstLine="480"/>
        <w:rPr>
          <w:b/>
          <w:kern w:val="0"/>
          <w:sz w:val="21"/>
          <w:szCs w:val="21"/>
        </w:rPr>
      </w:pPr>
      <w:r>
        <w:t>根据负荷预测结果，以规划确定的床位数及</w:t>
      </w:r>
      <w:r>
        <w:rPr>
          <w:rFonts w:hint="eastAsia"/>
        </w:rPr>
        <w:t>居民</w:t>
      </w:r>
      <w:r>
        <w:t>人口数对负荷预测结论进行校核，其中床位规模控制数为2076床，</w:t>
      </w:r>
      <w:r>
        <w:rPr>
          <w:rFonts w:hint="eastAsia"/>
        </w:rPr>
        <w:t>居民</w:t>
      </w:r>
      <w:r>
        <w:t>人口预测量为14159人，负荷预测</w:t>
      </w:r>
      <w:r>
        <w:rPr>
          <w:rFonts w:hint="eastAsia"/>
        </w:rPr>
        <w:t>结果</w:t>
      </w:r>
      <w:r>
        <w:t>符合《风景名胜区总体规划标准》中的指标要求。</w:t>
      </w:r>
    </w:p>
    <w:p>
      <w:pPr>
        <w:spacing w:before="156" w:beforeLines="50"/>
        <w:ind w:firstLine="422"/>
        <w:jc w:val="center"/>
        <w:rPr>
          <w:b/>
          <w:kern w:val="0"/>
          <w:sz w:val="21"/>
          <w:szCs w:val="21"/>
        </w:rPr>
      </w:pPr>
      <w:r>
        <w:rPr>
          <w:rFonts w:hint="eastAsia"/>
          <w:b/>
          <w:kern w:val="0"/>
          <w:sz w:val="21"/>
          <w:szCs w:val="21"/>
        </w:rPr>
        <w:t>表4</w:t>
      </w:r>
      <w:r>
        <w:rPr>
          <w:b/>
          <w:kern w:val="0"/>
          <w:sz w:val="21"/>
          <w:szCs w:val="21"/>
        </w:rPr>
        <w:t>-17 风景名胜区内用电负荷预测</w:t>
      </w:r>
      <w:r>
        <w:rPr>
          <w:rFonts w:hint="eastAsia"/>
          <w:b/>
          <w:kern w:val="0"/>
          <w:sz w:val="21"/>
          <w:szCs w:val="21"/>
        </w:rPr>
        <w:t>校核</w:t>
      </w:r>
      <w:r>
        <w:rPr>
          <w:b/>
          <w:kern w:val="0"/>
          <w:sz w:val="21"/>
          <w:szCs w:val="21"/>
        </w:rPr>
        <w:t>表</w:t>
      </w:r>
    </w:p>
    <w:tbl>
      <w:tblPr>
        <w:tblStyle w:val="42"/>
        <w:tblW w:w="88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6"/>
        <w:gridCol w:w="1324"/>
        <w:gridCol w:w="1174"/>
        <w:gridCol w:w="1911"/>
        <w:gridCol w:w="2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trPr>
        <w:tc>
          <w:tcPr>
            <w:tcW w:w="1436" w:type="dxa"/>
            <w:shd w:val="clear" w:color="auto" w:fill="E2E2E2"/>
            <w:vAlign w:val="center"/>
          </w:tcPr>
          <w:p>
            <w:pPr>
              <w:widowControl/>
              <w:spacing w:line="240" w:lineRule="auto"/>
              <w:ind w:firstLine="0" w:firstLineChars="0"/>
              <w:jc w:val="center"/>
              <w:rPr>
                <w:b/>
                <w:bCs/>
                <w:color w:val="000000"/>
                <w:kern w:val="0"/>
                <w:sz w:val="18"/>
                <w:szCs w:val="18"/>
              </w:rPr>
            </w:pPr>
            <w:r>
              <w:rPr>
                <w:rFonts w:hint="eastAsia"/>
                <w:b/>
                <w:bCs/>
                <w:color w:val="000000"/>
                <w:kern w:val="0"/>
                <w:sz w:val="18"/>
                <w:szCs w:val="18"/>
              </w:rPr>
              <w:t>类型</w:t>
            </w:r>
          </w:p>
        </w:tc>
        <w:tc>
          <w:tcPr>
            <w:tcW w:w="1324" w:type="dxa"/>
            <w:shd w:val="clear" w:color="auto" w:fill="E2E2E2"/>
            <w:vAlign w:val="center"/>
          </w:tcPr>
          <w:p>
            <w:pPr>
              <w:widowControl/>
              <w:spacing w:line="240" w:lineRule="auto"/>
              <w:ind w:firstLine="0" w:firstLineChars="0"/>
              <w:jc w:val="center"/>
              <w:rPr>
                <w:b/>
                <w:bCs/>
                <w:color w:val="000000"/>
                <w:kern w:val="0"/>
                <w:sz w:val="18"/>
                <w:szCs w:val="18"/>
              </w:rPr>
            </w:pPr>
            <w:r>
              <w:rPr>
                <w:rFonts w:hint="eastAsia"/>
                <w:b/>
                <w:bCs/>
                <w:color w:val="000000"/>
                <w:kern w:val="0"/>
                <w:sz w:val="18"/>
                <w:szCs w:val="18"/>
              </w:rPr>
              <w:t>规划人口数/床位数</w:t>
            </w:r>
          </w:p>
        </w:tc>
        <w:tc>
          <w:tcPr>
            <w:tcW w:w="1174" w:type="dxa"/>
            <w:shd w:val="clear" w:color="auto" w:fill="E2E2E2"/>
            <w:vAlign w:val="center"/>
          </w:tcPr>
          <w:p>
            <w:pPr>
              <w:widowControl/>
              <w:spacing w:line="240" w:lineRule="auto"/>
              <w:ind w:firstLine="0" w:firstLineChars="0"/>
              <w:jc w:val="center"/>
              <w:rPr>
                <w:b/>
                <w:bCs/>
                <w:color w:val="000000"/>
                <w:kern w:val="0"/>
                <w:sz w:val="18"/>
                <w:szCs w:val="18"/>
              </w:rPr>
            </w:pPr>
            <w:r>
              <w:rPr>
                <w:b/>
                <w:bCs/>
                <w:color w:val="000000"/>
                <w:kern w:val="0"/>
                <w:sz w:val="18"/>
                <w:szCs w:val="18"/>
              </w:rPr>
              <w:t>用电指标</w:t>
            </w:r>
            <w:r>
              <w:rPr>
                <w:rFonts w:hint="eastAsia"/>
                <w:b/>
                <w:bCs/>
                <w:color w:val="000000"/>
                <w:kern w:val="0"/>
                <w:sz w:val="18"/>
                <w:szCs w:val="18"/>
              </w:rPr>
              <w:t>W/人（取指标高值）</w:t>
            </w:r>
          </w:p>
        </w:tc>
        <w:tc>
          <w:tcPr>
            <w:tcW w:w="1911" w:type="dxa"/>
            <w:shd w:val="clear" w:color="auto" w:fill="E2E2E2"/>
            <w:vAlign w:val="center"/>
          </w:tcPr>
          <w:p>
            <w:pPr>
              <w:widowControl/>
              <w:spacing w:line="240" w:lineRule="auto"/>
              <w:ind w:firstLine="0" w:firstLineChars="0"/>
              <w:jc w:val="center"/>
              <w:rPr>
                <w:b/>
                <w:bCs/>
                <w:color w:val="000000"/>
                <w:kern w:val="0"/>
                <w:sz w:val="18"/>
                <w:szCs w:val="18"/>
              </w:rPr>
            </w:pPr>
            <w:r>
              <w:rPr>
                <w:b/>
                <w:bCs/>
                <w:color w:val="000000"/>
                <w:kern w:val="0"/>
                <w:sz w:val="18"/>
                <w:szCs w:val="18"/>
              </w:rPr>
              <w:t>负荷预测（kW）</w:t>
            </w:r>
          </w:p>
        </w:tc>
        <w:tc>
          <w:tcPr>
            <w:tcW w:w="2968" w:type="dxa"/>
            <w:shd w:val="clear" w:color="auto" w:fill="E2E2E2"/>
            <w:vAlign w:val="center"/>
          </w:tcPr>
          <w:p>
            <w:pPr>
              <w:widowControl/>
              <w:spacing w:line="240" w:lineRule="auto"/>
              <w:ind w:firstLine="0" w:firstLineChars="0"/>
              <w:jc w:val="center"/>
              <w:rPr>
                <w:b/>
                <w:bCs/>
                <w:color w:val="000000"/>
                <w:kern w:val="0"/>
                <w:sz w:val="18"/>
                <w:szCs w:val="18"/>
              </w:rPr>
            </w:pPr>
            <w:r>
              <w:rPr>
                <w:rFonts w:hint="eastAsia"/>
                <w:b/>
                <w:bCs/>
                <w:color w:val="000000"/>
                <w:kern w:val="0"/>
                <w:sz w:val="18"/>
                <w:szCs w:val="18"/>
              </w:rPr>
              <w:t>《风景名胜区总体规划标准》确定的</w:t>
            </w:r>
            <w:r>
              <w:rPr>
                <w:b/>
                <w:bCs/>
                <w:color w:val="000000"/>
                <w:kern w:val="0"/>
                <w:sz w:val="18"/>
                <w:szCs w:val="18"/>
              </w:rPr>
              <w:t>人均用电负荷</w:t>
            </w:r>
            <w:r>
              <w:rPr>
                <w:rFonts w:hint="eastAsia"/>
                <w:b/>
                <w:bCs/>
                <w:color w:val="000000"/>
                <w:kern w:val="0"/>
                <w:sz w:val="18"/>
                <w:szCs w:val="18"/>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1436" w:type="dxa"/>
            <w:shd w:val="clear" w:color="auto" w:fill="auto"/>
            <w:vAlign w:val="center"/>
          </w:tcPr>
          <w:p>
            <w:pPr>
              <w:widowControl/>
              <w:spacing w:line="240" w:lineRule="auto"/>
              <w:ind w:firstLine="0" w:firstLineChars="0"/>
              <w:jc w:val="center"/>
              <w:rPr>
                <w:color w:val="000000"/>
                <w:kern w:val="0"/>
                <w:sz w:val="18"/>
                <w:szCs w:val="18"/>
              </w:rPr>
            </w:pPr>
            <w:r>
              <w:rPr>
                <w:rFonts w:hint="eastAsia"/>
                <w:color w:val="000000"/>
                <w:kern w:val="0"/>
                <w:sz w:val="18"/>
                <w:szCs w:val="18"/>
              </w:rPr>
              <w:t>居民</w:t>
            </w:r>
          </w:p>
        </w:tc>
        <w:tc>
          <w:tcPr>
            <w:tcW w:w="1324" w:type="dxa"/>
            <w:shd w:val="clear" w:color="auto" w:fill="auto"/>
            <w:vAlign w:val="center"/>
          </w:tcPr>
          <w:p>
            <w:pPr>
              <w:widowControl/>
              <w:spacing w:line="240" w:lineRule="auto"/>
              <w:ind w:firstLine="0" w:firstLineChars="0"/>
              <w:jc w:val="center"/>
              <w:rPr>
                <w:color w:val="000000"/>
                <w:kern w:val="0"/>
                <w:sz w:val="18"/>
                <w:szCs w:val="18"/>
              </w:rPr>
            </w:pPr>
            <w:r>
              <w:rPr>
                <w:rFonts w:hint="eastAsia"/>
                <w:color w:val="000000"/>
                <w:kern w:val="0"/>
                <w:sz w:val="18"/>
                <w:szCs w:val="18"/>
              </w:rPr>
              <w:t>1</w:t>
            </w:r>
            <w:r>
              <w:rPr>
                <w:color w:val="000000"/>
                <w:kern w:val="0"/>
                <w:sz w:val="18"/>
                <w:szCs w:val="18"/>
              </w:rPr>
              <w:t>4159</w:t>
            </w:r>
          </w:p>
        </w:tc>
        <w:tc>
          <w:tcPr>
            <w:tcW w:w="1174" w:type="dxa"/>
            <w:shd w:val="clear" w:color="auto" w:fill="auto"/>
            <w:vAlign w:val="center"/>
          </w:tcPr>
          <w:p>
            <w:pPr>
              <w:widowControl/>
              <w:spacing w:line="240" w:lineRule="auto"/>
              <w:ind w:firstLine="0" w:firstLineChars="0"/>
              <w:jc w:val="center"/>
              <w:rPr>
                <w:color w:val="000000"/>
                <w:kern w:val="0"/>
                <w:sz w:val="18"/>
                <w:szCs w:val="18"/>
              </w:rPr>
            </w:pPr>
            <w:r>
              <w:rPr>
                <w:color w:val="000000"/>
                <w:kern w:val="0"/>
                <w:sz w:val="18"/>
                <w:szCs w:val="18"/>
              </w:rPr>
              <w:t>900</w:t>
            </w:r>
          </w:p>
        </w:tc>
        <w:tc>
          <w:tcPr>
            <w:tcW w:w="1911" w:type="dxa"/>
            <w:shd w:val="clear" w:color="auto" w:fill="auto"/>
            <w:vAlign w:val="center"/>
          </w:tcPr>
          <w:p>
            <w:pPr>
              <w:widowControl/>
              <w:spacing w:line="240" w:lineRule="auto"/>
              <w:ind w:firstLine="0" w:firstLineChars="0"/>
              <w:jc w:val="center"/>
              <w:rPr>
                <w:color w:val="000000"/>
                <w:kern w:val="0"/>
                <w:sz w:val="18"/>
                <w:szCs w:val="18"/>
              </w:rPr>
            </w:pPr>
            <w:r>
              <w:rPr>
                <w:color w:val="000000"/>
                <w:kern w:val="0"/>
                <w:sz w:val="18"/>
                <w:szCs w:val="18"/>
              </w:rPr>
              <w:t>12743.1</w:t>
            </w:r>
          </w:p>
        </w:tc>
        <w:tc>
          <w:tcPr>
            <w:tcW w:w="2968" w:type="dxa"/>
            <w:shd w:val="clear" w:color="auto" w:fill="auto"/>
            <w:vAlign w:val="center"/>
          </w:tcPr>
          <w:p>
            <w:pPr>
              <w:widowControl/>
              <w:spacing w:line="240" w:lineRule="auto"/>
              <w:ind w:firstLine="0" w:firstLineChars="0"/>
              <w:jc w:val="center"/>
              <w:rPr>
                <w:color w:val="000000"/>
                <w:kern w:val="0"/>
                <w:sz w:val="18"/>
                <w:szCs w:val="18"/>
              </w:rPr>
            </w:pPr>
            <w:r>
              <w:rPr>
                <w:rFonts w:hint="eastAsia"/>
                <w:color w:val="000000"/>
                <w:kern w:val="0"/>
                <w:sz w:val="18"/>
                <w:szCs w:val="18"/>
              </w:rPr>
              <w:t>150~900W/人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436" w:type="dxa"/>
            <w:shd w:val="clear" w:color="auto" w:fill="auto"/>
            <w:vAlign w:val="center"/>
          </w:tcPr>
          <w:p>
            <w:pPr>
              <w:widowControl/>
              <w:spacing w:line="240" w:lineRule="auto"/>
              <w:ind w:firstLine="0" w:firstLineChars="0"/>
              <w:jc w:val="center"/>
              <w:rPr>
                <w:color w:val="000000"/>
                <w:kern w:val="0"/>
                <w:sz w:val="18"/>
                <w:szCs w:val="18"/>
              </w:rPr>
            </w:pPr>
            <w:r>
              <w:rPr>
                <w:rFonts w:hint="eastAsia"/>
                <w:color w:val="000000"/>
                <w:kern w:val="0"/>
                <w:sz w:val="18"/>
                <w:szCs w:val="18"/>
              </w:rPr>
              <w:t>床位数</w:t>
            </w:r>
          </w:p>
        </w:tc>
        <w:tc>
          <w:tcPr>
            <w:tcW w:w="1324" w:type="dxa"/>
            <w:shd w:val="clear" w:color="auto" w:fill="auto"/>
            <w:vAlign w:val="center"/>
          </w:tcPr>
          <w:p>
            <w:pPr>
              <w:widowControl/>
              <w:spacing w:line="240" w:lineRule="auto"/>
              <w:ind w:firstLine="0" w:firstLineChars="0"/>
              <w:jc w:val="center"/>
              <w:rPr>
                <w:color w:val="000000"/>
                <w:kern w:val="0"/>
                <w:sz w:val="18"/>
                <w:szCs w:val="18"/>
              </w:rPr>
            </w:pPr>
            <w:r>
              <w:rPr>
                <w:rFonts w:cs="宋体" w:asciiTheme="minorEastAsia" w:hAnsiTheme="minorEastAsia" w:eastAsiaTheme="minorEastAsia"/>
                <w:color w:val="000000"/>
                <w:kern w:val="0"/>
                <w:sz w:val="18"/>
                <w:szCs w:val="18"/>
              </w:rPr>
              <w:t>2076</w:t>
            </w:r>
          </w:p>
        </w:tc>
        <w:tc>
          <w:tcPr>
            <w:tcW w:w="1174" w:type="dxa"/>
            <w:shd w:val="clear" w:color="auto" w:fill="auto"/>
            <w:vAlign w:val="center"/>
          </w:tcPr>
          <w:p>
            <w:pPr>
              <w:widowControl/>
              <w:spacing w:line="240" w:lineRule="auto"/>
              <w:ind w:firstLine="0" w:firstLineChars="0"/>
              <w:jc w:val="center"/>
              <w:rPr>
                <w:color w:val="000000"/>
                <w:kern w:val="0"/>
                <w:sz w:val="18"/>
                <w:szCs w:val="18"/>
              </w:rPr>
            </w:pPr>
            <w:r>
              <w:rPr>
                <w:color w:val="000000"/>
                <w:kern w:val="0"/>
                <w:sz w:val="18"/>
                <w:szCs w:val="18"/>
              </w:rPr>
              <w:t>3400</w:t>
            </w:r>
          </w:p>
        </w:tc>
        <w:tc>
          <w:tcPr>
            <w:tcW w:w="1911" w:type="dxa"/>
            <w:shd w:val="clear" w:color="auto" w:fill="auto"/>
            <w:vAlign w:val="center"/>
          </w:tcPr>
          <w:p>
            <w:pPr>
              <w:widowControl/>
              <w:spacing w:line="240" w:lineRule="auto"/>
              <w:ind w:firstLine="0" w:firstLineChars="0"/>
              <w:jc w:val="center"/>
              <w:rPr>
                <w:color w:val="000000"/>
                <w:kern w:val="0"/>
                <w:sz w:val="18"/>
                <w:szCs w:val="18"/>
              </w:rPr>
            </w:pPr>
            <w:r>
              <w:rPr>
                <w:color w:val="000000"/>
                <w:kern w:val="0"/>
                <w:sz w:val="18"/>
                <w:szCs w:val="18"/>
              </w:rPr>
              <w:t>7058.4</w:t>
            </w:r>
          </w:p>
        </w:tc>
        <w:tc>
          <w:tcPr>
            <w:tcW w:w="2968" w:type="dxa"/>
            <w:shd w:val="clear" w:color="auto" w:fill="auto"/>
            <w:vAlign w:val="center"/>
          </w:tcPr>
          <w:p>
            <w:pPr>
              <w:widowControl/>
              <w:spacing w:line="240" w:lineRule="auto"/>
              <w:ind w:firstLine="0" w:firstLineChars="0"/>
              <w:jc w:val="center"/>
              <w:rPr>
                <w:color w:val="000000"/>
                <w:kern w:val="0"/>
                <w:sz w:val="18"/>
                <w:szCs w:val="18"/>
              </w:rPr>
            </w:pPr>
            <w:r>
              <w:rPr>
                <w:rFonts w:hint="eastAsia"/>
                <w:color w:val="000000"/>
                <w:kern w:val="0"/>
                <w:sz w:val="18"/>
                <w:szCs w:val="18"/>
              </w:rPr>
              <w:t>一般旅馆1</w:t>
            </w:r>
            <w:r>
              <w:rPr>
                <w:color w:val="000000"/>
                <w:kern w:val="0"/>
                <w:sz w:val="18"/>
                <w:szCs w:val="18"/>
              </w:rPr>
              <w:t>200</w:t>
            </w:r>
            <w:r>
              <w:rPr>
                <w:rFonts w:hint="eastAsia"/>
                <w:color w:val="000000"/>
                <w:kern w:val="0"/>
                <w:sz w:val="18"/>
                <w:szCs w:val="18"/>
              </w:rPr>
              <w:t>~</w:t>
            </w:r>
            <w:r>
              <w:rPr>
                <w:color w:val="000000"/>
                <w:kern w:val="0"/>
                <w:sz w:val="18"/>
                <w:szCs w:val="18"/>
              </w:rPr>
              <w:t>3000</w:t>
            </w:r>
            <w:r>
              <w:rPr>
                <w:rFonts w:hint="eastAsia"/>
                <w:color w:val="000000"/>
                <w:kern w:val="0"/>
                <w:sz w:val="18"/>
                <w:szCs w:val="18"/>
              </w:rPr>
              <w:t>W/床</w:t>
            </w:r>
          </w:p>
          <w:p>
            <w:pPr>
              <w:widowControl/>
              <w:spacing w:line="240" w:lineRule="auto"/>
              <w:ind w:firstLine="0" w:firstLineChars="0"/>
              <w:jc w:val="center"/>
              <w:rPr>
                <w:color w:val="000000"/>
                <w:kern w:val="0"/>
                <w:sz w:val="18"/>
                <w:szCs w:val="18"/>
              </w:rPr>
            </w:pPr>
            <w:r>
              <w:rPr>
                <w:rFonts w:hint="eastAsia"/>
                <w:color w:val="000000"/>
                <w:kern w:val="0"/>
                <w:sz w:val="18"/>
                <w:szCs w:val="18"/>
              </w:rPr>
              <w:t>中级旅馆1</w:t>
            </w:r>
            <w:r>
              <w:rPr>
                <w:color w:val="000000"/>
                <w:kern w:val="0"/>
                <w:sz w:val="18"/>
                <w:szCs w:val="18"/>
              </w:rPr>
              <w:t>500</w:t>
            </w:r>
            <w:r>
              <w:rPr>
                <w:rFonts w:hint="eastAsia"/>
                <w:color w:val="000000"/>
                <w:kern w:val="0"/>
                <w:sz w:val="18"/>
                <w:szCs w:val="18"/>
              </w:rPr>
              <w:t>~</w:t>
            </w:r>
            <w:r>
              <w:rPr>
                <w:color w:val="000000"/>
                <w:kern w:val="0"/>
                <w:sz w:val="18"/>
                <w:szCs w:val="18"/>
              </w:rPr>
              <w:t>3400</w:t>
            </w:r>
            <w:r>
              <w:rPr>
                <w:rFonts w:hint="eastAsia"/>
                <w:color w:val="000000"/>
                <w:kern w:val="0"/>
                <w:sz w:val="18"/>
                <w:szCs w:val="18"/>
              </w:rPr>
              <w:t>W/床</w:t>
            </w:r>
          </w:p>
          <w:p>
            <w:pPr>
              <w:widowControl/>
              <w:spacing w:line="240" w:lineRule="auto"/>
              <w:ind w:firstLine="0" w:firstLineChars="0"/>
              <w:jc w:val="center"/>
              <w:rPr>
                <w:color w:val="000000"/>
                <w:kern w:val="0"/>
                <w:sz w:val="18"/>
                <w:szCs w:val="18"/>
              </w:rPr>
            </w:pPr>
            <w:r>
              <w:rPr>
                <w:rFonts w:hint="eastAsia"/>
                <w:color w:val="000000"/>
                <w:kern w:val="0"/>
                <w:sz w:val="18"/>
                <w:szCs w:val="18"/>
              </w:rPr>
              <w:t>高级旅馆1</w:t>
            </w:r>
            <w:r>
              <w:rPr>
                <w:color w:val="000000"/>
                <w:kern w:val="0"/>
                <w:sz w:val="18"/>
                <w:szCs w:val="18"/>
              </w:rPr>
              <w:t>700</w:t>
            </w:r>
            <w:r>
              <w:rPr>
                <w:rFonts w:hint="eastAsia"/>
                <w:color w:val="000000"/>
                <w:kern w:val="0"/>
                <w:sz w:val="18"/>
                <w:szCs w:val="18"/>
              </w:rPr>
              <w:t>~</w:t>
            </w:r>
            <w:r>
              <w:rPr>
                <w:color w:val="000000"/>
                <w:kern w:val="0"/>
                <w:sz w:val="18"/>
                <w:szCs w:val="18"/>
              </w:rPr>
              <w:t>4800</w:t>
            </w:r>
            <w:r>
              <w:rPr>
                <w:rFonts w:hint="eastAsia"/>
                <w:color w:val="000000"/>
                <w:kern w:val="0"/>
                <w:sz w:val="18"/>
                <w:szCs w:val="18"/>
              </w:rPr>
              <w:t>W/床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436" w:type="dxa"/>
            <w:shd w:val="clear" w:color="auto" w:fill="auto"/>
            <w:vAlign w:val="center"/>
          </w:tcPr>
          <w:p>
            <w:pPr>
              <w:widowControl/>
              <w:spacing w:line="240" w:lineRule="auto"/>
              <w:ind w:firstLine="0" w:firstLineChars="0"/>
              <w:jc w:val="center"/>
              <w:rPr>
                <w:color w:val="000000"/>
                <w:kern w:val="0"/>
                <w:sz w:val="18"/>
                <w:szCs w:val="18"/>
              </w:rPr>
            </w:pPr>
            <w:r>
              <w:rPr>
                <w:rFonts w:hint="eastAsia"/>
                <w:color w:val="000000"/>
                <w:kern w:val="0"/>
                <w:sz w:val="18"/>
                <w:szCs w:val="18"/>
              </w:rPr>
              <w:t>总计</w:t>
            </w:r>
          </w:p>
        </w:tc>
        <w:tc>
          <w:tcPr>
            <w:tcW w:w="1324" w:type="dxa"/>
            <w:shd w:val="clear" w:color="auto" w:fill="auto"/>
            <w:vAlign w:val="center"/>
          </w:tcPr>
          <w:p>
            <w:pPr>
              <w:widowControl/>
              <w:spacing w:line="240" w:lineRule="auto"/>
              <w:ind w:firstLine="0" w:firstLineChars="0"/>
              <w:jc w:val="center"/>
              <w:rPr>
                <w:color w:val="000000"/>
                <w:kern w:val="0"/>
                <w:sz w:val="18"/>
                <w:szCs w:val="18"/>
              </w:rPr>
            </w:pPr>
            <w:r>
              <w:rPr>
                <w:rFonts w:hint="eastAsia"/>
                <w:color w:val="000000"/>
                <w:kern w:val="0"/>
                <w:sz w:val="18"/>
                <w:szCs w:val="18"/>
              </w:rPr>
              <w:t>/</w:t>
            </w:r>
          </w:p>
        </w:tc>
        <w:tc>
          <w:tcPr>
            <w:tcW w:w="1174" w:type="dxa"/>
            <w:shd w:val="clear" w:color="auto" w:fill="auto"/>
            <w:vAlign w:val="center"/>
          </w:tcPr>
          <w:p>
            <w:pPr>
              <w:widowControl/>
              <w:spacing w:line="240" w:lineRule="auto"/>
              <w:ind w:firstLine="0" w:firstLineChars="0"/>
              <w:jc w:val="center"/>
              <w:rPr>
                <w:color w:val="000000"/>
                <w:kern w:val="0"/>
                <w:sz w:val="18"/>
                <w:szCs w:val="18"/>
              </w:rPr>
            </w:pPr>
            <w:r>
              <w:rPr>
                <w:rFonts w:hint="eastAsia"/>
                <w:color w:val="000000"/>
                <w:kern w:val="0"/>
                <w:sz w:val="18"/>
                <w:szCs w:val="18"/>
              </w:rPr>
              <w:t>/</w:t>
            </w:r>
          </w:p>
        </w:tc>
        <w:tc>
          <w:tcPr>
            <w:tcW w:w="1911" w:type="dxa"/>
            <w:shd w:val="clear" w:color="auto" w:fill="auto"/>
            <w:vAlign w:val="center"/>
          </w:tcPr>
          <w:p>
            <w:pPr>
              <w:widowControl/>
              <w:spacing w:line="240" w:lineRule="auto"/>
              <w:ind w:firstLine="0" w:firstLineChars="0"/>
              <w:jc w:val="center"/>
              <w:rPr>
                <w:color w:val="000000"/>
                <w:kern w:val="0"/>
                <w:sz w:val="18"/>
                <w:szCs w:val="18"/>
              </w:rPr>
            </w:pPr>
            <w:r>
              <w:rPr>
                <w:color w:val="000000"/>
                <w:kern w:val="0"/>
                <w:sz w:val="18"/>
                <w:szCs w:val="18"/>
              </w:rPr>
              <w:t>19801.5</w:t>
            </w:r>
          </w:p>
        </w:tc>
        <w:tc>
          <w:tcPr>
            <w:tcW w:w="2968" w:type="dxa"/>
            <w:shd w:val="clear" w:color="auto" w:fill="auto"/>
            <w:vAlign w:val="center"/>
          </w:tcPr>
          <w:p>
            <w:pPr>
              <w:widowControl/>
              <w:spacing w:line="240" w:lineRule="auto"/>
              <w:ind w:firstLine="0" w:firstLineChars="0"/>
              <w:jc w:val="center"/>
              <w:rPr>
                <w:color w:val="000000"/>
                <w:kern w:val="0"/>
                <w:sz w:val="18"/>
                <w:szCs w:val="18"/>
              </w:rPr>
            </w:pPr>
            <w:r>
              <w:rPr>
                <w:rFonts w:hint="eastAsia"/>
                <w:color w:val="000000"/>
                <w:kern w:val="0"/>
                <w:sz w:val="18"/>
                <w:szCs w:val="18"/>
              </w:rPr>
              <w:t>/</w:t>
            </w:r>
          </w:p>
        </w:tc>
      </w:tr>
    </w:tbl>
    <w:p>
      <w:pPr>
        <w:ind w:firstLine="482"/>
        <w:rPr>
          <w:b/>
        </w:rPr>
      </w:pPr>
      <w:r>
        <w:rPr>
          <w:b/>
        </w:rPr>
        <w:t>3、电源</w:t>
      </w:r>
      <w:r>
        <w:rPr>
          <w:rFonts w:hint="eastAsia"/>
          <w:b/>
        </w:rPr>
        <w:t>规划</w:t>
      </w:r>
    </w:p>
    <w:p>
      <w:pPr>
        <w:spacing w:before="93" w:beforeLines="30"/>
        <w:ind w:firstLine="480"/>
      </w:pPr>
      <w:r>
        <w:t>由前述负荷预测、现状变电站布局，以及规划变电站建设情况，确定风景区内仍由就近的高压电源点供电。规划</w:t>
      </w:r>
      <w:r>
        <w:rPr>
          <w:rFonts w:hint="eastAsia"/>
        </w:rPr>
        <w:t>形成以</w:t>
      </w:r>
      <w:r>
        <w:t>2</w:t>
      </w:r>
      <w:r>
        <w:rPr>
          <w:rFonts w:hint="eastAsia"/>
        </w:rPr>
        <w:t>座</w:t>
      </w:r>
      <w:r>
        <w:t>220kV变电</w:t>
      </w:r>
      <w:r>
        <w:rPr>
          <w:rFonts w:hint="eastAsia"/>
        </w:rPr>
        <w:t>所（周壤变、新建文成西变）为核心，以</w:t>
      </w:r>
      <w:r>
        <w:t>7座110kV变电站</w:t>
      </w:r>
      <w:r>
        <w:rPr>
          <w:rFonts w:hint="eastAsia"/>
        </w:rPr>
        <w:t>（</w:t>
      </w:r>
      <w:r>
        <w:t>文成变、百丈变、栖霞变</w:t>
      </w:r>
      <w:r>
        <w:rPr>
          <w:rFonts w:hint="eastAsia"/>
        </w:rPr>
        <w:t>、</w:t>
      </w:r>
      <w:r>
        <w:t>巨屿变</w:t>
      </w:r>
      <w:r>
        <w:rPr>
          <w:rFonts w:hint="eastAsia"/>
        </w:rPr>
        <w:t>、新建樟台变、新建龙川变、提升黄坦变）、</w:t>
      </w:r>
      <w:r>
        <w:t>7座35kV变电站</w:t>
      </w:r>
      <w:r>
        <w:rPr>
          <w:rFonts w:hint="eastAsia"/>
        </w:rPr>
        <w:t>（</w:t>
      </w:r>
      <w:r>
        <w:t>玉壶变、南田变、西坑变、珊溪变</w:t>
      </w:r>
      <w:r>
        <w:rPr>
          <w:rFonts w:hint="eastAsia"/>
        </w:rPr>
        <w:t>、新建峃口变、新建林场变、新建二源变）为重要支撑的电网结构</w:t>
      </w:r>
      <w:r>
        <w:t>。</w:t>
      </w:r>
      <w:r>
        <w:rPr>
          <w:rFonts w:hint="eastAsia"/>
        </w:rPr>
        <w:t>上述变电站均位于风景区范围外。</w:t>
      </w:r>
    </w:p>
    <w:p>
      <w:pPr>
        <w:ind w:firstLine="482"/>
        <w:rPr>
          <w:b/>
        </w:rPr>
      </w:pPr>
      <w:r>
        <w:rPr>
          <w:b/>
        </w:rPr>
        <w:t>4、电网</w:t>
      </w:r>
      <w:r>
        <w:rPr>
          <w:rFonts w:hint="eastAsia"/>
          <w:b/>
        </w:rPr>
        <w:t>规划</w:t>
      </w:r>
    </w:p>
    <w:p>
      <w:pPr>
        <w:spacing w:before="93" w:beforeLines="30"/>
        <w:ind w:firstLine="480"/>
      </w:pPr>
      <w:r>
        <w:rPr>
          <w:rFonts w:hint="eastAsia"/>
        </w:rPr>
        <w:t>规划的文成抽蓄电站、泰顺抽蓄电站、百丈漈抽蓄电站配套送出线路以及220千伏文成西－大安、110千伏二源（百丈二变）输变电工程等高压输电廊道如确实难以避让风景区，穿越风景区段需开展重大建设项目选址论证，避免对风景资源、生态环境及景观视线造成影响。</w:t>
      </w:r>
    </w:p>
    <w:p>
      <w:pPr>
        <w:spacing w:before="93" w:beforeLines="30"/>
        <w:ind w:firstLine="480"/>
      </w:pPr>
      <w:r>
        <w:t>10kV中压配电网是百丈漈—飞云</w:t>
      </w:r>
      <w:r>
        <w:rPr>
          <w:rFonts w:hint="eastAsia"/>
        </w:rPr>
        <w:t>湖</w:t>
      </w:r>
      <w:r>
        <w:t>风景区主干供配电网，规划期内应改造现有单辐射线路为手拉手环网，增强互供能力，完善电网结构；规划区内的10kV中压配电线路仍主要沿公路布设，一般采用架空布线方式，进入核心景区，以及其他主要景点、服务区（点）、居民点可根据景观要求，改用电缆方式埋地布线</w:t>
      </w:r>
      <w:r>
        <w:rPr>
          <w:rFonts w:hint="eastAsia"/>
        </w:rPr>
        <w:t>，</w:t>
      </w:r>
      <w:r>
        <w:t>对于现状架空线路，宜结合区域改造等</w:t>
      </w:r>
      <w:r>
        <w:rPr>
          <w:rFonts w:hint="eastAsia"/>
        </w:rPr>
        <w:t>逐步</w:t>
      </w:r>
      <w:r>
        <w:t>实现下地</w:t>
      </w:r>
      <w:r>
        <w:rPr>
          <w:rFonts w:hint="eastAsia"/>
        </w:rPr>
        <w:t>；10千伏电力基础设施需结合用电需求，适当增加地面构筑物，如电杆、铁塔等；</w:t>
      </w:r>
      <w:r>
        <w:t>同时通过电力工程的建设，缩短供电半径、改造老旧线路，提升区域的供电可靠性</w:t>
      </w:r>
      <w:r>
        <w:rPr>
          <w:rFonts w:hint="eastAsia"/>
        </w:rPr>
        <w:t>。</w:t>
      </w:r>
    </w:p>
    <w:p>
      <w:pPr>
        <w:spacing w:before="93" w:beforeLines="30"/>
        <w:ind w:firstLine="480"/>
      </w:pPr>
      <w:r>
        <w:t>考虑百丈漈—飞云湖风景名胜区内负荷小而散的特点，10kV公用变电所宜采用小容量、多布点的原则，便于深入负荷中心和中远期扩容</w:t>
      </w:r>
      <w:r>
        <w:rPr>
          <w:rFonts w:hint="eastAsia"/>
        </w:rPr>
        <w:t>。</w:t>
      </w:r>
      <w:r>
        <w:t>规划景区内新建10/0.4kV变配电设施采用户内变或箱式变方式，现状露天变、杆上变应积极创造条件，结合变压器扩容，逐步改造为户内变或箱式变。</w:t>
      </w:r>
    </w:p>
    <w:p>
      <w:pPr>
        <w:spacing w:before="93" w:beforeLines="30"/>
        <w:ind w:firstLine="480"/>
      </w:pPr>
      <w:r>
        <w:t>380V低压配电网采用树枝放射式结构，实行分区配电，不宜越区供电，供电半径一般不大于500m。380V低压配电线路一般采用电缆方式埋地敷设，但在主要景点、旅游服务区（点）、主要居民点以外的场所少量应用时，也可采用架空绝缘线敷设。对于现状架空的线路，宜结合区域改造等逐步实现下地。</w:t>
      </w:r>
    </w:p>
    <w:p>
      <w:pPr>
        <w:spacing w:before="93" w:beforeLines="30"/>
        <w:ind w:firstLine="480"/>
      </w:pPr>
      <w:r>
        <w:t>中低压电力线路采用架空方式时，应注意不得破坏风景点的景观视线，考虑与周边景观环境相协调。</w:t>
      </w:r>
    </w:p>
    <w:p>
      <w:pPr>
        <w:pStyle w:val="4"/>
        <w:spacing w:before="156"/>
        <w:ind w:firstLine="361"/>
        <w:rPr>
          <w:b/>
        </w:rPr>
      </w:pPr>
      <w:r>
        <w:rPr>
          <w:b/>
        </w:rPr>
        <w:t>（</w:t>
      </w:r>
      <w:r>
        <w:rPr>
          <w:rFonts w:hint="eastAsia"/>
        </w:rPr>
        <w:t>四</w:t>
      </w:r>
      <w:r>
        <w:rPr>
          <w:b/>
        </w:rPr>
        <w:t>）通信工程规划</w:t>
      </w:r>
    </w:p>
    <w:p>
      <w:pPr>
        <w:ind w:firstLine="482"/>
        <w:rPr>
          <w:b/>
        </w:rPr>
      </w:pPr>
      <w:r>
        <w:rPr>
          <w:b/>
        </w:rPr>
        <w:t>1、通信设施现状</w:t>
      </w:r>
    </w:p>
    <w:p>
      <w:pPr>
        <w:spacing w:before="93" w:beforeLines="30"/>
        <w:ind w:firstLine="480"/>
      </w:pPr>
      <w:r>
        <w:rPr>
          <w:rFonts w:hint="eastAsia"/>
        </w:rPr>
        <w:t>中国移动、中国电信、中国联通等三大电信运营商，在文成县域范围内建有多座移动通信基站，境内移动通信网络较为完善，</w:t>
      </w:r>
      <w:r>
        <w:t>4G</w:t>
      </w:r>
      <w:r>
        <w:rPr>
          <w:rFonts w:hint="eastAsia"/>
        </w:rPr>
        <w:t>网络已基本全覆盖。文成县境内，除中心城区部分新建道路已建有少量综合通信管道外，各类通信线路仍主要为架空设置，局部线路较为凌乱。</w:t>
      </w:r>
    </w:p>
    <w:p>
      <w:pPr>
        <w:ind w:firstLine="482"/>
        <w:rPr>
          <w:b/>
        </w:rPr>
      </w:pPr>
      <w:r>
        <w:rPr>
          <w:b/>
        </w:rPr>
        <w:t>2、发展目标预测</w:t>
      </w:r>
    </w:p>
    <w:p>
      <w:pPr>
        <w:spacing w:before="93" w:beforeLines="30"/>
        <w:ind w:firstLine="480"/>
      </w:pPr>
      <w:r>
        <w:t>（1）宽带用户规模预测</w:t>
      </w:r>
    </w:p>
    <w:p>
      <w:pPr>
        <w:spacing w:before="93" w:beforeLines="30"/>
        <w:ind w:firstLine="480"/>
      </w:pPr>
      <w:r>
        <w:t>根据</w:t>
      </w:r>
      <w:r>
        <w:rPr>
          <w:rFonts w:hint="eastAsia"/>
        </w:rPr>
        <w:t>文成县固定通信发展趋势，</w:t>
      </w:r>
      <w:r>
        <w:t>结合规划预测的人口规模，参照国内其他类似地区宽带用户水平，</w:t>
      </w:r>
      <w:r>
        <w:rPr>
          <w:rFonts w:hint="eastAsia"/>
        </w:rPr>
        <w:t>确定规划期末宽带用户普及率为</w:t>
      </w:r>
      <w:r>
        <w:t>90</w:t>
      </w:r>
      <w:r>
        <w:rPr>
          <w:rFonts w:hint="eastAsia"/>
        </w:rPr>
        <w:t>%，</w:t>
      </w:r>
      <w:r>
        <w:t>预测规划区发展宽带数据用户约12000户。</w:t>
      </w:r>
    </w:p>
    <w:p>
      <w:pPr>
        <w:spacing w:before="93" w:beforeLines="30"/>
        <w:ind w:firstLine="480"/>
      </w:pPr>
      <w:r>
        <w:t>（2）移动通信规模预测</w:t>
      </w:r>
    </w:p>
    <w:p>
      <w:pPr>
        <w:spacing w:before="93" w:beforeLines="30"/>
        <w:ind w:firstLine="480"/>
      </w:pPr>
      <w:r>
        <w:t>本次规划移动</w:t>
      </w:r>
      <w:r>
        <w:rPr>
          <w:rFonts w:hint="eastAsia"/>
        </w:rPr>
        <w:t>通信规模</w:t>
      </w:r>
      <w:r>
        <w:t>采用普及率法进行预测</w:t>
      </w:r>
      <w:r>
        <w:rPr>
          <w:rFonts w:hint="eastAsia"/>
        </w:rPr>
        <w:t>，规划确定2</w:t>
      </w:r>
      <w:r>
        <w:t>035</w:t>
      </w:r>
      <w:r>
        <w:rPr>
          <w:rFonts w:hint="eastAsia"/>
        </w:rPr>
        <w:t>年文成移动通信普及率为1</w:t>
      </w:r>
      <w:r>
        <w:t>50</w:t>
      </w:r>
      <w:r>
        <w:rPr>
          <w:rFonts w:hint="eastAsia"/>
        </w:rPr>
        <w:t>%</w:t>
      </w:r>
      <w:r>
        <w:t>。根据旅游规模预测远期高峰期游人量为46400人，</w:t>
      </w:r>
      <w:r>
        <w:rPr>
          <w:rFonts w:hint="eastAsia"/>
        </w:rPr>
        <w:t>规划居民人口为</w:t>
      </w:r>
      <w:r>
        <w:t>14159</w:t>
      </w:r>
      <w:r>
        <w:rPr>
          <w:rFonts w:hint="eastAsia"/>
        </w:rPr>
        <w:t>人，</w:t>
      </w:r>
      <w:r>
        <w:t>则预计规划</w:t>
      </w:r>
      <w:r>
        <w:rPr>
          <w:rFonts w:hint="eastAsia"/>
        </w:rPr>
        <w:t>远</w:t>
      </w:r>
      <w:r>
        <w:t>期移动通信需求约9.1万户。</w:t>
      </w:r>
    </w:p>
    <w:p>
      <w:pPr>
        <w:spacing w:before="93" w:beforeLines="30"/>
        <w:ind w:firstLine="480"/>
      </w:pPr>
      <w:r>
        <w:t>（3）有线电视用户预测</w:t>
      </w:r>
    </w:p>
    <w:p>
      <w:pPr>
        <w:spacing w:before="93" w:beforeLines="30"/>
        <w:ind w:firstLine="480"/>
      </w:pPr>
      <w:r>
        <w:t>根据规划预测的床位数及居民人口规模，参照国内其他类似地区有线电视用户发展水平，</w:t>
      </w:r>
      <w:r>
        <w:rPr>
          <w:rFonts w:hint="eastAsia"/>
        </w:rPr>
        <w:t>风景区内床位数为</w:t>
      </w:r>
      <w:r>
        <w:t>2076</w:t>
      </w:r>
      <w:r>
        <w:rPr>
          <w:rFonts w:hint="eastAsia"/>
        </w:rPr>
        <w:t>床，按照1</w:t>
      </w:r>
      <w:r>
        <w:t>.5</w:t>
      </w:r>
      <w:r>
        <w:rPr>
          <w:rFonts w:hint="eastAsia"/>
        </w:rPr>
        <w:t>端/床计算，</w:t>
      </w:r>
      <w:r>
        <w:t>预测风景区内发展有线电视标准信号端口约3114端。</w:t>
      </w:r>
    </w:p>
    <w:p>
      <w:pPr>
        <w:ind w:firstLine="482"/>
        <w:rPr>
          <w:b/>
        </w:rPr>
      </w:pPr>
      <w:r>
        <w:rPr>
          <w:b/>
        </w:rPr>
        <w:t>3、移动通信规划</w:t>
      </w:r>
    </w:p>
    <w:p>
      <w:pPr>
        <w:spacing w:before="93" w:beforeLines="30"/>
        <w:ind w:firstLine="480"/>
      </w:pPr>
      <w:r>
        <w:rPr>
          <w:rFonts w:hint="eastAsia"/>
        </w:rPr>
        <w:t>目前风景区内人流可达区域基本都已有网络和信号覆盖，本规划期内主要在原网络基础上进行通信设备迭代升级以及盲点补足。</w:t>
      </w:r>
    </w:p>
    <w:p>
      <w:pPr>
        <w:spacing w:before="93" w:beforeLines="30"/>
        <w:ind w:firstLine="480"/>
      </w:pPr>
      <w:r>
        <w:rPr>
          <w:rFonts w:hint="eastAsia"/>
        </w:rPr>
        <w:t>规划以文成县现有通信网络为基础，建立并完善无人机基站、wifi基站等通信设施，基站的选址和建设应尽量避开景观视廊，不破坏景区的视觉景观，具体可通过基站选址论证或区块建设方案论证进行明确。风景名胜区内通信干线主要沿主干道路布置，一般采用架空布线方式，进入核心景区或其他主要景点、服务区（点）、居民点时可根据景观要求，改用埋地布线方式。</w:t>
      </w:r>
    </w:p>
    <w:p>
      <w:pPr>
        <w:spacing w:before="93" w:beforeLines="30"/>
        <w:ind w:firstLine="480"/>
      </w:pPr>
      <w:r>
        <w:rPr>
          <w:rFonts w:hint="eastAsia"/>
        </w:rPr>
        <w:t>风景名胜区一级、二级保护区（景区）范围内可建设必要的通信设施，以满足游览观光等信号服务需求。基站建设建议结合景区内的步行游览设施及旅游服务设施进行布设，对于信号覆盖要求不高的区域可采取微基站形式。</w:t>
      </w:r>
    </w:p>
    <w:p>
      <w:pPr>
        <w:spacing w:before="93" w:beforeLines="30"/>
        <w:ind w:firstLine="480"/>
      </w:pPr>
      <w:r>
        <w:rPr>
          <w:rFonts w:hint="eastAsia"/>
        </w:rPr>
        <w:t>风景区三级保护区范围内宜进行移动信号全覆盖，规划建议结合各类旅游服务设施、公路、游步道、无人机起降点等交通或基础设施，根据实际需求建设移动基站。移动通信基站宜采用各代网络共站，各运营商共建共享的方式建设。新建基站地面塔原则上应以景观塔为主，严格控制塔高。</w:t>
      </w:r>
    </w:p>
    <w:p>
      <w:pPr>
        <w:spacing w:before="93" w:beforeLines="30"/>
        <w:ind w:firstLine="480"/>
      </w:pPr>
      <w:r>
        <w:t>无线通信基站的设置，应当符合以下条件：</w:t>
      </w:r>
    </w:p>
    <w:p>
      <w:pPr>
        <w:spacing w:before="93" w:beforeLines="30"/>
        <w:ind w:firstLine="480"/>
      </w:pPr>
      <w:r>
        <w:t>（1）游览设施用地、居民社会用地内需要新建基站的，应尽量考虑在建筑顶层附建的方式建设。基站采用附建方式的，有条件时，宜考虑非居住建筑物；</w:t>
      </w:r>
    </w:p>
    <w:p>
      <w:pPr>
        <w:spacing w:before="93" w:beforeLines="30"/>
        <w:ind w:firstLine="480"/>
      </w:pPr>
      <w:r>
        <w:t>（2）景区内需要单独占地建设基站的，控制占地面积一般≤150m</w:t>
      </w:r>
      <w:r>
        <w:rPr>
          <w:vertAlign w:val="superscript"/>
        </w:rPr>
        <w:t>2</w:t>
      </w:r>
      <w:r>
        <w:t>。</w:t>
      </w:r>
    </w:p>
    <w:p>
      <w:pPr>
        <w:spacing w:before="93" w:beforeLines="30"/>
        <w:ind w:firstLine="480"/>
      </w:pPr>
      <w:r>
        <w:t>（3）新建移动通信基站原则上应采用仿生塔、美化塔形式，不宜采用单管塔，不得采用铁架塔形式，以减少对百丈漈—飞云湖风景区景观环境的影响。</w:t>
      </w:r>
    </w:p>
    <w:p>
      <w:pPr>
        <w:spacing w:before="93" w:beforeLines="30"/>
        <w:ind w:firstLine="480"/>
      </w:pPr>
      <w:r>
        <w:t>（4）基站天馈线的走向和布局应当与建筑物及周边环境相协调。</w:t>
      </w:r>
    </w:p>
    <w:p>
      <w:pPr>
        <w:pStyle w:val="13"/>
        <w:keepNext/>
        <w:spacing w:before="93"/>
        <w:ind w:firstLine="422"/>
        <w:jc w:val="center"/>
        <w:rPr>
          <w:b/>
          <w:kern w:val="0"/>
          <w:sz w:val="21"/>
          <w:szCs w:val="21"/>
        </w:rPr>
      </w:pPr>
      <w:r>
        <w:rPr>
          <w:rFonts w:hint="eastAsia" w:ascii="Times New Roman" w:hAnsi="Times New Roman" w:eastAsia="宋体"/>
          <w:b/>
          <w:kern w:val="0"/>
          <w:sz w:val="21"/>
          <w:szCs w:val="21"/>
        </w:rPr>
        <w:t>表4</w:t>
      </w:r>
      <w:r>
        <w:rPr>
          <w:rFonts w:ascii="Times New Roman" w:hAnsi="Times New Roman" w:eastAsia="宋体"/>
          <w:b/>
          <w:kern w:val="0"/>
          <w:sz w:val="21"/>
          <w:szCs w:val="21"/>
        </w:rPr>
        <w:t xml:space="preserve">-18 </w:t>
      </w:r>
      <w:r>
        <w:rPr>
          <w:rFonts w:hint="eastAsia" w:ascii="Times New Roman" w:hAnsi="Times New Roman" w:eastAsia="宋体"/>
          <w:b/>
          <w:kern w:val="0"/>
          <w:sz w:val="21"/>
          <w:szCs w:val="21"/>
        </w:rPr>
        <w:t>规划新建通信基站一览表</w:t>
      </w:r>
    </w:p>
    <w:tbl>
      <w:tblPr>
        <w:tblStyle w:val="43"/>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614"/>
        <w:gridCol w:w="3680"/>
        <w:gridCol w:w="1699"/>
        <w:gridCol w:w="1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30" w:hRule="atLeast"/>
        </w:trPr>
        <w:tc>
          <w:tcPr>
            <w:tcW w:w="1614" w:type="dxa"/>
            <w:shd w:val="clear" w:color="auto" w:fill="E2E2E2"/>
            <w:vAlign w:val="center"/>
          </w:tcPr>
          <w:p>
            <w:pPr>
              <w:widowControl/>
              <w:adjustRightInd w:val="0"/>
              <w:snapToGrid w:val="0"/>
              <w:spacing w:line="240" w:lineRule="auto"/>
              <w:ind w:firstLine="0" w:firstLineChars="0"/>
              <w:jc w:val="center"/>
              <w:rPr>
                <w:b/>
                <w:kern w:val="0"/>
                <w:sz w:val="18"/>
                <w:szCs w:val="18"/>
              </w:rPr>
            </w:pPr>
            <w:r>
              <w:rPr>
                <w:rFonts w:hint="eastAsia"/>
                <w:b/>
                <w:kern w:val="0"/>
                <w:sz w:val="18"/>
                <w:szCs w:val="18"/>
              </w:rPr>
              <w:t>基站类型</w:t>
            </w:r>
          </w:p>
        </w:tc>
        <w:tc>
          <w:tcPr>
            <w:tcW w:w="3680" w:type="dxa"/>
            <w:shd w:val="clear" w:color="auto" w:fill="E2E2E2"/>
            <w:vAlign w:val="center"/>
          </w:tcPr>
          <w:p>
            <w:pPr>
              <w:widowControl/>
              <w:adjustRightInd w:val="0"/>
              <w:snapToGrid w:val="0"/>
              <w:spacing w:line="240" w:lineRule="auto"/>
              <w:ind w:firstLine="0" w:firstLineChars="0"/>
              <w:jc w:val="center"/>
              <w:rPr>
                <w:b/>
                <w:kern w:val="0"/>
                <w:sz w:val="18"/>
                <w:szCs w:val="18"/>
              </w:rPr>
            </w:pPr>
            <w:r>
              <w:rPr>
                <w:rFonts w:hint="eastAsia"/>
                <w:b/>
                <w:kern w:val="0"/>
                <w:sz w:val="18"/>
                <w:szCs w:val="18"/>
              </w:rPr>
              <w:t>基站位置</w:t>
            </w:r>
          </w:p>
        </w:tc>
        <w:tc>
          <w:tcPr>
            <w:tcW w:w="1699" w:type="dxa"/>
            <w:shd w:val="clear" w:color="auto" w:fill="E2E2E2"/>
            <w:vAlign w:val="center"/>
          </w:tcPr>
          <w:p>
            <w:pPr>
              <w:widowControl/>
              <w:adjustRightInd w:val="0"/>
              <w:snapToGrid w:val="0"/>
              <w:spacing w:line="240" w:lineRule="auto"/>
              <w:ind w:firstLine="0" w:firstLineChars="0"/>
              <w:jc w:val="center"/>
              <w:rPr>
                <w:b/>
                <w:kern w:val="0"/>
                <w:sz w:val="18"/>
                <w:szCs w:val="18"/>
              </w:rPr>
            </w:pPr>
            <w:r>
              <w:rPr>
                <w:rFonts w:hint="eastAsia"/>
                <w:b/>
                <w:kern w:val="0"/>
                <w:sz w:val="18"/>
                <w:szCs w:val="18"/>
              </w:rPr>
              <w:t>基站数量</w:t>
            </w:r>
          </w:p>
        </w:tc>
        <w:tc>
          <w:tcPr>
            <w:tcW w:w="1841" w:type="dxa"/>
            <w:shd w:val="clear" w:color="auto" w:fill="E2E2E2"/>
            <w:vAlign w:val="center"/>
          </w:tcPr>
          <w:p>
            <w:pPr>
              <w:widowControl/>
              <w:adjustRightInd w:val="0"/>
              <w:snapToGrid w:val="0"/>
              <w:spacing w:line="240" w:lineRule="auto"/>
              <w:ind w:firstLine="0" w:firstLineChars="0"/>
              <w:jc w:val="center"/>
              <w:rPr>
                <w:b/>
                <w:kern w:val="0"/>
                <w:sz w:val="18"/>
                <w:szCs w:val="18"/>
              </w:rPr>
            </w:pPr>
            <w:r>
              <w:rPr>
                <w:rFonts w:hint="eastAsia"/>
                <w:b/>
                <w:kern w:val="0"/>
                <w:sz w:val="18"/>
                <w:szCs w:val="18"/>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79" w:hRule="atLeast"/>
        </w:trPr>
        <w:tc>
          <w:tcPr>
            <w:tcW w:w="1614" w:type="dxa"/>
            <w:vMerge w:val="restart"/>
            <w:vAlign w:val="center"/>
          </w:tcPr>
          <w:p>
            <w:pPr>
              <w:widowControl/>
              <w:adjustRightInd w:val="0"/>
              <w:snapToGrid w:val="0"/>
              <w:spacing w:line="240" w:lineRule="auto"/>
              <w:ind w:firstLine="0" w:firstLineChars="0"/>
              <w:jc w:val="center"/>
              <w:rPr>
                <w:kern w:val="0"/>
                <w:sz w:val="18"/>
                <w:szCs w:val="18"/>
              </w:rPr>
            </w:pPr>
            <w:r>
              <w:rPr>
                <w:rFonts w:hint="eastAsia"/>
                <w:kern w:val="0"/>
                <w:sz w:val="18"/>
                <w:szCs w:val="18"/>
              </w:rPr>
              <w:t>景区</w:t>
            </w:r>
          </w:p>
          <w:p>
            <w:pPr>
              <w:adjustRightInd w:val="0"/>
              <w:snapToGrid w:val="0"/>
              <w:spacing w:line="240" w:lineRule="auto"/>
              <w:ind w:firstLine="360"/>
              <w:jc w:val="center"/>
              <w:rPr>
                <w:kern w:val="0"/>
                <w:sz w:val="18"/>
                <w:szCs w:val="18"/>
              </w:rPr>
            </w:pPr>
          </w:p>
        </w:tc>
        <w:tc>
          <w:tcPr>
            <w:tcW w:w="3680" w:type="dxa"/>
            <w:vAlign w:val="center"/>
          </w:tcPr>
          <w:p>
            <w:pPr>
              <w:widowControl/>
              <w:adjustRightInd w:val="0"/>
              <w:snapToGrid w:val="0"/>
              <w:spacing w:line="240" w:lineRule="auto"/>
              <w:ind w:firstLine="0" w:firstLineChars="0"/>
              <w:jc w:val="center"/>
              <w:rPr>
                <w:kern w:val="0"/>
                <w:sz w:val="18"/>
                <w:szCs w:val="18"/>
              </w:rPr>
            </w:pPr>
            <w:r>
              <w:rPr>
                <w:rFonts w:hint="eastAsia"/>
                <w:kern w:val="0"/>
                <w:sz w:val="18"/>
                <w:szCs w:val="18"/>
              </w:rPr>
              <w:t>朱阳九峰景区</w:t>
            </w:r>
          </w:p>
        </w:tc>
        <w:tc>
          <w:tcPr>
            <w:tcW w:w="1699" w:type="dxa"/>
            <w:vAlign w:val="center"/>
          </w:tcPr>
          <w:p>
            <w:pPr>
              <w:widowControl/>
              <w:adjustRightInd w:val="0"/>
              <w:snapToGrid w:val="0"/>
              <w:spacing w:line="240" w:lineRule="auto"/>
              <w:ind w:firstLine="0" w:firstLineChars="0"/>
              <w:jc w:val="center"/>
              <w:rPr>
                <w:kern w:val="0"/>
                <w:sz w:val="18"/>
                <w:szCs w:val="18"/>
              </w:rPr>
            </w:pPr>
            <w:r>
              <w:rPr>
                <w:rFonts w:hint="eastAsia"/>
                <w:kern w:val="0"/>
                <w:sz w:val="18"/>
                <w:szCs w:val="18"/>
              </w:rPr>
              <w:t>6</w:t>
            </w:r>
          </w:p>
        </w:tc>
        <w:tc>
          <w:tcPr>
            <w:tcW w:w="1841" w:type="dxa"/>
            <w:vMerge w:val="restart"/>
            <w:vAlign w:val="center"/>
          </w:tcPr>
          <w:p>
            <w:pPr>
              <w:widowControl/>
              <w:adjustRightInd w:val="0"/>
              <w:snapToGrid w:val="0"/>
              <w:spacing w:line="240" w:lineRule="auto"/>
              <w:ind w:firstLine="0" w:firstLineChars="0"/>
              <w:jc w:val="center"/>
              <w:rPr>
                <w:kern w:val="0"/>
                <w:sz w:val="18"/>
                <w:szCs w:val="18"/>
              </w:rPr>
            </w:pPr>
            <w:r>
              <w:rPr>
                <w:rFonts w:hint="eastAsia"/>
                <w:kern w:val="0"/>
                <w:sz w:val="18"/>
                <w:szCs w:val="18"/>
              </w:rPr>
              <w:t>根据后续人流分布、景区建设方案等合理选址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1614" w:type="dxa"/>
            <w:vMerge w:val="continue"/>
            <w:vAlign w:val="center"/>
          </w:tcPr>
          <w:p>
            <w:pPr>
              <w:adjustRightInd w:val="0"/>
              <w:snapToGrid w:val="0"/>
              <w:spacing w:line="240" w:lineRule="auto"/>
              <w:ind w:firstLine="360"/>
              <w:jc w:val="center"/>
              <w:rPr>
                <w:kern w:val="0"/>
                <w:sz w:val="18"/>
                <w:szCs w:val="18"/>
              </w:rPr>
            </w:pPr>
          </w:p>
        </w:tc>
        <w:tc>
          <w:tcPr>
            <w:tcW w:w="3680" w:type="dxa"/>
            <w:vAlign w:val="center"/>
          </w:tcPr>
          <w:p>
            <w:pPr>
              <w:widowControl/>
              <w:adjustRightInd w:val="0"/>
              <w:snapToGrid w:val="0"/>
              <w:spacing w:line="240" w:lineRule="auto"/>
              <w:ind w:firstLine="0" w:firstLineChars="0"/>
              <w:jc w:val="center"/>
              <w:rPr>
                <w:kern w:val="0"/>
                <w:sz w:val="18"/>
                <w:szCs w:val="18"/>
              </w:rPr>
            </w:pPr>
            <w:r>
              <w:rPr>
                <w:rFonts w:hint="eastAsia"/>
                <w:kern w:val="0"/>
                <w:sz w:val="18"/>
                <w:szCs w:val="18"/>
              </w:rPr>
              <w:t>牛栏湾景区</w:t>
            </w:r>
          </w:p>
        </w:tc>
        <w:tc>
          <w:tcPr>
            <w:tcW w:w="1699" w:type="dxa"/>
            <w:vAlign w:val="center"/>
          </w:tcPr>
          <w:p>
            <w:pPr>
              <w:widowControl/>
              <w:adjustRightInd w:val="0"/>
              <w:snapToGrid w:val="0"/>
              <w:spacing w:line="240" w:lineRule="auto"/>
              <w:ind w:firstLine="0" w:firstLineChars="0"/>
              <w:jc w:val="center"/>
              <w:rPr>
                <w:kern w:val="0"/>
                <w:sz w:val="18"/>
                <w:szCs w:val="18"/>
              </w:rPr>
            </w:pPr>
            <w:r>
              <w:rPr>
                <w:rFonts w:hint="eastAsia"/>
                <w:kern w:val="0"/>
                <w:sz w:val="18"/>
                <w:szCs w:val="18"/>
              </w:rPr>
              <w:t>7</w:t>
            </w:r>
          </w:p>
        </w:tc>
        <w:tc>
          <w:tcPr>
            <w:tcW w:w="1841" w:type="dxa"/>
            <w:vMerge w:val="continue"/>
            <w:vAlign w:val="center"/>
          </w:tcPr>
          <w:p>
            <w:pPr>
              <w:widowControl/>
              <w:adjustRightInd w:val="0"/>
              <w:snapToGrid w:val="0"/>
              <w:spacing w:line="240" w:lineRule="auto"/>
              <w:ind w:firstLine="0" w:firstLineChars="0"/>
              <w:jc w:val="center"/>
              <w:rPr>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1614" w:type="dxa"/>
            <w:vMerge w:val="continue"/>
            <w:vAlign w:val="center"/>
          </w:tcPr>
          <w:p>
            <w:pPr>
              <w:adjustRightInd w:val="0"/>
              <w:snapToGrid w:val="0"/>
              <w:spacing w:line="240" w:lineRule="auto"/>
              <w:ind w:firstLine="360"/>
              <w:jc w:val="center"/>
              <w:rPr>
                <w:kern w:val="0"/>
                <w:sz w:val="18"/>
                <w:szCs w:val="18"/>
              </w:rPr>
            </w:pPr>
          </w:p>
        </w:tc>
        <w:tc>
          <w:tcPr>
            <w:tcW w:w="3680" w:type="dxa"/>
            <w:vAlign w:val="center"/>
          </w:tcPr>
          <w:p>
            <w:pPr>
              <w:widowControl/>
              <w:adjustRightInd w:val="0"/>
              <w:snapToGrid w:val="0"/>
              <w:spacing w:line="240" w:lineRule="auto"/>
              <w:ind w:firstLine="0" w:firstLineChars="0"/>
              <w:jc w:val="center"/>
              <w:rPr>
                <w:kern w:val="0"/>
                <w:sz w:val="18"/>
                <w:szCs w:val="18"/>
              </w:rPr>
            </w:pPr>
            <w:r>
              <w:rPr>
                <w:rFonts w:hint="eastAsia"/>
                <w:kern w:val="0"/>
                <w:sz w:val="18"/>
                <w:szCs w:val="18"/>
              </w:rPr>
              <w:t>伯温故里景区</w:t>
            </w:r>
          </w:p>
        </w:tc>
        <w:tc>
          <w:tcPr>
            <w:tcW w:w="1699" w:type="dxa"/>
            <w:vAlign w:val="center"/>
          </w:tcPr>
          <w:p>
            <w:pPr>
              <w:widowControl/>
              <w:adjustRightInd w:val="0"/>
              <w:snapToGrid w:val="0"/>
              <w:spacing w:line="240" w:lineRule="auto"/>
              <w:ind w:firstLine="0" w:firstLineChars="0"/>
              <w:jc w:val="center"/>
              <w:rPr>
                <w:kern w:val="0"/>
                <w:sz w:val="18"/>
                <w:szCs w:val="18"/>
              </w:rPr>
            </w:pPr>
            <w:r>
              <w:rPr>
                <w:rFonts w:hint="eastAsia"/>
                <w:kern w:val="0"/>
                <w:sz w:val="18"/>
                <w:szCs w:val="18"/>
              </w:rPr>
              <w:t>6</w:t>
            </w:r>
          </w:p>
        </w:tc>
        <w:tc>
          <w:tcPr>
            <w:tcW w:w="1841" w:type="dxa"/>
            <w:vMerge w:val="continue"/>
            <w:vAlign w:val="center"/>
          </w:tcPr>
          <w:p>
            <w:pPr>
              <w:widowControl/>
              <w:adjustRightInd w:val="0"/>
              <w:snapToGrid w:val="0"/>
              <w:spacing w:line="240" w:lineRule="auto"/>
              <w:ind w:firstLine="0" w:firstLineChars="0"/>
              <w:jc w:val="center"/>
              <w:rPr>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1614" w:type="dxa"/>
            <w:vMerge w:val="continue"/>
            <w:vAlign w:val="center"/>
          </w:tcPr>
          <w:p>
            <w:pPr>
              <w:adjustRightInd w:val="0"/>
              <w:snapToGrid w:val="0"/>
              <w:spacing w:line="240" w:lineRule="auto"/>
              <w:ind w:firstLine="360"/>
              <w:jc w:val="center"/>
              <w:rPr>
                <w:kern w:val="0"/>
                <w:sz w:val="18"/>
                <w:szCs w:val="18"/>
              </w:rPr>
            </w:pPr>
          </w:p>
        </w:tc>
        <w:tc>
          <w:tcPr>
            <w:tcW w:w="3680" w:type="dxa"/>
            <w:vAlign w:val="center"/>
          </w:tcPr>
          <w:p>
            <w:pPr>
              <w:widowControl/>
              <w:adjustRightInd w:val="0"/>
              <w:snapToGrid w:val="0"/>
              <w:spacing w:line="240" w:lineRule="auto"/>
              <w:ind w:firstLine="0" w:firstLineChars="0"/>
              <w:jc w:val="center"/>
              <w:rPr>
                <w:kern w:val="0"/>
                <w:sz w:val="18"/>
                <w:szCs w:val="18"/>
              </w:rPr>
            </w:pPr>
            <w:r>
              <w:rPr>
                <w:rFonts w:hint="eastAsia"/>
                <w:kern w:val="0"/>
                <w:sz w:val="18"/>
                <w:szCs w:val="18"/>
              </w:rPr>
              <w:t>龙麒源景区</w:t>
            </w:r>
          </w:p>
        </w:tc>
        <w:tc>
          <w:tcPr>
            <w:tcW w:w="1699" w:type="dxa"/>
            <w:vAlign w:val="center"/>
          </w:tcPr>
          <w:p>
            <w:pPr>
              <w:widowControl/>
              <w:adjustRightInd w:val="0"/>
              <w:snapToGrid w:val="0"/>
              <w:spacing w:line="240" w:lineRule="auto"/>
              <w:ind w:firstLine="0" w:firstLineChars="0"/>
              <w:jc w:val="center"/>
              <w:rPr>
                <w:kern w:val="0"/>
                <w:sz w:val="18"/>
                <w:szCs w:val="18"/>
              </w:rPr>
            </w:pPr>
            <w:r>
              <w:rPr>
                <w:rFonts w:hint="eastAsia"/>
                <w:kern w:val="0"/>
                <w:sz w:val="18"/>
                <w:szCs w:val="18"/>
              </w:rPr>
              <w:t>1</w:t>
            </w:r>
            <w:r>
              <w:rPr>
                <w:kern w:val="0"/>
                <w:sz w:val="18"/>
                <w:szCs w:val="18"/>
              </w:rPr>
              <w:t>1</w:t>
            </w:r>
          </w:p>
        </w:tc>
        <w:tc>
          <w:tcPr>
            <w:tcW w:w="1841" w:type="dxa"/>
            <w:vMerge w:val="continue"/>
            <w:vAlign w:val="center"/>
          </w:tcPr>
          <w:p>
            <w:pPr>
              <w:widowControl/>
              <w:adjustRightInd w:val="0"/>
              <w:snapToGrid w:val="0"/>
              <w:spacing w:line="240" w:lineRule="auto"/>
              <w:ind w:firstLine="0" w:firstLineChars="0"/>
              <w:jc w:val="center"/>
              <w:rPr>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1614" w:type="dxa"/>
            <w:vMerge w:val="continue"/>
            <w:vAlign w:val="center"/>
          </w:tcPr>
          <w:p>
            <w:pPr>
              <w:widowControl/>
              <w:adjustRightInd w:val="0"/>
              <w:snapToGrid w:val="0"/>
              <w:spacing w:line="240" w:lineRule="auto"/>
              <w:ind w:firstLine="0" w:firstLineChars="0"/>
              <w:jc w:val="center"/>
              <w:rPr>
                <w:kern w:val="0"/>
                <w:sz w:val="18"/>
                <w:szCs w:val="18"/>
              </w:rPr>
            </w:pPr>
          </w:p>
        </w:tc>
        <w:tc>
          <w:tcPr>
            <w:tcW w:w="3680" w:type="dxa"/>
            <w:vAlign w:val="center"/>
          </w:tcPr>
          <w:p>
            <w:pPr>
              <w:widowControl/>
              <w:adjustRightInd w:val="0"/>
              <w:snapToGrid w:val="0"/>
              <w:spacing w:line="240" w:lineRule="auto"/>
              <w:ind w:firstLine="0" w:firstLineChars="0"/>
              <w:jc w:val="center"/>
              <w:rPr>
                <w:kern w:val="0"/>
                <w:sz w:val="18"/>
                <w:szCs w:val="18"/>
              </w:rPr>
            </w:pPr>
            <w:r>
              <w:rPr>
                <w:rFonts w:hint="eastAsia"/>
                <w:kern w:val="0"/>
                <w:sz w:val="18"/>
                <w:szCs w:val="18"/>
              </w:rPr>
              <w:t>岩门大峡谷景区</w:t>
            </w:r>
          </w:p>
        </w:tc>
        <w:tc>
          <w:tcPr>
            <w:tcW w:w="1699" w:type="dxa"/>
            <w:vAlign w:val="center"/>
          </w:tcPr>
          <w:p>
            <w:pPr>
              <w:widowControl/>
              <w:adjustRightInd w:val="0"/>
              <w:snapToGrid w:val="0"/>
              <w:spacing w:line="240" w:lineRule="auto"/>
              <w:ind w:firstLine="0" w:firstLineChars="0"/>
              <w:jc w:val="center"/>
              <w:rPr>
                <w:kern w:val="0"/>
                <w:sz w:val="18"/>
                <w:szCs w:val="18"/>
              </w:rPr>
            </w:pPr>
            <w:r>
              <w:rPr>
                <w:rFonts w:hint="eastAsia"/>
                <w:kern w:val="0"/>
                <w:sz w:val="18"/>
                <w:szCs w:val="18"/>
              </w:rPr>
              <w:t>1</w:t>
            </w:r>
            <w:r>
              <w:rPr>
                <w:kern w:val="0"/>
                <w:sz w:val="18"/>
                <w:szCs w:val="18"/>
              </w:rPr>
              <w:t>0</w:t>
            </w:r>
          </w:p>
        </w:tc>
        <w:tc>
          <w:tcPr>
            <w:tcW w:w="1841" w:type="dxa"/>
            <w:vMerge w:val="continue"/>
            <w:vAlign w:val="center"/>
          </w:tcPr>
          <w:p>
            <w:pPr>
              <w:widowControl/>
              <w:adjustRightInd w:val="0"/>
              <w:snapToGrid w:val="0"/>
              <w:spacing w:line="240" w:lineRule="auto"/>
              <w:ind w:firstLine="0" w:firstLineChars="0"/>
              <w:jc w:val="center"/>
              <w:rPr>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1614" w:type="dxa"/>
            <w:vMerge w:val="continue"/>
            <w:vAlign w:val="center"/>
          </w:tcPr>
          <w:p>
            <w:pPr>
              <w:widowControl/>
              <w:adjustRightInd w:val="0"/>
              <w:snapToGrid w:val="0"/>
              <w:spacing w:line="240" w:lineRule="auto"/>
              <w:ind w:firstLine="0" w:firstLineChars="0"/>
              <w:jc w:val="center"/>
              <w:rPr>
                <w:kern w:val="0"/>
                <w:sz w:val="18"/>
                <w:szCs w:val="18"/>
              </w:rPr>
            </w:pPr>
          </w:p>
        </w:tc>
        <w:tc>
          <w:tcPr>
            <w:tcW w:w="3680" w:type="dxa"/>
            <w:vAlign w:val="center"/>
          </w:tcPr>
          <w:p>
            <w:pPr>
              <w:widowControl/>
              <w:adjustRightInd w:val="0"/>
              <w:snapToGrid w:val="0"/>
              <w:spacing w:line="240" w:lineRule="auto"/>
              <w:ind w:firstLine="0" w:firstLineChars="0"/>
              <w:jc w:val="center"/>
              <w:rPr>
                <w:kern w:val="0"/>
                <w:sz w:val="18"/>
                <w:szCs w:val="18"/>
              </w:rPr>
            </w:pPr>
            <w:r>
              <w:rPr>
                <w:rFonts w:hint="eastAsia"/>
                <w:kern w:val="0"/>
                <w:sz w:val="18"/>
                <w:szCs w:val="18"/>
              </w:rPr>
              <w:t>飞云湖景区</w:t>
            </w:r>
          </w:p>
        </w:tc>
        <w:tc>
          <w:tcPr>
            <w:tcW w:w="1699" w:type="dxa"/>
            <w:vAlign w:val="center"/>
          </w:tcPr>
          <w:p>
            <w:pPr>
              <w:widowControl/>
              <w:adjustRightInd w:val="0"/>
              <w:snapToGrid w:val="0"/>
              <w:spacing w:line="240" w:lineRule="auto"/>
              <w:ind w:firstLine="0" w:firstLineChars="0"/>
              <w:jc w:val="center"/>
              <w:rPr>
                <w:kern w:val="0"/>
                <w:sz w:val="18"/>
                <w:szCs w:val="18"/>
              </w:rPr>
            </w:pPr>
            <w:r>
              <w:rPr>
                <w:rFonts w:hint="eastAsia"/>
                <w:kern w:val="0"/>
                <w:sz w:val="18"/>
                <w:szCs w:val="18"/>
              </w:rPr>
              <w:t>1</w:t>
            </w:r>
            <w:r>
              <w:rPr>
                <w:kern w:val="0"/>
                <w:sz w:val="18"/>
                <w:szCs w:val="18"/>
              </w:rPr>
              <w:t>7</w:t>
            </w:r>
          </w:p>
        </w:tc>
        <w:tc>
          <w:tcPr>
            <w:tcW w:w="1841" w:type="dxa"/>
            <w:vMerge w:val="continue"/>
            <w:vAlign w:val="center"/>
          </w:tcPr>
          <w:p>
            <w:pPr>
              <w:widowControl/>
              <w:adjustRightInd w:val="0"/>
              <w:snapToGrid w:val="0"/>
              <w:spacing w:line="240" w:lineRule="auto"/>
              <w:ind w:firstLine="0" w:firstLineChars="0"/>
              <w:jc w:val="center"/>
              <w:rPr>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1614" w:type="dxa"/>
            <w:vMerge w:val="continue"/>
            <w:vAlign w:val="center"/>
          </w:tcPr>
          <w:p>
            <w:pPr>
              <w:widowControl/>
              <w:adjustRightInd w:val="0"/>
              <w:snapToGrid w:val="0"/>
              <w:spacing w:line="240" w:lineRule="auto"/>
              <w:ind w:firstLine="0" w:firstLineChars="0"/>
              <w:jc w:val="center"/>
              <w:rPr>
                <w:kern w:val="0"/>
                <w:sz w:val="18"/>
                <w:szCs w:val="18"/>
              </w:rPr>
            </w:pPr>
          </w:p>
        </w:tc>
        <w:tc>
          <w:tcPr>
            <w:tcW w:w="3680" w:type="dxa"/>
            <w:vAlign w:val="center"/>
          </w:tcPr>
          <w:p>
            <w:pPr>
              <w:widowControl/>
              <w:adjustRightInd w:val="0"/>
              <w:snapToGrid w:val="0"/>
              <w:spacing w:line="240" w:lineRule="auto"/>
              <w:ind w:firstLine="0" w:firstLineChars="0"/>
              <w:jc w:val="center"/>
              <w:rPr>
                <w:kern w:val="0"/>
                <w:sz w:val="18"/>
                <w:szCs w:val="18"/>
              </w:rPr>
            </w:pPr>
            <w:r>
              <w:rPr>
                <w:rFonts w:hint="eastAsia"/>
                <w:kern w:val="0"/>
                <w:sz w:val="18"/>
                <w:szCs w:val="18"/>
              </w:rPr>
              <w:t>石垟景区</w:t>
            </w:r>
          </w:p>
        </w:tc>
        <w:tc>
          <w:tcPr>
            <w:tcW w:w="1699" w:type="dxa"/>
            <w:vAlign w:val="center"/>
          </w:tcPr>
          <w:p>
            <w:pPr>
              <w:widowControl/>
              <w:adjustRightInd w:val="0"/>
              <w:snapToGrid w:val="0"/>
              <w:spacing w:line="240" w:lineRule="auto"/>
              <w:ind w:firstLine="0" w:firstLineChars="0"/>
              <w:jc w:val="center"/>
              <w:rPr>
                <w:kern w:val="0"/>
                <w:sz w:val="18"/>
                <w:szCs w:val="18"/>
              </w:rPr>
            </w:pPr>
            <w:r>
              <w:rPr>
                <w:rFonts w:hint="eastAsia"/>
                <w:kern w:val="0"/>
                <w:sz w:val="18"/>
                <w:szCs w:val="18"/>
              </w:rPr>
              <w:t>1</w:t>
            </w:r>
            <w:r>
              <w:rPr>
                <w:kern w:val="0"/>
                <w:sz w:val="18"/>
                <w:szCs w:val="18"/>
              </w:rPr>
              <w:t>2</w:t>
            </w:r>
          </w:p>
        </w:tc>
        <w:tc>
          <w:tcPr>
            <w:tcW w:w="1841" w:type="dxa"/>
            <w:vMerge w:val="continue"/>
            <w:vAlign w:val="center"/>
          </w:tcPr>
          <w:p>
            <w:pPr>
              <w:widowControl/>
              <w:adjustRightInd w:val="0"/>
              <w:snapToGrid w:val="0"/>
              <w:spacing w:line="240" w:lineRule="auto"/>
              <w:ind w:firstLine="0" w:firstLineChars="0"/>
              <w:jc w:val="center"/>
              <w:rPr>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1614" w:type="dxa"/>
            <w:vMerge w:val="continue"/>
            <w:vAlign w:val="center"/>
          </w:tcPr>
          <w:p>
            <w:pPr>
              <w:widowControl/>
              <w:adjustRightInd w:val="0"/>
              <w:snapToGrid w:val="0"/>
              <w:spacing w:line="240" w:lineRule="auto"/>
              <w:ind w:firstLine="0" w:firstLineChars="0"/>
              <w:jc w:val="center"/>
              <w:rPr>
                <w:kern w:val="0"/>
                <w:sz w:val="18"/>
                <w:szCs w:val="18"/>
              </w:rPr>
            </w:pPr>
          </w:p>
        </w:tc>
        <w:tc>
          <w:tcPr>
            <w:tcW w:w="3680" w:type="dxa"/>
            <w:vAlign w:val="center"/>
          </w:tcPr>
          <w:p>
            <w:pPr>
              <w:widowControl/>
              <w:adjustRightInd w:val="0"/>
              <w:snapToGrid w:val="0"/>
              <w:spacing w:line="240" w:lineRule="auto"/>
              <w:ind w:firstLine="0" w:firstLineChars="0"/>
              <w:jc w:val="center"/>
              <w:rPr>
                <w:kern w:val="0"/>
                <w:sz w:val="18"/>
                <w:szCs w:val="18"/>
              </w:rPr>
            </w:pPr>
            <w:r>
              <w:rPr>
                <w:rFonts w:hint="eastAsia"/>
                <w:kern w:val="0"/>
                <w:sz w:val="18"/>
                <w:szCs w:val="18"/>
              </w:rPr>
              <w:t>百丈飞瀑景区</w:t>
            </w:r>
          </w:p>
        </w:tc>
        <w:tc>
          <w:tcPr>
            <w:tcW w:w="1699" w:type="dxa"/>
            <w:vAlign w:val="center"/>
          </w:tcPr>
          <w:p>
            <w:pPr>
              <w:widowControl/>
              <w:adjustRightInd w:val="0"/>
              <w:snapToGrid w:val="0"/>
              <w:spacing w:line="240" w:lineRule="auto"/>
              <w:ind w:firstLine="0" w:firstLineChars="0"/>
              <w:jc w:val="center"/>
              <w:rPr>
                <w:kern w:val="0"/>
                <w:sz w:val="18"/>
                <w:szCs w:val="18"/>
              </w:rPr>
            </w:pPr>
            <w:r>
              <w:rPr>
                <w:rFonts w:hint="eastAsia"/>
                <w:kern w:val="0"/>
                <w:sz w:val="18"/>
                <w:szCs w:val="18"/>
              </w:rPr>
              <w:t>1</w:t>
            </w:r>
            <w:r>
              <w:rPr>
                <w:kern w:val="0"/>
                <w:sz w:val="18"/>
                <w:szCs w:val="18"/>
              </w:rPr>
              <w:t>0</w:t>
            </w:r>
          </w:p>
        </w:tc>
        <w:tc>
          <w:tcPr>
            <w:tcW w:w="1841" w:type="dxa"/>
            <w:vMerge w:val="continue"/>
            <w:vAlign w:val="center"/>
          </w:tcPr>
          <w:p>
            <w:pPr>
              <w:widowControl/>
              <w:adjustRightInd w:val="0"/>
              <w:snapToGrid w:val="0"/>
              <w:spacing w:line="240" w:lineRule="auto"/>
              <w:ind w:firstLine="0" w:firstLineChars="0"/>
              <w:jc w:val="center"/>
              <w:rPr>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1614" w:type="dxa"/>
            <w:vMerge w:val="restart"/>
            <w:vAlign w:val="center"/>
          </w:tcPr>
          <w:p>
            <w:pPr>
              <w:widowControl/>
              <w:adjustRightInd w:val="0"/>
              <w:snapToGrid w:val="0"/>
              <w:spacing w:line="240" w:lineRule="auto"/>
              <w:ind w:firstLine="0" w:firstLineChars="0"/>
              <w:jc w:val="center"/>
              <w:rPr>
                <w:kern w:val="0"/>
                <w:sz w:val="18"/>
                <w:szCs w:val="18"/>
              </w:rPr>
            </w:pPr>
            <w:r>
              <w:rPr>
                <w:rFonts w:hint="eastAsia"/>
                <w:kern w:val="0"/>
                <w:sz w:val="18"/>
                <w:szCs w:val="18"/>
              </w:rPr>
              <w:t>交通线路</w:t>
            </w:r>
          </w:p>
        </w:tc>
        <w:tc>
          <w:tcPr>
            <w:tcW w:w="3680" w:type="dxa"/>
            <w:vAlign w:val="center"/>
          </w:tcPr>
          <w:p>
            <w:pPr>
              <w:widowControl/>
              <w:adjustRightInd w:val="0"/>
              <w:snapToGrid w:val="0"/>
              <w:spacing w:line="240" w:lineRule="auto"/>
              <w:ind w:firstLine="0" w:firstLineChars="0"/>
              <w:jc w:val="center"/>
              <w:rPr>
                <w:kern w:val="0"/>
                <w:sz w:val="18"/>
                <w:szCs w:val="18"/>
              </w:rPr>
            </w:pPr>
            <w:r>
              <w:rPr>
                <w:rFonts w:hint="eastAsia"/>
                <w:kern w:val="0"/>
                <w:sz w:val="18"/>
                <w:szCs w:val="18"/>
              </w:rPr>
              <w:t>铁路2：温武吉(温州-武夷山-吉安)铁路预留温衡桂高铁通道</w:t>
            </w:r>
          </w:p>
        </w:tc>
        <w:tc>
          <w:tcPr>
            <w:tcW w:w="1699" w:type="dxa"/>
            <w:vAlign w:val="center"/>
          </w:tcPr>
          <w:p>
            <w:pPr>
              <w:widowControl/>
              <w:adjustRightInd w:val="0"/>
              <w:snapToGrid w:val="0"/>
              <w:spacing w:line="240" w:lineRule="auto"/>
              <w:ind w:firstLine="0" w:firstLineChars="0"/>
              <w:jc w:val="center"/>
              <w:rPr>
                <w:kern w:val="0"/>
                <w:sz w:val="18"/>
                <w:szCs w:val="18"/>
              </w:rPr>
            </w:pPr>
            <w:r>
              <w:rPr>
                <w:rFonts w:hint="eastAsia"/>
                <w:kern w:val="0"/>
                <w:sz w:val="18"/>
                <w:szCs w:val="18"/>
              </w:rPr>
              <w:t>2</w:t>
            </w:r>
            <w:r>
              <w:rPr>
                <w:kern w:val="0"/>
                <w:sz w:val="18"/>
                <w:szCs w:val="18"/>
              </w:rPr>
              <w:t>7</w:t>
            </w:r>
          </w:p>
        </w:tc>
        <w:tc>
          <w:tcPr>
            <w:tcW w:w="1841" w:type="dxa"/>
            <w:vMerge w:val="continue"/>
            <w:vAlign w:val="center"/>
          </w:tcPr>
          <w:p>
            <w:pPr>
              <w:widowControl/>
              <w:adjustRightInd w:val="0"/>
              <w:snapToGrid w:val="0"/>
              <w:spacing w:line="240" w:lineRule="auto"/>
              <w:ind w:firstLine="0" w:firstLineChars="0"/>
              <w:jc w:val="center"/>
              <w:rPr>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1614" w:type="dxa"/>
            <w:vMerge w:val="continue"/>
            <w:vAlign w:val="center"/>
          </w:tcPr>
          <w:p>
            <w:pPr>
              <w:widowControl/>
              <w:adjustRightInd w:val="0"/>
              <w:snapToGrid w:val="0"/>
              <w:spacing w:line="240" w:lineRule="auto"/>
              <w:ind w:firstLine="0" w:firstLineChars="0"/>
              <w:jc w:val="center"/>
              <w:rPr>
                <w:kern w:val="0"/>
                <w:sz w:val="18"/>
                <w:szCs w:val="18"/>
              </w:rPr>
            </w:pPr>
          </w:p>
        </w:tc>
        <w:tc>
          <w:tcPr>
            <w:tcW w:w="3680" w:type="dxa"/>
            <w:vAlign w:val="center"/>
          </w:tcPr>
          <w:p>
            <w:pPr>
              <w:widowControl/>
              <w:adjustRightInd w:val="0"/>
              <w:snapToGrid w:val="0"/>
              <w:spacing w:line="240" w:lineRule="auto"/>
              <w:ind w:firstLine="0" w:firstLineChars="0"/>
              <w:jc w:val="center"/>
              <w:rPr>
                <w:kern w:val="0"/>
                <w:sz w:val="18"/>
                <w:szCs w:val="18"/>
              </w:rPr>
            </w:pPr>
            <w:r>
              <w:rPr>
                <w:rFonts w:hint="eastAsia"/>
                <w:kern w:val="0"/>
                <w:sz w:val="18"/>
                <w:szCs w:val="18"/>
              </w:rPr>
              <w:t>高速公路4+6：新建青文高速文成段以及该段两处双龙和玉壶互通</w:t>
            </w:r>
          </w:p>
        </w:tc>
        <w:tc>
          <w:tcPr>
            <w:tcW w:w="1699" w:type="dxa"/>
            <w:vAlign w:val="center"/>
          </w:tcPr>
          <w:p>
            <w:pPr>
              <w:widowControl/>
              <w:adjustRightInd w:val="0"/>
              <w:snapToGrid w:val="0"/>
              <w:spacing w:line="240" w:lineRule="auto"/>
              <w:ind w:firstLine="0" w:firstLineChars="0"/>
              <w:jc w:val="center"/>
              <w:rPr>
                <w:kern w:val="0"/>
                <w:sz w:val="18"/>
                <w:szCs w:val="18"/>
              </w:rPr>
            </w:pPr>
            <w:r>
              <w:rPr>
                <w:rFonts w:hint="eastAsia"/>
                <w:kern w:val="0"/>
                <w:sz w:val="18"/>
                <w:szCs w:val="18"/>
              </w:rPr>
              <w:t>2</w:t>
            </w:r>
            <w:r>
              <w:rPr>
                <w:kern w:val="0"/>
                <w:sz w:val="18"/>
                <w:szCs w:val="18"/>
              </w:rPr>
              <w:t>1</w:t>
            </w:r>
          </w:p>
        </w:tc>
        <w:tc>
          <w:tcPr>
            <w:tcW w:w="1841" w:type="dxa"/>
            <w:vMerge w:val="continue"/>
            <w:vAlign w:val="center"/>
          </w:tcPr>
          <w:p>
            <w:pPr>
              <w:widowControl/>
              <w:adjustRightInd w:val="0"/>
              <w:snapToGrid w:val="0"/>
              <w:spacing w:line="240" w:lineRule="auto"/>
              <w:ind w:firstLine="0" w:firstLineChars="0"/>
              <w:jc w:val="center"/>
              <w:rPr>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1614" w:type="dxa"/>
            <w:vMerge w:val="continue"/>
            <w:vAlign w:val="center"/>
          </w:tcPr>
          <w:p>
            <w:pPr>
              <w:widowControl/>
              <w:adjustRightInd w:val="0"/>
              <w:snapToGrid w:val="0"/>
              <w:spacing w:line="240" w:lineRule="auto"/>
              <w:ind w:firstLine="0" w:firstLineChars="0"/>
              <w:jc w:val="center"/>
              <w:rPr>
                <w:kern w:val="0"/>
                <w:sz w:val="18"/>
                <w:szCs w:val="18"/>
              </w:rPr>
            </w:pPr>
          </w:p>
        </w:tc>
        <w:tc>
          <w:tcPr>
            <w:tcW w:w="3680" w:type="dxa"/>
            <w:vAlign w:val="center"/>
          </w:tcPr>
          <w:p>
            <w:pPr>
              <w:widowControl/>
              <w:adjustRightInd w:val="0"/>
              <w:snapToGrid w:val="0"/>
              <w:spacing w:line="240" w:lineRule="auto"/>
              <w:ind w:firstLine="0" w:firstLineChars="0"/>
              <w:jc w:val="center"/>
              <w:rPr>
                <w:kern w:val="0"/>
                <w:sz w:val="18"/>
                <w:szCs w:val="18"/>
              </w:rPr>
            </w:pPr>
            <w:r>
              <w:rPr>
                <w:rFonts w:hint="eastAsia"/>
                <w:kern w:val="0"/>
                <w:sz w:val="18"/>
                <w:szCs w:val="18"/>
              </w:rPr>
              <w:t xml:space="preserve">国省道1+2：G322，S219、S220 </w:t>
            </w:r>
          </w:p>
        </w:tc>
        <w:tc>
          <w:tcPr>
            <w:tcW w:w="1699" w:type="dxa"/>
            <w:vAlign w:val="center"/>
          </w:tcPr>
          <w:p>
            <w:pPr>
              <w:widowControl/>
              <w:adjustRightInd w:val="0"/>
              <w:snapToGrid w:val="0"/>
              <w:spacing w:line="240" w:lineRule="auto"/>
              <w:ind w:firstLine="0" w:firstLineChars="0"/>
              <w:jc w:val="center"/>
              <w:rPr>
                <w:kern w:val="0"/>
                <w:sz w:val="18"/>
                <w:szCs w:val="18"/>
              </w:rPr>
            </w:pPr>
            <w:r>
              <w:rPr>
                <w:rFonts w:hint="eastAsia"/>
                <w:kern w:val="0"/>
                <w:sz w:val="18"/>
                <w:szCs w:val="18"/>
              </w:rPr>
              <w:t>2</w:t>
            </w:r>
            <w:r>
              <w:rPr>
                <w:kern w:val="0"/>
                <w:sz w:val="18"/>
                <w:szCs w:val="18"/>
              </w:rPr>
              <w:t>2</w:t>
            </w:r>
          </w:p>
        </w:tc>
        <w:tc>
          <w:tcPr>
            <w:tcW w:w="1841" w:type="dxa"/>
            <w:vMerge w:val="continue"/>
            <w:vAlign w:val="center"/>
          </w:tcPr>
          <w:p>
            <w:pPr>
              <w:widowControl/>
              <w:adjustRightInd w:val="0"/>
              <w:snapToGrid w:val="0"/>
              <w:spacing w:line="240" w:lineRule="auto"/>
              <w:ind w:firstLine="0" w:firstLineChars="0"/>
              <w:jc w:val="center"/>
              <w:rPr>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1614" w:type="dxa"/>
            <w:vAlign w:val="center"/>
          </w:tcPr>
          <w:p>
            <w:pPr>
              <w:widowControl/>
              <w:adjustRightInd w:val="0"/>
              <w:snapToGrid w:val="0"/>
              <w:spacing w:line="240" w:lineRule="auto"/>
              <w:ind w:firstLine="0" w:firstLineChars="0"/>
              <w:jc w:val="center"/>
              <w:rPr>
                <w:kern w:val="0"/>
                <w:sz w:val="18"/>
                <w:szCs w:val="18"/>
              </w:rPr>
            </w:pPr>
            <w:r>
              <w:rPr>
                <w:rFonts w:hint="eastAsia"/>
                <w:kern w:val="0"/>
                <w:sz w:val="18"/>
                <w:szCs w:val="18"/>
              </w:rPr>
              <w:t>低空经济保障点</w:t>
            </w:r>
          </w:p>
        </w:tc>
        <w:tc>
          <w:tcPr>
            <w:tcW w:w="3680" w:type="dxa"/>
            <w:vAlign w:val="center"/>
          </w:tcPr>
          <w:p>
            <w:pPr>
              <w:widowControl/>
              <w:adjustRightInd w:val="0"/>
              <w:snapToGrid w:val="0"/>
              <w:spacing w:line="240" w:lineRule="auto"/>
              <w:ind w:firstLine="0" w:firstLineChars="0"/>
              <w:jc w:val="center"/>
              <w:rPr>
                <w:kern w:val="0"/>
                <w:sz w:val="18"/>
                <w:szCs w:val="18"/>
              </w:rPr>
            </w:pPr>
            <w:r>
              <w:rPr>
                <w:rFonts w:hint="eastAsia"/>
                <w:kern w:val="0"/>
                <w:sz w:val="18"/>
                <w:szCs w:val="18"/>
              </w:rPr>
              <w:t>低空经济停靠点附近</w:t>
            </w:r>
          </w:p>
        </w:tc>
        <w:tc>
          <w:tcPr>
            <w:tcW w:w="1699" w:type="dxa"/>
            <w:vAlign w:val="center"/>
          </w:tcPr>
          <w:p>
            <w:pPr>
              <w:widowControl/>
              <w:adjustRightInd w:val="0"/>
              <w:snapToGrid w:val="0"/>
              <w:spacing w:line="240" w:lineRule="auto"/>
              <w:ind w:firstLine="0" w:firstLineChars="0"/>
              <w:jc w:val="center"/>
              <w:rPr>
                <w:kern w:val="0"/>
                <w:sz w:val="18"/>
                <w:szCs w:val="18"/>
              </w:rPr>
            </w:pPr>
            <w:r>
              <w:rPr>
                <w:rFonts w:hint="eastAsia"/>
                <w:kern w:val="0"/>
                <w:sz w:val="18"/>
                <w:szCs w:val="18"/>
              </w:rPr>
              <w:t>1</w:t>
            </w:r>
            <w:r>
              <w:rPr>
                <w:kern w:val="0"/>
                <w:sz w:val="18"/>
                <w:szCs w:val="18"/>
              </w:rPr>
              <w:t>8</w:t>
            </w:r>
          </w:p>
        </w:tc>
        <w:tc>
          <w:tcPr>
            <w:tcW w:w="1841" w:type="dxa"/>
            <w:vMerge w:val="continue"/>
            <w:vAlign w:val="center"/>
          </w:tcPr>
          <w:p>
            <w:pPr>
              <w:widowControl/>
              <w:adjustRightInd w:val="0"/>
              <w:snapToGrid w:val="0"/>
              <w:spacing w:line="240" w:lineRule="auto"/>
              <w:ind w:firstLine="0" w:firstLineChars="0"/>
              <w:jc w:val="center"/>
              <w:rPr>
                <w:kern w:val="0"/>
                <w:sz w:val="18"/>
                <w:szCs w:val="18"/>
              </w:rPr>
            </w:pPr>
          </w:p>
        </w:tc>
      </w:tr>
    </w:tbl>
    <w:p>
      <w:pPr>
        <w:spacing w:line="288" w:lineRule="auto"/>
        <w:ind w:firstLine="360"/>
        <w:rPr>
          <w:sz w:val="18"/>
          <w:szCs w:val="18"/>
        </w:rPr>
      </w:pPr>
      <w:r>
        <w:rPr>
          <w:rFonts w:hint="eastAsia"/>
          <w:sz w:val="18"/>
          <w:szCs w:val="18"/>
        </w:rPr>
        <w:t>备注：1、按通信设施建设原则，一般情况，超过30个基站，需规划1个汇聚机房，汇聚机房位置视整体基站分布情况规划。2、规划建设点位，视后续景区、交通道路真实建设进程、热点打造以及人流分布等情况，通过点位替换或增加点位，按需调整通信信号覆盖密度；3、景区开发项目落地建设，且管道光缆具备后，站点规划方可实现开通；</w:t>
      </w:r>
      <w:r>
        <w:rPr>
          <w:sz w:val="18"/>
          <w:szCs w:val="18"/>
        </w:rPr>
        <w:t>4</w:t>
      </w:r>
      <w:r>
        <w:rPr>
          <w:rFonts w:hint="eastAsia"/>
          <w:sz w:val="18"/>
          <w:szCs w:val="18"/>
        </w:rPr>
        <w:t>、道路通信设施的管道建设，要同步纳入道路主体建设内，做到同步设计、同步开挖、同步施工，降低资源浪费，减少重复开挖。</w:t>
      </w:r>
    </w:p>
    <w:p>
      <w:pPr>
        <w:ind w:firstLine="482"/>
        <w:rPr>
          <w:b/>
        </w:rPr>
      </w:pPr>
      <w:r>
        <w:rPr>
          <w:b/>
        </w:rPr>
        <w:t>4、有线电视规划</w:t>
      </w:r>
    </w:p>
    <w:p>
      <w:pPr>
        <w:spacing w:before="93" w:beforeLines="30"/>
        <w:ind w:firstLine="480"/>
      </w:pPr>
      <w:r>
        <w:t>百丈漈—飞云湖风景名胜区有线电视网属文成县城市有线电视网的分支网络。根据规划区用地布局与周边区域的地理分布，规划仍以文成县有线电视台作为规划区有线电视网的节目源，规划区有线电视网采用光纤接入网方式建设。根据各片区用户预测数和用地布局，在规划范围内分片区建设有线电视片区机房。</w:t>
      </w:r>
    </w:p>
    <w:p>
      <w:pPr>
        <w:spacing w:before="93" w:beforeLines="30"/>
        <w:ind w:firstLine="480"/>
      </w:pPr>
      <w:r>
        <w:t>有线电视片区机房与综合通信片区接入机房合并设置，建设广电系统与三大运营商共建共享的综合通信机房。规划在各地块分别设置有线电视光交接点，原则上有线电视光交接机房也安排在综合通信光交接机房内，不单独建设。</w:t>
      </w:r>
    </w:p>
    <w:p>
      <w:pPr>
        <w:ind w:firstLine="482"/>
        <w:rPr>
          <w:b/>
        </w:rPr>
      </w:pPr>
      <w:r>
        <w:rPr>
          <w:b/>
        </w:rPr>
        <w:t>5、通信管线规划</w:t>
      </w:r>
    </w:p>
    <w:p>
      <w:pPr>
        <w:spacing w:before="93" w:beforeLines="30"/>
        <w:ind w:firstLine="480"/>
      </w:pPr>
      <w:r>
        <w:t>通信管线包括中国联通、中国电信、中国移动等所有可能进入规划范围的通信运营商以及广播电视系统的架空和地埋通信线路。</w:t>
      </w:r>
    </w:p>
    <w:p>
      <w:pPr>
        <w:spacing w:before="93" w:beforeLines="30"/>
        <w:ind w:firstLine="480"/>
      </w:pPr>
      <w:r>
        <w:t>景区内通信干线主要沿主干道路布置，一般采用架空布线方式，与电力线路分置道路两侧。进入核心景区或其他主要景点、服务区（点）、居民点时，可根据景观要求选择改用埋地布线方式。</w:t>
      </w:r>
    </w:p>
    <w:p>
      <w:pPr>
        <w:spacing w:before="93" w:beforeLines="30"/>
        <w:ind w:firstLine="480"/>
      </w:pPr>
      <w:r>
        <w:t>景区内规划新建的通信铁塔、杆路一律由各相关运营商共建共享；现状已有的铁塔、杆路具备条件的，应签订企业间合作协议，向其他电信企业开放共享；暂不具备共享条件的现状铁塔、杆路，应积极采取技术改造、扩建等方式后进行共享。地埋敷设通信线缆的区域，规划按照共建共享的原则进行综合通信管线的建设。</w:t>
      </w:r>
    </w:p>
    <w:p>
      <w:pPr>
        <w:pStyle w:val="4"/>
        <w:spacing w:before="156"/>
        <w:ind w:firstLine="360"/>
      </w:pPr>
      <w:r>
        <w:rPr>
          <w:rFonts w:hint="eastAsia"/>
        </w:rPr>
        <w:t>（五）环卫设施规划</w:t>
      </w:r>
    </w:p>
    <w:p>
      <w:pPr>
        <w:spacing w:before="156"/>
        <w:ind w:firstLine="480"/>
      </w:pPr>
      <w:r>
        <w:rPr>
          <w:rFonts w:hint="eastAsia"/>
        </w:rPr>
        <w:t>健全完善风景区内的环卫体系，包括垃圾分类收集、收运处置、清扫保洁、环卫管理、环卫信息系统等。</w:t>
      </w:r>
    </w:p>
    <w:p>
      <w:pPr>
        <w:spacing w:before="72" w:after="93" w:afterLines="30"/>
        <w:ind w:firstLine="482"/>
        <w:rPr>
          <w:b/>
          <w:color w:val="000000"/>
        </w:rPr>
      </w:pPr>
      <w:r>
        <w:rPr>
          <w:b/>
          <w:color w:val="000000"/>
        </w:rPr>
        <w:t>1</w:t>
      </w:r>
      <w:r>
        <w:rPr>
          <w:rFonts w:hint="eastAsia"/>
          <w:b/>
          <w:color w:val="000000"/>
        </w:rPr>
        <w:t>、垃圾收集处置</w:t>
      </w:r>
    </w:p>
    <w:p>
      <w:pPr>
        <w:spacing w:before="93" w:beforeLines="30"/>
        <w:ind w:firstLine="480"/>
      </w:pPr>
      <w:r>
        <w:rPr>
          <w:rFonts w:hint="eastAsia"/>
          <w:color w:val="000000"/>
        </w:rPr>
        <w:t>风景名胜区中生活垃圾的收集逐步实行容器化、密闭化。近期以垃圾箱收集为主，增加垃圾箱数量，并逐步实行袋装化收集；远期全面实行袋装化收集，并逐步实行分类收集。生活垃圾收集后统一集中处理，逐步实现生活垃圾无害化处理率</w:t>
      </w:r>
      <w:r>
        <w:rPr>
          <w:color w:val="000000"/>
        </w:rPr>
        <w:t>100%</w:t>
      </w:r>
      <w:r>
        <w:rPr>
          <w:rFonts w:hint="eastAsia"/>
          <w:color w:val="000000"/>
        </w:rPr>
        <w:t>。</w:t>
      </w:r>
      <w:r>
        <w:rPr>
          <w:rFonts w:hint="eastAsia"/>
        </w:rPr>
        <w:t>景区范围内垃圾收集点的分布密度可根据人流量和不同功能区域合理确定。进入城镇生活垃圾收运系统之前，易腐垃圾和其他部分垃圾可先进行无害化资源化处理；其他生活垃圾收运后统一集中处理，逐步实现生活垃圾无害化处理率100%。根据相关专项规划完善垃圾中转站的规划布局，应避开核心景区。</w:t>
      </w:r>
    </w:p>
    <w:p>
      <w:pPr>
        <w:spacing w:before="72" w:after="93" w:afterLines="30"/>
        <w:ind w:firstLine="482"/>
        <w:rPr>
          <w:b/>
          <w:color w:val="000000"/>
        </w:rPr>
      </w:pPr>
      <w:r>
        <w:rPr>
          <w:b/>
          <w:color w:val="000000"/>
        </w:rPr>
        <w:t>2</w:t>
      </w:r>
      <w:r>
        <w:rPr>
          <w:rFonts w:hint="eastAsia"/>
          <w:b/>
          <w:color w:val="000000"/>
        </w:rPr>
        <w:t>、环卫公共设施</w:t>
      </w:r>
    </w:p>
    <w:p>
      <w:pPr>
        <w:spacing w:before="72"/>
        <w:ind w:firstLine="480"/>
        <w:rPr>
          <w:color w:val="000000"/>
        </w:rPr>
      </w:pPr>
      <w:r>
        <w:rPr>
          <w:rFonts w:hint="eastAsia"/>
        </w:rPr>
        <w:t>完善旅游公厕等环卫公共设施布局，推动实施旅游公厕质量提升工程。</w:t>
      </w:r>
      <w:r>
        <w:rPr>
          <w:rFonts w:hint="eastAsia"/>
          <w:color w:val="000000"/>
        </w:rPr>
        <w:t>选择建造公共厕所的地点应因地制宜、合理规划，</w:t>
      </w:r>
      <w:r>
        <w:rPr>
          <w:rFonts w:hint="eastAsia"/>
        </w:rPr>
        <w:t>设置在人流集散场所及人流较多的游览路沿线。景区内的公共厕所应逐步达到星级旅游厕所的标准。</w:t>
      </w:r>
      <w:r>
        <w:rPr>
          <w:rFonts w:hint="eastAsia"/>
          <w:color w:val="000000"/>
        </w:rPr>
        <w:t>公共厕所建筑形式与周围景观环境相协调，并逐步改造为无水公厕和可移动式厕所。成规模的游览设施的粪便处理逐步纳入城市生活污水收集处理系统，进入城市污水处理厂进行无害化处理。</w:t>
      </w:r>
    </w:p>
    <w:p>
      <w:pPr>
        <w:pStyle w:val="4"/>
        <w:spacing w:before="156"/>
        <w:ind w:firstLine="360"/>
      </w:pPr>
      <w:r>
        <w:rPr>
          <w:rFonts w:hint="eastAsia"/>
        </w:rPr>
        <w:t>（六）综合防灾规划</w:t>
      </w:r>
    </w:p>
    <w:p>
      <w:pPr>
        <w:topLinePunct/>
        <w:spacing w:before="156" w:beforeLines="50"/>
        <w:ind w:firstLine="477" w:firstLineChars="198"/>
        <w:rPr>
          <w:b/>
          <w:color w:val="000000"/>
        </w:rPr>
      </w:pPr>
      <w:r>
        <w:rPr>
          <w:b/>
          <w:color w:val="000000"/>
        </w:rPr>
        <w:t>1</w:t>
      </w:r>
      <w:r>
        <w:rPr>
          <w:rFonts w:hint="eastAsia"/>
          <w:b/>
          <w:color w:val="000000"/>
        </w:rPr>
        <w:t>、森林防火规划</w:t>
      </w:r>
    </w:p>
    <w:p>
      <w:pPr>
        <w:topLinePunct/>
        <w:spacing w:before="72"/>
        <w:ind w:firstLine="480"/>
        <w:rPr>
          <w:color w:val="000000"/>
        </w:rPr>
      </w:pPr>
      <w:r>
        <w:rPr>
          <w:rFonts w:hint="eastAsia"/>
          <w:color w:val="000000"/>
        </w:rPr>
        <w:t>（</w:t>
      </w:r>
      <w:r>
        <w:rPr>
          <w:color w:val="000000"/>
        </w:rPr>
        <w:t>1</w:t>
      </w:r>
      <w:r>
        <w:rPr>
          <w:rFonts w:hint="eastAsia"/>
          <w:color w:val="000000"/>
        </w:rPr>
        <w:t>）完善景区各级防火管理体系</w:t>
      </w:r>
    </w:p>
    <w:p>
      <w:pPr>
        <w:topLinePunct/>
        <w:spacing w:before="72"/>
        <w:ind w:firstLine="480"/>
        <w:rPr>
          <w:color w:val="000000"/>
        </w:rPr>
      </w:pPr>
      <w:r>
        <w:rPr>
          <w:rFonts w:hint="eastAsia"/>
        </w:rPr>
        <w:t>完善景区各级防火管理体系。合理规划森林防火区块，在林区内规划建设若干森林防火管理房；</w:t>
      </w:r>
      <w:r>
        <w:rPr>
          <w:rFonts w:hint="eastAsia"/>
          <w:color w:val="000000"/>
        </w:rPr>
        <w:t>在重点森林防火入口处建立森林防火站，对游客进行防火宣传教育，并进行防火安全检查，禁止将易燃易爆品带入景区。在重点森林防火景区建立森林防火责任制，签订责任状，并具体落实到各单位、各部门、各具体负责人。</w:t>
      </w:r>
    </w:p>
    <w:p>
      <w:pPr>
        <w:topLinePunct/>
        <w:spacing w:before="72"/>
        <w:ind w:firstLine="480"/>
        <w:rPr>
          <w:rFonts w:cs="宋体"/>
          <w:color w:val="000000"/>
        </w:rPr>
      </w:pPr>
      <w:r>
        <w:rPr>
          <w:rFonts w:hint="eastAsia" w:cs="宋体"/>
          <w:color w:val="000000"/>
        </w:rPr>
        <w:t>（</w:t>
      </w:r>
      <w:r>
        <w:rPr>
          <w:rFonts w:cs="宋体"/>
          <w:color w:val="000000"/>
        </w:rPr>
        <w:t>2</w:t>
      </w:r>
      <w:r>
        <w:rPr>
          <w:rFonts w:hint="eastAsia" w:cs="宋体"/>
          <w:color w:val="000000"/>
        </w:rPr>
        <w:t>）建立完备的消防救灾体系</w:t>
      </w:r>
    </w:p>
    <w:p>
      <w:pPr>
        <w:topLinePunct/>
        <w:spacing w:before="72"/>
        <w:ind w:firstLine="480"/>
        <w:rPr>
          <w:rFonts w:cs="宋体"/>
          <w:color w:val="000000"/>
        </w:rPr>
      </w:pPr>
      <w:r>
        <w:rPr>
          <w:rFonts w:hint="eastAsia" w:cs="宋体"/>
          <w:color w:val="000000"/>
        </w:rPr>
        <w:t>设置必要的森林防火报警系统，在景区主要制高点结合风景建筑和森林保护站设置险情瞭望台，主要景区森林瞭望覆盖率达到</w:t>
      </w:r>
      <w:r>
        <w:rPr>
          <w:rFonts w:cs="宋体"/>
          <w:color w:val="000000"/>
        </w:rPr>
        <w:t>100</w:t>
      </w:r>
      <w:r>
        <w:rPr>
          <w:rFonts w:hint="eastAsia" w:cs="宋体"/>
          <w:color w:val="000000"/>
        </w:rPr>
        <w:t>％；为防止火势快速蔓延，设置必要的防火通道，并结合游步道、溪流等设置贯穿全景区。</w:t>
      </w:r>
    </w:p>
    <w:p>
      <w:pPr>
        <w:topLinePunct/>
        <w:spacing w:before="72"/>
        <w:ind w:firstLine="480"/>
        <w:rPr>
          <w:rFonts w:cs="宋体"/>
        </w:rPr>
      </w:pPr>
      <w:r>
        <w:rPr>
          <w:rFonts w:hint="eastAsia" w:cs="宋体"/>
          <w:color w:val="000000"/>
        </w:rPr>
        <w:t>建立各级森林防火指挥调度系统，增添通讯设备，建立畅通无阻的森林防火通讯网络。购置专业扑火工具及相关设备，组建专业、半专业扑火队伍和群众义务扑火队。</w:t>
      </w:r>
      <w:r>
        <w:rPr>
          <w:rFonts w:hint="eastAsia" w:cs="宋体"/>
        </w:rPr>
        <w:t>各景区应结合水处理设施设置因地制宜地建设消防水池，多渠道保障消防供水。</w:t>
      </w:r>
    </w:p>
    <w:p>
      <w:pPr>
        <w:topLinePunct/>
        <w:spacing w:before="72" w:after="93" w:afterLines="30"/>
        <w:ind w:firstLine="477" w:firstLineChars="198"/>
        <w:rPr>
          <w:rFonts w:cs="宋体"/>
          <w:b/>
          <w:color w:val="000000"/>
        </w:rPr>
      </w:pPr>
      <w:r>
        <w:rPr>
          <w:rFonts w:cs="宋体"/>
          <w:b/>
          <w:color w:val="000000"/>
        </w:rPr>
        <w:t>2</w:t>
      </w:r>
      <w:r>
        <w:rPr>
          <w:rFonts w:hint="eastAsia" w:cs="宋体"/>
          <w:b/>
          <w:color w:val="000000"/>
        </w:rPr>
        <w:t>、地质灾害防治</w:t>
      </w:r>
    </w:p>
    <w:p>
      <w:pPr>
        <w:topLinePunct/>
        <w:spacing w:before="72"/>
        <w:ind w:firstLine="480"/>
        <w:rPr>
          <w:rFonts w:cs="宋体"/>
          <w:color w:val="000000"/>
        </w:rPr>
      </w:pPr>
      <w:r>
        <w:rPr>
          <w:rFonts w:hint="eastAsia" w:cs="宋体"/>
          <w:color w:val="000000"/>
        </w:rPr>
        <w:t>（</w:t>
      </w:r>
      <w:r>
        <w:rPr>
          <w:rFonts w:cs="宋体"/>
          <w:color w:val="000000"/>
        </w:rPr>
        <w:t>1</w:t>
      </w:r>
      <w:r>
        <w:rPr>
          <w:rFonts w:hint="eastAsia" w:cs="宋体"/>
          <w:color w:val="000000"/>
        </w:rPr>
        <w:t>）建设监测预报网络体系</w:t>
      </w:r>
    </w:p>
    <w:p>
      <w:pPr>
        <w:topLinePunct/>
        <w:spacing w:before="72"/>
        <w:ind w:firstLine="480"/>
        <w:rPr>
          <w:rFonts w:cs="宋体"/>
          <w:color w:val="000000"/>
        </w:rPr>
      </w:pPr>
      <w:r>
        <w:rPr>
          <w:rFonts w:hint="eastAsia" w:cs="宋体"/>
          <w:color w:val="000000"/>
        </w:rPr>
        <w:t>对于突发地质灾害，形成以主管部门为指挥核心，基层快报，专业队伍快速出动的快速反应体系。监测网逐步覆盖地质灾害易发区。</w:t>
      </w:r>
    </w:p>
    <w:p>
      <w:pPr>
        <w:topLinePunct/>
        <w:spacing w:before="72"/>
        <w:ind w:firstLine="480"/>
        <w:rPr>
          <w:rFonts w:cs="宋体"/>
          <w:color w:val="000000"/>
        </w:rPr>
      </w:pPr>
      <w:r>
        <w:rPr>
          <w:rFonts w:hint="eastAsia" w:cs="宋体"/>
          <w:color w:val="000000"/>
        </w:rPr>
        <w:t>建立地质灾害空间数据库，提供包括地质环境状况、地质灾害历史和地质灾害隐患点分布、危险性、可能危害对象等主要地质灾害信息的实时查询。</w:t>
      </w:r>
    </w:p>
    <w:p>
      <w:pPr>
        <w:topLinePunct/>
        <w:spacing w:before="72"/>
        <w:ind w:firstLine="480"/>
        <w:rPr>
          <w:rFonts w:cs="宋体"/>
          <w:color w:val="000000"/>
        </w:rPr>
      </w:pPr>
      <w:r>
        <w:rPr>
          <w:rFonts w:hint="eastAsia" w:cs="宋体"/>
          <w:color w:val="000000"/>
        </w:rPr>
        <w:t>（</w:t>
      </w:r>
      <w:r>
        <w:rPr>
          <w:rFonts w:cs="宋体"/>
          <w:color w:val="000000"/>
        </w:rPr>
        <w:t>2</w:t>
      </w:r>
      <w:r>
        <w:rPr>
          <w:rFonts w:hint="eastAsia" w:cs="宋体"/>
          <w:color w:val="000000"/>
        </w:rPr>
        <w:t>）地质灾害防治工程建设</w:t>
      </w:r>
    </w:p>
    <w:p>
      <w:pPr>
        <w:topLinePunct/>
        <w:spacing w:before="72"/>
        <w:ind w:firstLine="480"/>
        <w:rPr>
          <w:rFonts w:cs="宋体"/>
          <w:color w:val="000000"/>
        </w:rPr>
      </w:pPr>
      <w:r>
        <w:rPr>
          <w:rFonts w:hint="eastAsia" w:cs="宋体"/>
          <w:color w:val="000000"/>
        </w:rPr>
        <w:t>对于交通不便、人居规模小、危险性大、危害严重、治理难度大、投入多的地质灾害隐患点，实行以疏解避让为主、治理为辅的措施；对于人口密集、经济损失大、危险性大、稳定性差的地质灾害隐患点，采取工程措施进行完全治理。对于规模小、危险性不大的崩滑灾害隐患点，可根据实际情况进行简单治理。</w:t>
      </w:r>
    </w:p>
    <w:p>
      <w:pPr>
        <w:topLinePunct/>
        <w:spacing w:before="72" w:after="93" w:afterLines="30"/>
        <w:ind w:firstLine="477" w:firstLineChars="198"/>
        <w:rPr>
          <w:rFonts w:cs="宋体"/>
          <w:b/>
          <w:color w:val="000000"/>
        </w:rPr>
      </w:pPr>
      <w:r>
        <w:rPr>
          <w:rFonts w:hint="eastAsia" w:cs="宋体"/>
          <w:b/>
          <w:color w:val="000000"/>
        </w:rPr>
        <w:t>3、防洪减灾规划</w:t>
      </w:r>
    </w:p>
    <w:p>
      <w:pPr>
        <w:topLinePunct/>
        <w:spacing w:before="72"/>
        <w:ind w:firstLine="480"/>
        <w:rPr>
          <w:rFonts w:cs="宋体"/>
          <w:color w:val="000000"/>
        </w:rPr>
      </w:pPr>
      <w:r>
        <w:rPr>
          <w:rFonts w:hint="eastAsia" w:cs="宋体"/>
          <w:color w:val="000000"/>
        </w:rPr>
        <w:t>依据《中华人民共和国防洪法》《中华人民共和国河道管理条例》《浙江省河道管理条例》《浙江省水利工程安全管理条例》等相关法律法规的要求，充分考虑风景名胜区地处山区，有溪流洪水暴涨暴落、地质灾害多发等特点，景区规划布局和规模应与当地的水资源水环境承载能力相适应，加强与流域综合规划、防洪规划、水资源综合规划、岸线保护规划等相关规划衔接，避免将景区景点建设在小流域山洪危险区、地质灾害隐患点和高风险区，对设施建设要开展洪水影响评价、地质灾害危险性评估。</w:t>
      </w:r>
    </w:p>
    <w:p>
      <w:pPr>
        <w:topLinePunct/>
        <w:spacing w:before="72"/>
        <w:ind w:firstLine="480"/>
        <w:rPr>
          <w:rFonts w:cs="宋体"/>
          <w:color w:val="000000"/>
        </w:rPr>
      </w:pPr>
      <w:r>
        <w:rPr>
          <w:rFonts w:hint="eastAsia" w:cs="宋体"/>
          <w:color w:val="000000"/>
        </w:rPr>
        <w:t xml:space="preserve">落实防洪避洪各项措施，对易发生滑坡、山崩、泥石流的地区，应在山坡周围修建截洪沟、挡土墙，做好植树造林、水土保持等防治地质灾害的措施。加强地质灾害点监测和防灾预警预报工作，制定地质灾害应急措施。建立灾害数据库，提供包括灾害天气状况、地质灾害历史和地质灾害隐患点分布、危险性、可能危害对象等主要灾害信息的查询。做好山洪地质灾害防治、应急转移避灾设施以及监测预警设施建设。 </w:t>
      </w:r>
    </w:p>
    <w:p>
      <w:pPr>
        <w:topLinePunct/>
        <w:spacing w:before="72"/>
        <w:ind w:firstLine="480"/>
        <w:rPr>
          <w:rFonts w:cs="宋体"/>
          <w:color w:val="000000"/>
        </w:rPr>
      </w:pPr>
      <w:r>
        <w:rPr>
          <w:rFonts w:hint="eastAsia" w:cs="宋体"/>
          <w:color w:val="000000"/>
        </w:rPr>
        <w:t>建立健全风景名胜区安全管理制度，强化安全管理。完善安全标识系统，划定游人活动区和限制区，建立环境容量控制系统；科学测定游览区域环境容量及旅游景点的安全系数，采取空间和时间上的分流及控制门票出售量等途径来进行调控。</w:t>
      </w:r>
    </w:p>
    <w:p>
      <w:pPr>
        <w:topLinePunct/>
        <w:spacing w:before="72" w:after="93" w:afterLines="30"/>
        <w:ind w:firstLine="477" w:firstLineChars="198"/>
        <w:rPr>
          <w:rFonts w:cs="宋体"/>
          <w:b/>
          <w:color w:val="000000"/>
        </w:rPr>
      </w:pPr>
      <w:r>
        <w:rPr>
          <w:rFonts w:hint="eastAsia" w:cs="宋体"/>
          <w:b/>
          <w:color w:val="000000"/>
        </w:rPr>
        <w:t>4、应急救援规划</w:t>
      </w:r>
    </w:p>
    <w:p>
      <w:pPr>
        <w:spacing w:before="93" w:beforeLines="30"/>
        <w:ind w:firstLine="480"/>
      </w:pPr>
      <w:r>
        <w:rPr>
          <w:rFonts w:hint="eastAsia"/>
        </w:rPr>
        <w:t>完善景区内的应急避难系统，在对景区的地形、气候及潜在风险进行评估后，选择合适位置建设避难所、救援站点、应急疏散通道、应急物资仓库等设施并配备必要的医疗及通讯设备；建设应急信息发布系统，及时向游客传达安全警告和疏散指令；制定应急救援方案。</w:t>
      </w:r>
    </w:p>
    <w:p>
      <w:pPr>
        <w:topLinePunct/>
        <w:spacing w:before="72"/>
        <w:ind w:firstLine="480"/>
        <w:rPr>
          <w:rFonts w:cs="宋体"/>
          <w:color w:val="000000"/>
        </w:rPr>
      </w:pPr>
      <w:r>
        <w:rPr>
          <w:rFonts w:hint="eastAsia"/>
        </w:rPr>
        <w:t>建立林场一中心多点应急救援体系，在林场内选择合适位置建设应急救援服务中心，并在各林区建设一处或多处应急救援服务点，建设山区应急防灾减灾基础配套设施。</w:t>
      </w:r>
    </w:p>
    <w:p>
      <w:pPr>
        <w:topLinePunct/>
        <w:spacing w:before="72"/>
        <w:ind w:firstLine="480"/>
        <w:rPr>
          <w:rFonts w:cs="宋体"/>
          <w:color w:val="000000"/>
        </w:rPr>
      </w:pPr>
      <w:r>
        <w:rPr>
          <w:rFonts w:hint="eastAsia" w:cs="宋体"/>
          <w:color w:val="000000"/>
        </w:rPr>
        <w:t>完善游览安全预警系统。加大对风景名胜区的防灾和监测预报的投入，建立风景名胜区天气和地质灾害的预警系统。加强游览区域求助报警通讯系统建设，保证旅游通讯设施通畅。</w:t>
      </w:r>
    </w:p>
    <w:p>
      <w:pPr>
        <w:pStyle w:val="4"/>
        <w:spacing w:before="156"/>
        <w:ind w:firstLine="360"/>
      </w:pPr>
      <w:r>
        <w:rPr>
          <w:rFonts w:hint="eastAsia"/>
        </w:rPr>
        <w:t>（七）低空设施规划</w:t>
      </w:r>
    </w:p>
    <w:p>
      <w:pPr>
        <w:spacing w:before="93" w:beforeLines="30"/>
        <w:ind w:firstLine="480"/>
      </w:pPr>
      <w:r>
        <w:rPr>
          <w:rFonts w:hint="eastAsia"/>
        </w:rPr>
        <w:t>加快建设低空智能融合基础设施网，规划布局低空基础设施网、低空航路航线网、低空飞行服务网，重点构建低空旅游、低空应急、低空交通等应用，打造低空物流、物资投送、农林植保等多元行业融合发展，推动“低空之城”与“山水侨城”交相辉映。</w:t>
      </w:r>
    </w:p>
    <w:p>
      <w:pPr>
        <w:topLinePunct/>
        <w:spacing w:before="72"/>
        <w:ind w:firstLine="480"/>
        <w:rPr>
          <w:rFonts w:ascii="宋体"/>
          <w:kern w:val="0"/>
        </w:rPr>
      </w:pPr>
      <w:r>
        <w:rPr>
          <w:rFonts w:hint="eastAsia"/>
        </w:rPr>
        <w:t>全域共规划45处低空经济停靠点，包括低空交通综合母港、枢纽型起降场、常态化起降点三个类型。低空交通综合母港设在百丈漈镇，枢纽型起降场设置在大峃镇、玉壶镇、珊溪镇、铜铃山镇；常态化起降点设置在龙麒源、刘基庙、珊溪镇等地，提供必要的景区游览、医疗、应急等配套设施；社区起降点设置在岭后村、十源村等社区，未来可作为景区旅游交通集散地。</w:t>
      </w:r>
      <w:r>
        <w:rPr>
          <w:rFonts w:hint="eastAsia" w:ascii="宋体"/>
          <w:kern w:val="0"/>
        </w:rPr>
        <w:t>其他乡镇谋划的小型停靠点可以在各社区内选址。完善环飞云湖区域低空经济配套设施。</w:t>
      </w:r>
    </w:p>
    <w:p>
      <w:pPr>
        <w:pStyle w:val="2"/>
        <w:spacing w:before="93"/>
      </w:pPr>
      <w:r>
        <w:br w:type="page"/>
      </w:r>
      <w:bookmarkEnd w:id="51"/>
      <w:bookmarkEnd w:id="52"/>
      <w:bookmarkStart w:id="53" w:name="_Toc176456014"/>
      <w:bookmarkStart w:id="54" w:name="_Toc10397312"/>
      <w:r>
        <w:rPr>
          <w:rFonts w:hint="eastAsia"/>
        </w:rPr>
        <w:t>第五章 关于居民</w:t>
      </w:r>
      <w:bookmarkStart w:id="55" w:name="_Toc279442880"/>
      <w:r>
        <w:rPr>
          <w:rFonts w:hint="eastAsia"/>
        </w:rPr>
        <w:t>点协调发展规划</w:t>
      </w:r>
      <w:bookmarkEnd w:id="55"/>
      <w:r>
        <w:rPr>
          <w:rFonts w:hint="eastAsia"/>
        </w:rPr>
        <w:t>的说明</w:t>
      </w:r>
      <w:bookmarkEnd w:id="53"/>
      <w:bookmarkEnd w:id="54"/>
    </w:p>
    <w:p>
      <w:pPr>
        <w:pStyle w:val="3"/>
        <w:spacing w:before="312"/>
      </w:pPr>
      <w:bookmarkStart w:id="56" w:name="_Toc435449431"/>
      <w:bookmarkStart w:id="57" w:name="_Toc370989698"/>
      <w:bookmarkStart w:id="58" w:name="_Toc176456015"/>
      <w:bookmarkStart w:id="59" w:name="_Toc10397313"/>
      <w:r>
        <w:rPr>
          <w:rFonts w:hint="eastAsia"/>
        </w:rPr>
        <w:t>一、居民社会现状</w:t>
      </w:r>
      <w:bookmarkEnd w:id="56"/>
      <w:bookmarkEnd w:id="57"/>
      <w:bookmarkEnd w:id="58"/>
      <w:bookmarkEnd w:id="59"/>
    </w:p>
    <w:p>
      <w:pPr>
        <w:keepNext/>
        <w:keepLines/>
        <w:spacing w:before="156" w:beforeLines="50"/>
        <w:ind w:left="142" w:firstLine="360" w:firstLineChars="150"/>
        <w:outlineLvl w:val="2"/>
        <w:rPr>
          <w:rFonts w:eastAsia="黑体"/>
          <w:bCs/>
          <w:kern w:val="0"/>
        </w:rPr>
      </w:pPr>
      <w:r>
        <w:rPr>
          <w:rFonts w:hint="eastAsia" w:eastAsia="黑体"/>
          <w:bCs/>
          <w:kern w:val="0"/>
        </w:rPr>
        <w:t>（一）居民点现状</w:t>
      </w:r>
    </w:p>
    <w:p>
      <w:pPr>
        <w:spacing w:before="156" w:beforeLines="50"/>
        <w:ind w:firstLine="480"/>
        <w:rPr>
          <w:rFonts w:asciiTheme="minorEastAsia" w:hAnsiTheme="minorEastAsia"/>
        </w:rPr>
      </w:pPr>
      <w:r>
        <w:rPr>
          <w:rFonts w:hint="eastAsia" w:cs="宋体"/>
        </w:rPr>
        <w:t>百丈漈-飞云湖风景名胜区内共涉及大峃镇、百丈漈镇、二源镇、黄坦镇、珊溪镇、巨屿镇、南田镇、玉壶镇、西坑畲族镇、铜铃山镇、周壤镇、桂山乡共1</w:t>
      </w:r>
      <w:r>
        <w:rPr>
          <w:rFonts w:cs="宋体"/>
        </w:rPr>
        <w:t>2</w:t>
      </w:r>
      <w:r>
        <w:rPr>
          <w:rFonts w:hint="eastAsia" w:cs="宋体"/>
        </w:rPr>
        <w:t>个乡镇（其中周壤镇、桂山乡在风景区内无居民点建设用地），66个行政村（2019年文成县进行了村庄合并调整，风景区内涉及村庄被归并为66个行政村）。风景区内涉及居民点户籍人口总计约4.4万，常住人口总计约1.2万人。（见表5</w:t>
      </w:r>
      <w:r>
        <w:rPr>
          <w:rFonts w:cs="宋体"/>
        </w:rPr>
        <w:t>-1</w:t>
      </w:r>
      <w:r>
        <w:rPr>
          <w:rFonts w:hint="eastAsia" w:cs="宋体"/>
        </w:rPr>
        <w:t>）目前景区内涉及乡镇、村庄整体属于经济欠发达地区，乡镇工业总产值、农林牧副渔总产值等经济指标在我省处于中下游水平，且区内各居民点之间由于区位条件、资源条件等因素，经济收入存在一定差距。</w:t>
      </w:r>
    </w:p>
    <w:p>
      <w:pPr>
        <w:ind w:firstLine="0" w:firstLineChars="0"/>
        <w:jc w:val="center"/>
        <w:rPr>
          <w:rFonts w:ascii="Calibri" w:hAnsi="Calibri"/>
          <w:b/>
          <w:sz w:val="21"/>
          <w:szCs w:val="22"/>
        </w:rPr>
      </w:pPr>
      <w:r>
        <w:rPr>
          <w:rFonts w:hint="eastAsia" w:ascii="Calibri" w:hAnsi="Calibri"/>
          <w:b/>
          <w:sz w:val="21"/>
          <w:szCs w:val="22"/>
        </w:rPr>
        <w:t>表5</w:t>
      </w:r>
      <w:r>
        <w:rPr>
          <w:rFonts w:ascii="Calibri" w:hAnsi="Calibri"/>
          <w:b/>
          <w:sz w:val="21"/>
          <w:szCs w:val="22"/>
        </w:rPr>
        <w:t xml:space="preserve">-1 </w:t>
      </w:r>
      <w:r>
        <w:rPr>
          <w:rFonts w:hint="eastAsia" w:ascii="Calibri" w:hAnsi="Calibri"/>
          <w:b/>
          <w:sz w:val="21"/>
          <w:szCs w:val="22"/>
        </w:rPr>
        <w:t>风景区内涉及乡镇居民点情况一览表</w:t>
      </w:r>
    </w:p>
    <w:tbl>
      <w:tblPr>
        <w:tblStyle w:val="42"/>
        <w:tblW w:w="9073" w:type="dxa"/>
        <w:tblInd w:w="0" w:type="dxa"/>
        <w:tblLayout w:type="fixed"/>
        <w:tblCellMar>
          <w:top w:w="0" w:type="dxa"/>
          <w:left w:w="57" w:type="dxa"/>
          <w:bottom w:w="0" w:type="dxa"/>
          <w:right w:w="57" w:type="dxa"/>
        </w:tblCellMar>
      </w:tblPr>
      <w:tblGrid>
        <w:gridCol w:w="988"/>
        <w:gridCol w:w="4567"/>
        <w:gridCol w:w="729"/>
        <w:gridCol w:w="884"/>
        <w:gridCol w:w="729"/>
        <w:gridCol w:w="936"/>
        <w:gridCol w:w="240"/>
      </w:tblGrid>
      <w:tr>
        <w:tblPrEx>
          <w:tblLayout w:type="fixed"/>
          <w:tblCellMar>
            <w:top w:w="0" w:type="dxa"/>
            <w:left w:w="57" w:type="dxa"/>
            <w:bottom w:w="0" w:type="dxa"/>
            <w:right w:w="57" w:type="dxa"/>
          </w:tblCellMar>
        </w:tblPrEx>
        <w:trPr>
          <w:gridAfter w:val="1"/>
          <w:wAfter w:w="240" w:type="dxa"/>
          <w:trHeight w:val="278" w:hRule="atLeast"/>
          <w:tblHeader/>
        </w:trPr>
        <w:tc>
          <w:tcPr>
            <w:tcW w:w="988" w:type="dxa"/>
            <w:vMerge w:val="restart"/>
            <w:tcBorders>
              <w:top w:val="single" w:color="auto" w:sz="4" w:space="0"/>
              <w:left w:val="single" w:color="auto" w:sz="4" w:space="0"/>
              <w:bottom w:val="single" w:color="auto" w:sz="4" w:space="0"/>
              <w:right w:val="single" w:color="auto" w:sz="4" w:space="0"/>
            </w:tcBorders>
            <w:shd w:val="clear" w:color="auto" w:fill="E2E2E2"/>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bookmarkStart w:id="60" w:name="_Hlk175669647"/>
            <w:r>
              <w:rPr>
                <w:rFonts w:hint="eastAsia" w:ascii="宋体" w:hAnsi="宋体" w:cs="宋体"/>
                <w:b/>
                <w:bCs/>
                <w:color w:val="000000"/>
                <w:kern w:val="0"/>
                <w:sz w:val="18"/>
                <w:szCs w:val="18"/>
              </w:rPr>
              <w:t>乡 镇</w:t>
            </w:r>
          </w:p>
        </w:tc>
        <w:tc>
          <w:tcPr>
            <w:tcW w:w="4567" w:type="dxa"/>
            <w:vMerge w:val="restart"/>
            <w:tcBorders>
              <w:top w:val="single" w:color="auto" w:sz="4" w:space="0"/>
              <w:left w:val="single" w:color="auto" w:sz="4" w:space="0"/>
              <w:bottom w:val="single" w:color="auto" w:sz="4" w:space="0"/>
              <w:right w:val="single" w:color="auto" w:sz="4" w:space="0"/>
            </w:tcBorders>
            <w:shd w:val="clear" w:color="auto" w:fill="E2E2E2"/>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行政村</w:t>
            </w:r>
          </w:p>
        </w:tc>
        <w:tc>
          <w:tcPr>
            <w:tcW w:w="1613" w:type="dxa"/>
            <w:gridSpan w:val="2"/>
            <w:tcBorders>
              <w:top w:val="single" w:color="auto" w:sz="4" w:space="0"/>
              <w:left w:val="nil"/>
              <w:bottom w:val="single" w:color="auto" w:sz="4" w:space="0"/>
              <w:right w:val="single" w:color="000000" w:sz="4" w:space="0"/>
            </w:tcBorders>
            <w:shd w:val="clear" w:color="auto" w:fill="E2E2E2"/>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现状户籍人口</w:t>
            </w:r>
          </w:p>
        </w:tc>
        <w:tc>
          <w:tcPr>
            <w:tcW w:w="1665" w:type="dxa"/>
            <w:gridSpan w:val="2"/>
            <w:tcBorders>
              <w:top w:val="single" w:color="auto" w:sz="4" w:space="0"/>
              <w:left w:val="nil"/>
              <w:bottom w:val="single" w:color="auto" w:sz="4" w:space="0"/>
              <w:right w:val="single" w:color="auto" w:sz="4" w:space="0"/>
            </w:tcBorders>
            <w:shd w:val="clear" w:color="auto" w:fill="E2E2E2"/>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现状常住人口</w:t>
            </w:r>
          </w:p>
        </w:tc>
      </w:tr>
      <w:tr>
        <w:tblPrEx>
          <w:tblLayout w:type="fixed"/>
          <w:tblCellMar>
            <w:top w:w="0" w:type="dxa"/>
            <w:left w:w="57" w:type="dxa"/>
            <w:bottom w:w="0" w:type="dxa"/>
            <w:right w:w="57" w:type="dxa"/>
          </w:tblCellMar>
        </w:tblPrEx>
        <w:trPr>
          <w:gridAfter w:val="1"/>
          <w:wAfter w:w="240" w:type="dxa"/>
          <w:trHeight w:val="450" w:hRule="atLeast"/>
          <w:tblHeader/>
        </w:trPr>
        <w:tc>
          <w:tcPr>
            <w:tcW w:w="988" w:type="dxa"/>
            <w:vMerge w:val="continue"/>
            <w:tcBorders>
              <w:top w:val="single" w:color="auto" w:sz="4" w:space="0"/>
              <w:left w:val="single" w:color="auto" w:sz="4" w:space="0"/>
              <w:bottom w:val="single" w:color="auto" w:sz="4" w:space="0"/>
              <w:right w:val="single" w:color="auto" w:sz="4" w:space="0"/>
            </w:tcBorders>
            <w:shd w:val="clear" w:color="auto" w:fill="E2E2E2"/>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p>
        </w:tc>
        <w:tc>
          <w:tcPr>
            <w:tcW w:w="4567" w:type="dxa"/>
            <w:vMerge w:val="continue"/>
            <w:tcBorders>
              <w:top w:val="single" w:color="auto" w:sz="4" w:space="0"/>
              <w:left w:val="single" w:color="auto" w:sz="4" w:space="0"/>
              <w:bottom w:val="single" w:color="auto" w:sz="4" w:space="0"/>
              <w:right w:val="single" w:color="auto" w:sz="4" w:space="0"/>
            </w:tcBorders>
            <w:shd w:val="clear" w:color="auto" w:fill="E2E2E2"/>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p>
        </w:tc>
        <w:tc>
          <w:tcPr>
            <w:tcW w:w="729" w:type="dxa"/>
            <w:tcBorders>
              <w:top w:val="nil"/>
              <w:left w:val="nil"/>
              <w:bottom w:val="single" w:color="auto" w:sz="4" w:space="0"/>
              <w:right w:val="single" w:color="auto" w:sz="4" w:space="0"/>
            </w:tcBorders>
            <w:shd w:val="clear" w:color="auto" w:fill="E2E2E2"/>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总人数</w:t>
            </w:r>
          </w:p>
        </w:tc>
        <w:tc>
          <w:tcPr>
            <w:tcW w:w="884" w:type="dxa"/>
            <w:tcBorders>
              <w:top w:val="nil"/>
              <w:left w:val="nil"/>
              <w:bottom w:val="single" w:color="auto" w:sz="4" w:space="0"/>
              <w:right w:val="single" w:color="auto" w:sz="4" w:space="0"/>
            </w:tcBorders>
            <w:shd w:val="clear" w:color="auto" w:fill="E2E2E2"/>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风景区内人数</w:t>
            </w:r>
          </w:p>
        </w:tc>
        <w:tc>
          <w:tcPr>
            <w:tcW w:w="729" w:type="dxa"/>
            <w:tcBorders>
              <w:top w:val="nil"/>
              <w:left w:val="nil"/>
              <w:bottom w:val="single" w:color="auto" w:sz="4" w:space="0"/>
              <w:right w:val="single" w:color="auto" w:sz="4" w:space="0"/>
            </w:tcBorders>
            <w:shd w:val="clear" w:color="auto" w:fill="E2E2E2"/>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总人数</w:t>
            </w:r>
          </w:p>
        </w:tc>
        <w:tc>
          <w:tcPr>
            <w:tcW w:w="936" w:type="dxa"/>
            <w:tcBorders>
              <w:top w:val="nil"/>
              <w:left w:val="nil"/>
              <w:bottom w:val="single" w:color="auto" w:sz="4" w:space="0"/>
              <w:right w:val="single" w:color="auto" w:sz="4" w:space="0"/>
            </w:tcBorders>
            <w:shd w:val="clear" w:color="auto" w:fill="E2E2E2"/>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风景区内人数</w:t>
            </w:r>
          </w:p>
        </w:tc>
      </w:tr>
      <w:tr>
        <w:tblPrEx>
          <w:tblLayout w:type="fixed"/>
          <w:tblCellMar>
            <w:top w:w="0" w:type="dxa"/>
            <w:left w:w="57" w:type="dxa"/>
            <w:bottom w:w="0" w:type="dxa"/>
            <w:right w:w="57" w:type="dxa"/>
          </w:tblCellMar>
        </w:tblPrEx>
        <w:trPr>
          <w:gridAfter w:val="1"/>
          <w:wAfter w:w="240" w:type="dxa"/>
          <w:trHeight w:val="350" w:hRule="atLeast"/>
        </w:trPr>
        <w:tc>
          <w:tcPr>
            <w:tcW w:w="988" w:type="dxa"/>
            <w:vMerge w:val="restart"/>
            <w:tcBorders>
              <w:top w:val="nil"/>
              <w:left w:val="single" w:color="auto" w:sz="4" w:space="0"/>
              <w:bottom w:val="single" w:color="000000"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大峃镇</w:t>
            </w:r>
          </w:p>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（1个村）</w:t>
            </w:r>
          </w:p>
        </w:tc>
        <w:tc>
          <w:tcPr>
            <w:tcW w:w="4567"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吴岭村</w:t>
            </w:r>
          </w:p>
        </w:tc>
        <w:tc>
          <w:tcPr>
            <w:tcW w:w="729" w:type="dxa"/>
            <w:vMerge w:val="restart"/>
            <w:tcBorders>
              <w:top w:val="nil"/>
              <w:left w:val="single" w:color="auto" w:sz="4" w:space="0"/>
              <w:bottom w:val="single" w:color="000000"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1318</w:t>
            </w:r>
          </w:p>
        </w:tc>
        <w:tc>
          <w:tcPr>
            <w:tcW w:w="884" w:type="dxa"/>
            <w:vMerge w:val="restart"/>
            <w:tcBorders>
              <w:top w:val="nil"/>
              <w:left w:val="single" w:color="auto" w:sz="4" w:space="0"/>
              <w:bottom w:val="single" w:color="000000"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260</w:t>
            </w:r>
          </w:p>
        </w:tc>
        <w:tc>
          <w:tcPr>
            <w:tcW w:w="729" w:type="dxa"/>
            <w:vMerge w:val="restart"/>
            <w:tcBorders>
              <w:top w:val="nil"/>
              <w:left w:val="single" w:color="auto" w:sz="4" w:space="0"/>
              <w:bottom w:val="single" w:color="000000"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381</w:t>
            </w:r>
          </w:p>
        </w:tc>
        <w:tc>
          <w:tcPr>
            <w:tcW w:w="936" w:type="dxa"/>
            <w:vMerge w:val="restart"/>
            <w:tcBorders>
              <w:top w:val="nil"/>
              <w:left w:val="single" w:color="auto" w:sz="4" w:space="0"/>
              <w:bottom w:val="single" w:color="000000"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28</w:t>
            </w:r>
          </w:p>
        </w:tc>
      </w:tr>
      <w:tr>
        <w:tblPrEx>
          <w:tblLayout w:type="fixed"/>
          <w:tblCellMar>
            <w:top w:w="0" w:type="dxa"/>
            <w:left w:w="57" w:type="dxa"/>
            <w:bottom w:w="0" w:type="dxa"/>
            <w:right w:w="57" w:type="dxa"/>
          </w:tblCellMar>
        </w:tblPrEx>
        <w:trPr>
          <w:trHeight w:val="79" w:hRule="atLeast"/>
        </w:trPr>
        <w:tc>
          <w:tcPr>
            <w:tcW w:w="988" w:type="dxa"/>
            <w:vMerge w:val="continue"/>
            <w:tcBorders>
              <w:top w:val="nil"/>
              <w:left w:val="single" w:color="auto" w:sz="4" w:space="0"/>
              <w:bottom w:val="single" w:color="000000"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729" w:type="dxa"/>
            <w:vMerge w:val="continue"/>
            <w:tcBorders>
              <w:top w:val="nil"/>
              <w:left w:val="single" w:color="auto" w:sz="4" w:space="0"/>
              <w:bottom w:val="single" w:color="000000"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884" w:type="dxa"/>
            <w:vMerge w:val="continue"/>
            <w:tcBorders>
              <w:top w:val="nil"/>
              <w:left w:val="single" w:color="auto" w:sz="4" w:space="0"/>
              <w:bottom w:val="single" w:color="000000"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729" w:type="dxa"/>
            <w:vMerge w:val="continue"/>
            <w:tcBorders>
              <w:top w:val="nil"/>
              <w:left w:val="single" w:color="auto" w:sz="4" w:space="0"/>
              <w:bottom w:val="single" w:color="000000"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936" w:type="dxa"/>
            <w:vMerge w:val="continue"/>
            <w:tcBorders>
              <w:top w:val="nil"/>
              <w:left w:val="single" w:color="auto" w:sz="4" w:space="0"/>
              <w:bottom w:val="single" w:color="000000"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240" w:type="dxa"/>
            <w:tcBorders>
              <w:top w:val="nil"/>
              <w:left w:val="nil"/>
              <w:bottom w:val="nil"/>
              <w:right w:val="nil"/>
            </w:tcBorders>
            <w:shd w:val="clear" w:color="auto" w:fill="auto"/>
            <w:noWrap/>
            <w:vAlign w:val="center"/>
          </w:tcPr>
          <w:p>
            <w:pPr>
              <w:widowControl/>
              <w:adjustRightInd w:val="0"/>
              <w:snapToGrid w:val="0"/>
              <w:ind w:firstLine="0" w:firstLineChars="0"/>
              <w:jc w:val="center"/>
              <w:rPr>
                <w:rFonts w:ascii="宋体" w:hAnsi="宋体" w:cs="宋体"/>
                <w:color w:val="000000"/>
                <w:kern w:val="0"/>
                <w:sz w:val="18"/>
                <w:szCs w:val="18"/>
              </w:rPr>
            </w:pPr>
          </w:p>
        </w:tc>
      </w:tr>
      <w:tr>
        <w:tblPrEx>
          <w:tblLayout w:type="fixed"/>
          <w:tblCellMar>
            <w:top w:w="0" w:type="dxa"/>
            <w:left w:w="57" w:type="dxa"/>
            <w:bottom w:w="0" w:type="dxa"/>
            <w:right w:w="57" w:type="dxa"/>
          </w:tblCellMar>
        </w:tblPrEx>
        <w:trPr>
          <w:trHeight w:val="278" w:hRule="atLeast"/>
        </w:trPr>
        <w:tc>
          <w:tcPr>
            <w:tcW w:w="988" w:type="dxa"/>
            <w:vMerge w:val="restart"/>
            <w:tcBorders>
              <w:top w:val="nil"/>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珊溪镇</w:t>
            </w:r>
          </w:p>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（11个村）</w:t>
            </w: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云西村（下山垟村、西黄村、牛坑村合并）</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1709</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185</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312</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30</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珊湖村（新红村、下山村、新湖村、卓山村合并）</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3593</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3593</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389</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389</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南阳村（南阳村、罗山村、驮了村合并）</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2429</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50</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1002</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8</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五新村</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1787</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55</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674</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10</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南川村（东坪村、高山村、福首源村、岭背村、毛坑村合并）</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3329</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655</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349</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65</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华扬村（西山村、君阳村、松源村合并）</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3441</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658</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762</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35</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项坑村</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1007</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60</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277</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8</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雅坪村</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1013</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1013</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421</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421</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塘山村（塘山村、松根村合并）</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1433</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1433</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307</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307</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松坑村</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903</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903</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199</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199</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鳌洋村</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1330</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1330</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363</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363</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kern w:val="0"/>
                <w:sz w:val="18"/>
                <w:szCs w:val="18"/>
              </w:rPr>
            </w:pPr>
            <w:r>
              <w:rPr>
                <w:rFonts w:hint="eastAsia" w:ascii="宋体" w:hAnsi="宋体" w:cs="宋体"/>
                <w:b/>
                <w:bCs/>
                <w:kern w:val="0"/>
                <w:sz w:val="18"/>
                <w:szCs w:val="18"/>
              </w:rPr>
              <w:t>小计</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kern w:val="0"/>
                <w:sz w:val="18"/>
                <w:szCs w:val="18"/>
              </w:rPr>
            </w:pPr>
            <w:r>
              <w:rPr>
                <w:rFonts w:hint="eastAsia" w:ascii="宋体" w:hAnsi="宋体" w:cs="宋体"/>
                <w:b/>
                <w:bCs/>
                <w:kern w:val="0"/>
                <w:sz w:val="18"/>
                <w:szCs w:val="18"/>
              </w:rPr>
              <w:t>43101</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kern w:val="0"/>
                <w:sz w:val="18"/>
                <w:szCs w:val="18"/>
              </w:rPr>
            </w:pPr>
            <w:r>
              <w:rPr>
                <w:rFonts w:hint="eastAsia" w:ascii="宋体" w:hAnsi="宋体" w:cs="宋体"/>
                <w:b/>
                <w:bCs/>
                <w:kern w:val="0"/>
                <w:sz w:val="18"/>
                <w:szCs w:val="18"/>
              </w:rPr>
              <w:t>26204</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kern w:val="0"/>
                <w:sz w:val="18"/>
                <w:szCs w:val="18"/>
              </w:rPr>
            </w:pPr>
            <w:r>
              <w:rPr>
                <w:rFonts w:hint="eastAsia" w:ascii="宋体" w:hAnsi="宋体" w:cs="宋体"/>
                <w:b/>
                <w:bCs/>
                <w:kern w:val="0"/>
                <w:sz w:val="18"/>
                <w:szCs w:val="18"/>
              </w:rPr>
              <w:t>9849</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kern w:val="0"/>
                <w:sz w:val="18"/>
                <w:szCs w:val="18"/>
              </w:rPr>
            </w:pPr>
            <w:r>
              <w:rPr>
                <w:rFonts w:hint="eastAsia" w:ascii="宋体" w:hAnsi="宋体" w:cs="宋体"/>
                <w:b/>
                <w:bCs/>
                <w:kern w:val="0"/>
                <w:sz w:val="18"/>
                <w:szCs w:val="18"/>
              </w:rPr>
              <w:t>5628</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玉壶镇（11个村）</w:t>
            </w: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龙一村（五一村、龙坑村合并）</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2686</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2032</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碧溪村（碧溪村、碧坑村合并）</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3221</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190</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2485</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85</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金地村（洪地村、金岩村合并）</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565</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565</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386</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386</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金源村（蔡坑村、角山村、桃坑村合并）</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2121</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2121</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1251</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1251</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金星村</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1946</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155</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1353</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65</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金民村（八格村、朱坪村合并）</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1431</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999</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朱雅村（雅龙村、吴坑村合并）</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2298</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266</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1725</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122</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朱寮村</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1212</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1212</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1009</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1009</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坳垟村（汤垟村、坳坪村合并）</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1242</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366</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979</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85</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龙背村</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2715</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3027</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樟高村（樟坑村、樟坪村、高坪村合并）</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2245</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1658</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小计</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21682</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4940</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16904</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3028</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restart"/>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南田镇（14个村）</w:t>
            </w: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郑岙村</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989</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989</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198</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198</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富民村</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1670</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1670</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600</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600</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光明村</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994</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994</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231</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231</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高新村</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1567</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1567</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310</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310</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十源村</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2340</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2340</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717</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717</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呈段村</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858</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858</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298</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298</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新岳村</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2081</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2081</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1012</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1012</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龙上村</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1280</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70</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龙岙村</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1415</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80</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梅树村</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1593</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566</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武阳村</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646</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46</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327</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26</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南岳村</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1734</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1734</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105</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105</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黄寮村</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2095</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2095</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55</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55</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西湖村</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1865</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1865</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小计</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2</w:t>
            </w:r>
            <w:r>
              <w:rPr>
                <w:rFonts w:ascii="宋体" w:hAnsi="宋体" w:cs="宋体"/>
                <w:b/>
                <w:bCs/>
                <w:color w:val="000000"/>
                <w:kern w:val="0"/>
                <w:sz w:val="18"/>
                <w:szCs w:val="18"/>
              </w:rPr>
              <w:t>1127</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1</w:t>
            </w:r>
            <w:r>
              <w:rPr>
                <w:rFonts w:ascii="宋体" w:hAnsi="宋体" w:cs="宋体"/>
                <w:b/>
                <w:bCs/>
                <w:color w:val="000000"/>
                <w:kern w:val="0"/>
                <w:sz w:val="18"/>
                <w:szCs w:val="18"/>
              </w:rPr>
              <w:t>6269</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4</w:t>
            </w:r>
            <w:r>
              <w:rPr>
                <w:rFonts w:ascii="宋体" w:hAnsi="宋体" w:cs="宋体"/>
                <w:b/>
                <w:bCs/>
                <w:color w:val="000000"/>
                <w:kern w:val="0"/>
                <w:sz w:val="18"/>
                <w:szCs w:val="18"/>
              </w:rPr>
              <w:t>794</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3</w:t>
            </w:r>
            <w:r>
              <w:rPr>
                <w:rFonts w:ascii="宋体" w:hAnsi="宋体" w:cs="宋体"/>
                <w:b/>
                <w:bCs/>
                <w:color w:val="000000"/>
                <w:kern w:val="0"/>
                <w:sz w:val="18"/>
                <w:szCs w:val="18"/>
              </w:rPr>
              <w:t>793</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restart"/>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黄坦镇（7个村）</w:t>
            </w: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黄垟村（林山村、黄垟村合并）</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1359</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83</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330</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83</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双溪村（高西村、杜山村、石岭村合并）</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519</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65</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88</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25</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塘垄民族村</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465</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305</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352</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352</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云湖村（包山垟村、龙湖村合并）</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1358</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420</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333</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86</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江源村（取垟村、驮加村、千秋门村合并）</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662</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89</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105</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35</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稽垟村（原支垟村）</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1865</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443</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965</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232</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塘底垟村</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430</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89</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256</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45</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小计</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6658</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1494</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2429</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858</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西坑畲族镇（1个）</w:t>
            </w: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梧溪村</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1064</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26</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585</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百丈漈镇（3个村）</w:t>
            </w: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西段村</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1183</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19</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413</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篁庄村</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1580</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261</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430</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109</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43" w:hRule="atLeast"/>
        </w:trPr>
        <w:tc>
          <w:tcPr>
            <w:tcW w:w="98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大会村（底大会、外大会）</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1723</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1120</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4123</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270</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小计</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4486</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1400</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4966</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392</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restart"/>
            <w:tcBorders>
              <w:top w:val="nil"/>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巨屿镇</w:t>
            </w:r>
          </w:p>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（2个村）</w:t>
            </w: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黄龙村（黄龙、赤砂村合并）</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1599</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21</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137</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方前村（原双尖村）</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1698</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35</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932</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left w:val="single" w:color="auto" w:sz="4" w:space="0"/>
              <w:bottom w:val="single" w:color="000000"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小计</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3297</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56</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1069</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33</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restart"/>
            <w:tcBorders>
              <w:top w:val="nil"/>
              <w:left w:val="single" w:color="auto" w:sz="4" w:space="0"/>
              <w:bottom w:val="single" w:color="000000"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二源镇</w:t>
            </w:r>
          </w:p>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（9个村）</w:t>
            </w: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山头村</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688</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88</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210</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top w:val="nil"/>
              <w:left w:val="single" w:color="auto" w:sz="4" w:space="0"/>
              <w:bottom w:val="single" w:color="000000"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谈阳村</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2084</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1600</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420</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400</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top w:val="nil"/>
              <w:left w:val="single" w:color="auto" w:sz="4" w:space="0"/>
              <w:bottom w:val="single" w:color="000000"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朱山村</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533</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533</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278</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278</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top w:val="nil"/>
              <w:left w:val="single" w:color="auto" w:sz="4" w:space="0"/>
              <w:bottom w:val="single" w:color="000000"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岭头村</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750</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750</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130</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130</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top w:val="nil"/>
              <w:left w:val="single" w:color="auto" w:sz="4" w:space="0"/>
              <w:bottom w:val="single" w:color="000000"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庄后村</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683</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683</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293</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293</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57" w:hRule="atLeast"/>
        </w:trPr>
        <w:tc>
          <w:tcPr>
            <w:tcW w:w="988" w:type="dxa"/>
            <w:vMerge w:val="continue"/>
            <w:tcBorders>
              <w:top w:val="nil"/>
              <w:left w:val="single" w:color="auto" w:sz="4" w:space="0"/>
              <w:bottom w:val="single" w:color="000000"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榅树根村（榅树根村、坑底村合并）</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1739</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700</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249</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50</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61" w:hRule="atLeast"/>
        </w:trPr>
        <w:tc>
          <w:tcPr>
            <w:tcW w:w="988" w:type="dxa"/>
            <w:vMerge w:val="continue"/>
            <w:tcBorders>
              <w:top w:val="nil"/>
              <w:left w:val="single" w:color="auto" w:sz="4" w:space="0"/>
              <w:bottom w:val="single" w:color="000000"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二源村（二源村、廷坑下村合并）</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2364</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11</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1300</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137" w:hRule="atLeast"/>
        </w:trPr>
        <w:tc>
          <w:tcPr>
            <w:tcW w:w="988" w:type="dxa"/>
            <w:vMerge w:val="continue"/>
            <w:tcBorders>
              <w:top w:val="nil"/>
              <w:left w:val="single" w:color="auto" w:sz="4" w:space="0"/>
              <w:bottom w:val="single" w:color="000000"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新东村（陈村村、东坑村、呈岭村、钟垟村合并）</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1257</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1257</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220</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220</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450" w:hRule="atLeast"/>
        </w:trPr>
        <w:tc>
          <w:tcPr>
            <w:tcW w:w="988" w:type="dxa"/>
            <w:vMerge w:val="continue"/>
            <w:tcBorders>
              <w:top w:val="nil"/>
              <w:left w:val="single" w:color="auto" w:sz="4" w:space="0"/>
              <w:bottom w:val="single" w:color="000000"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陈钟村</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325</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325</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70</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70</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430" w:hRule="atLeast"/>
        </w:trPr>
        <w:tc>
          <w:tcPr>
            <w:tcW w:w="988" w:type="dxa"/>
            <w:vMerge w:val="continue"/>
            <w:tcBorders>
              <w:top w:val="nil"/>
              <w:left w:val="single" w:color="auto" w:sz="4" w:space="0"/>
              <w:bottom w:val="single" w:color="000000"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小计</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10423</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5947</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3170</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1469</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restart"/>
            <w:tcBorders>
              <w:top w:val="nil"/>
              <w:left w:val="single" w:color="auto" w:sz="4" w:space="0"/>
              <w:bottom w:val="single" w:color="000000"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铜铃山镇（7个）</w:t>
            </w: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下垟村</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1251</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540</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324</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40</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top w:val="nil"/>
              <w:left w:val="single" w:color="auto" w:sz="4" w:space="0"/>
              <w:bottom w:val="single" w:color="000000"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都铺村</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491</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491</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83</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83</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top w:val="nil"/>
              <w:left w:val="single" w:color="auto" w:sz="4" w:space="0"/>
              <w:bottom w:val="single" w:color="000000"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铜铃村</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1449</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805</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278</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190</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top w:val="nil"/>
              <w:left w:val="single" w:color="auto" w:sz="4" w:space="0"/>
              <w:bottom w:val="single" w:color="000000"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岭后村</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1208</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1208</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206</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206</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top w:val="nil"/>
              <w:left w:val="single" w:color="auto" w:sz="4" w:space="0"/>
              <w:bottom w:val="single" w:color="000000"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雅庄村</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732</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732</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55</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54</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43" w:hRule="atLeast"/>
        </w:trPr>
        <w:tc>
          <w:tcPr>
            <w:tcW w:w="988" w:type="dxa"/>
            <w:vMerge w:val="continue"/>
            <w:tcBorders>
              <w:top w:val="nil"/>
              <w:left w:val="single" w:color="auto" w:sz="4" w:space="0"/>
              <w:bottom w:val="single" w:color="000000"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石垟林场生活区</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806</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194</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265</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65</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45" w:hRule="atLeast"/>
        </w:trPr>
        <w:tc>
          <w:tcPr>
            <w:tcW w:w="988" w:type="dxa"/>
            <w:vMerge w:val="continue"/>
            <w:tcBorders>
              <w:top w:val="nil"/>
              <w:left w:val="single" w:color="auto" w:sz="4" w:space="0"/>
              <w:bottom w:val="single" w:color="000000"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叶胜林场生活区</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565</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120</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176</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25</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988" w:type="dxa"/>
            <w:vMerge w:val="continue"/>
            <w:tcBorders>
              <w:top w:val="nil"/>
              <w:left w:val="single" w:color="auto" w:sz="4" w:space="0"/>
              <w:bottom w:val="single" w:color="000000"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p>
        </w:tc>
        <w:tc>
          <w:tcPr>
            <w:tcW w:w="456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小计</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6502</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4090</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1387</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663</w:t>
            </w:r>
          </w:p>
        </w:tc>
        <w:tc>
          <w:tcPr>
            <w:tcW w:w="240" w:type="dxa"/>
            <w:vAlign w:val="center"/>
          </w:tcPr>
          <w:p>
            <w:pPr>
              <w:widowControl/>
              <w:adjustRightInd w:val="0"/>
              <w:snapToGrid w:val="0"/>
              <w:ind w:firstLine="0" w:firstLineChars="0"/>
              <w:jc w:val="center"/>
              <w:rPr>
                <w:rFonts w:eastAsia="Times New Roman"/>
                <w:kern w:val="0"/>
                <w:sz w:val="20"/>
                <w:szCs w:val="20"/>
              </w:rPr>
            </w:pPr>
          </w:p>
        </w:tc>
      </w:tr>
      <w:tr>
        <w:tblPrEx>
          <w:tblLayout w:type="fixed"/>
          <w:tblCellMar>
            <w:top w:w="0" w:type="dxa"/>
            <w:left w:w="57" w:type="dxa"/>
            <w:bottom w:w="0" w:type="dxa"/>
            <w:right w:w="57" w:type="dxa"/>
          </w:tblCellMar>
        </w:tblPrEx>
        <w:trPr>
          <w:trHeight w:val="278" w:hRule="atLeast"/>
        </w:trPr>
        <w:tc>
          <w:tcPr>
            <w:tcW w:w="55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合计</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98531</w:t>
            </w:r>
          </w:p>
        </w:tc>
        <w:tc>
          <w:tcPr>
            <w:tcW w:w="88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44417</w:t>
            </w:r>
          </w:p>
        </w:tc>
        <w:tc>
          <w:tcPr>
            <w:tcW w:w="7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40740</w:t>
            </w:r>
          </w:p>
        </w:tc>
        <w:tc>
          <w:tcPr>
            <w:tcW w:w="93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12112</w:t>
            </w:r>
          </w:p>
        </w:tc>
        <w:tc>
          <w:tcPr>
            <w:tcW w:w="240" w:type="dxa"/>
            <w:vAlign w:val="center"/>
          </w:tcPr>
          <w:p>
            <w:pPr>
              <w:widowControl/>
              <w:adjustRightInd w:val="0"/>
              <w:snapToGrid w:val="0"/>
              <w:ind w:firstLine="0" w:firstLineChars="0"/>
              <w:jc w:val="center"/>
              <w:rPr>
                <w:rFonts w:eastAsia="Times New Roman"/>
                <w:kern w:val="0"/>
                <w:sz w:val="20"/>
                <w:szCs w:val="20"/>
              </w:rPr>
            </w:pPr>
          </w:p>
        </w:tc>
      </w:tr>
      <w:bookmarkEnd w:id="60"/>
    </w:tbl>
    <w:p>
      <w:pPr>
        <w:spacing w:before="156" w:beforeLines="50" w:line="240" w:lineRule="auto"/>
        <w:ind w:firstLine="0" w:firstLineChars="0"/>
        <w:rPr>
          <w:rFonts w:asciiTheme="minorEastAsia" w:hAnsiTheme="minorEastAsia"/>
          <w:sz w:val="21"/>
          <w:szCs w:val="21"/>
        </w:rPr>
      </w:pPr>
      <w:r>
        <w:rPr>
          <w:rFonts w:hint="eastAsia" w:asciiTheme="minorEastAsia" w:hAnsiTheme="minorEastAsia"/>
          <w:sz w:val="21"/>
          <w:szCs w:val="21"/>
        </w:rPr>
        <w:t>注解：数据由各乡镇提供，统计口径为2023年。</w:t>
      </w:r>
    </w:p>
    <w:p>
      <w:pPr>
        <w:spacing w:before="156" w:beforeLines="50"/>
        <w:ind w:firstLine="0" w:firstLineChars="0"/>
        <w:jc w:val="center"/>
        <w:rPr>
          <w:rFonts w:ascii="宋体" w:hAnsi="宋体"/>
          <w:b/>
          <w:kern w:val="0"/>
          <w:sz w:val="21"/>
          <w:szCs w:val="21"/>
        </w:rPr>
      </w:pPr>
      <w:r>
        <w:rPr>
          <w:rFonts w:hint="eastAsia" w:ascii="宋体" w:hAnsi="宋体"/>
          <w:b/>
          <w:kern w:val="0"/>
          <w:sz w:val="21"/>
          <w:szCs w:val="21"/>
        </w:rPr>
        <w:t>表5</w:t>
      </w:r>
      <w:r>
        <w:rPr>
          <w:rFonts w:ascii="宋体" w:hAnsi="宋体"/>
          <w:b/>
          <w:kern w:val="0"/>
          <w:sz w:val="21"/>
          <w:szCs w:val="21"/>
        </w:rPr>
        <w:t xml:space="preserve">-2 </w:t>
      </w:r>
      <w:r>
        <w:rPr>
          <w:rFonts w:hint="eastAsia" w:ascii="宋体" w:hAnsi="宋体"/>
          <w:b/>
          <w:kern w:val="0"/>
          <w:sz w:val="21"/>
          <w:szCs w:val="21"/>
        </w:rPr>
        <w:t>风景名胜区内现状村庄规模分类一览表（按村域总人口）</w:t>
      </w:r>
    </w:p>
    <w:tbl>
      <w:tblPr>
        <w:tblStyle w:val="42"/>
        <w:tblW w:w="8834" w:type="dxa"/>
        <w:tblInd w:w="0" w:type="dxa"/>
        <w:tblLayout w:type="fixed"/>
        <w:tblCellMar>
          <w:top w:w="0" w:type="dxa"/>
          <w:left w:w="108" w:type="dxa"/>
          <w:bottom w:w="0" w:type="dxa"/>
          <w:right w:w="108" w:type="dxa"/>
        </w:tblCellMar>
      </w:tblPr>
      <w:tblGrid>
        <w:gridCol w:w="1666"/>
        <w:gridCol w:w="1092"/>
        <w:gridCol w:w="733"/>
        <w:gridCol w:w="5343"/>
      </w:tblGrid>
      <w:tr>
        <w:tblPrEx>
          <w:tblLayout w:type="fixed"/>
          <w:tblCellMar>
            <w:top w:w="0" w:type="dxa"/>
            <w:left w:w="108" w:type="dxa"/>
            <w:bottom w:w="0" w:type="dxa"/>
            <w:right w:w="108" w:type="dxa"/>
          </w:tblCellMar>
        </w:tblPrEx>
        <w:trPr>
          <w:trHeight w:val="278" w:hRule="atLeast"/>
        </w:trPr>
        <w:tc>
          <w:tcPr>
            <w:tcW w:w="1666" w:type="dxa"/>
            <w:tcBorders>
              <w:top w:val="single" w:color="auto" w:sz="4" w:space="0"/>
              <w:left w:val="single" w:color="auto" w:sz="4" w:space="0"/>
              <w:bottom w:val="single" w:color="auto" w:sz="4" w:space="0"/>
              <w:right w:val="single" w:color="auto" w:sz="4" w:space="0"/>
            </w:tcBorders>
            <w:shd w:val="clear" w:color="auto" w:fill="E2E2E2"/>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乡 镇</w:t>
            </w:r>
          </w:p>
        </w:tc>
        <w:tc>
          <w:tcPr>
            <w:tcW w:w="1092" w:type="dxa"/>
            <w:tcBorders>
              <w:top w:val="single" w:color="auto" w:sz="4" w:space="0"/>
              <w:left w:val="single" w:color="auto" w:sz="4" w:space="0"/>
              <w:bottom w:val="single" w:color="auto" w:sz="4" w:space="0"/>
              <w:right w:val="single" w:color="auto" w:sz="4" w:space="0"/>
            </w:tcBorders>
            <w:shd w:val="clear" w:color="auto" w:fill="E2E2E2"/>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人口</w:t>
            </w:r>
          </w:p>
        </w:tc>
        <w:tc>
          <w:tcPr>
            <w:tcW w:w="733" w:type="dxa"/>
            <w:tcBorders>
              <w:top w:val="single" w:color="auto" w:sz="4" w:space="0"/>
              <w:left w:val="single" w:color="auto" w:sz="4" w:space="0"/>
              <w:bottom w:val="single" w:color="auto" w:sz="4" w:space="0"/>
              <w:right w:val="single" w:color="auto" w:sz="4" w:space="0"/>
            </w:tcBorders>
            <w:shd w:val="clear" w:color="auto" w:fill="E2E2E2"/>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数量</w:t>
            </w:r>
          </w:p>
        </w:tc>
        <w:tc>
          <w:tcPr>
            <w:tcW w:w="5343" w:type="dxa"/>
            <w:tcBorders>
              <w:top w:val="single" w:color="auto" w:sz="4" w:space="0"/>
              <w:left w:val="single" w:color="auto" w:sz="4" w:space="0"/>
              <w:bottom w:val="single" w:color="auto" w:sz="4" w:space="0"/>
              <w:right w:val="single" w:color="auto" w:sz="4" w:space="0"/>
            </w:tcBorders>
            <w:shd w:val="clear" w:color="auto" w:fill="E2E2E2"/>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村名</w:t>
            </w:r>
          </w:p>
        </w:tc>
      </w:tr>
      <w:tr>
        <w:tblPrEx>
          <w:tblLayout w:type="fixed"/>
          <w:tblCellMar>
            <w:top w:w="0" w:type="dxa"/>
            <w:left w:w="108" w:type="dxa"/>
            <w:bottom w:w="0" w:type="dxa"/>
            <w:right w:w="108" w:type="dxa"/>
          </w:tblCellMar>
        </w:tblPrEx>
        <w:trPr>
          <w:trHeight w:val="343" w:hRule="atLeast"/>
        </w:trPr>
        <w:tc>
          <w:tcPr>
            <w:tcW w:w="1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大峃镇（1个村）</w:t>
            </w:r>
          </w:p>
        </w:tc>
        <w:tc>
          <w:tcPr>
            <w:tcW w:w="10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0-500</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5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吴岭村</w:t>
            </w:r>
          </w:p>
        </w:tc>
      </w:tr>
      <w:tr>
        <w:tblPrEx>
          <w:tblLayout w:type="fixed"/>
          <w:tblCellMar>
            <w:top w:w="0" w:type="dxa"/>
            <w:left w:w="108" w:type="dxa"/>
            <w:bottom w:w="0" w:type="dxa"/>
            <w:right w:w="108" w:type="dxa"/>
          </w:tblCellMar>
        </w:tblPrEx>
        <w:trPr>
          <w:trHeight w:val="343" w:hRule="atLeast"/>
        </w:trPr>
        <w:tc>
          <w:tcPr>
            <w:tcW w:w="1666" w:type="dxa"/>
            <w:vMerge w:val="restart"/>
            <w:tcBorders>
              <w:top w:val="single" w:color="auto" w:sz="4" w:space="0"/>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珊溪镇</w:t>
            </w:r>
          </w:p>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（11个村）</w:t>
            </w:r>
          </w:p>
        </w:tc>
        <w:tc>
          <w:tcPr>
            <w:tcW w:w="10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0-500</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ascii="宋体" w:hAnsi="宋体" w:cs="宋体"/>
                <w:kern w:val="0"/>
                <w:sz w:val="18"/>
                <w:szCs w:val="18"/>
              </w:rPr>
              <w:t>8</w:t>
            </w:r>
          </w:p>
        </w:tc>
        <w:tc>
          <w:tcPr>
            <w:tcW w:w="5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云西村、珊湖村、南川村、项坑村、雅坪村、塘山村、松坑村、鳌洋村</w:t>
            </w:r>
          </w:p>
        </w:tc>
      </w:tr>
      <w:tr>
        <w:tblPrEx>
          <w:tblLayout w:type="fixed"/>
          <w:tblCellMar>
            <w:top w:w="0" w:type="dxa"/>
            <w:left w:w="108" w:type="dxa"/>
            <w:bottom w:w="0" w:type="dxa"/>
            <w:right w:w="108" w:type="dxa"/>
          </w:tblCellMar>
        </w:tblPrEx>
        <w:trPr>
          <w:trHeight w:val="343" w:hRule="atLeast"/>
        </w:trPr>
        <w:tc>
          <w:tcPr>
            <w:tcW w:w="1666"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p>
        </w:tc>
        <w:tc>
          <w:tcPr>
            <w:tcW w:w="10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500-1000</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5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五新村、华扬村</w:t>
            </w:r>
          </w:p>
        </w:tc>
      </w:tr>
      <w:tr>
        <w:tblPrEx>
          <w:tblLayout w:type="fixed"/>
          <w:tblCellMar>
            <w:top w:w="0" w:type="dxa"/>
            <w:left w:w="108" w:type="dxa"/>
            <w:bottom w:w="0" w:type="dxa"/>
            <w:right w:w="108" w:type="dxa"/>
          </w:tblCellMar>
        </w:tblPrEx>
        <w:trPr>
          <w:trHeight w:val="343" w:hRule="atLeast"/>
        </w:trPr>
        <w:tc>
          <w:tcPr>
            <w:tcW w:w="1666" w:type="dxa"/>
            <w:vMerge w:val="continue"/>
            <w:tcBorders>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p>
        </w:tc>
        <w:tc>
          <w:tcPr>
            <w:tcW w:w="10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1000以上</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5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南阳村</w:t>
            </w:r>
          </w:p>
        </w:tc>
      </w:tr>
      <w:tr>
        <w:tblPrEx>
          <w:tblLayout w:type="fixed"/>
          <w:tblCellMar>
            <w:top w:w="0" w:type="dxa"/>
            <w:left w:w="108" w:type="dxa"/>
            <w:bottom w:w="0" w:type="dxa"/>
            <w:right w:w="108" w:type="dxa"/>
          </w:tblCellMar>
        </w:tblPrEx>
        <w:trPr>
          <w:trHeight w:val="76" w:hRule="atLeast"/>
        </w:trPr>
        <w:tc>
          <w:tcPr>
            <w:tcW w:w="1666" w:type="dxa"/>
            <w:vMerge w:val="restart"/>
            <w:tcBorders>
              <w:top w:val="single" w:color="auto" w:sz="4" w:space="0"/>
              <w:left w:val="single" w:color="auto" w:sz="4" w:space="0"/>
              <w:right w:val="single" w:color="auto" w:sz="4" w:space="0"/>
            </w:tcBorders>
            <w:shd w:val="clear" w:color="auto" w:fill="auto"/>
            <w:vAlign w:val="center"/>
          </w:tcPr>
          <w:p>
            <w:pPr>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玉壶镇</w:t>
            </w:r>
          </w:p>
          <w:p>
            <w:pPr>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color w:val="000000"/>
                <w:kern w:val="0"/>
                <w:sz w:val="18"/>
                <w:szCs w:val="18"/>
              </w:rPr>
              <w:t>（11个村）</w:t>
            </w:r>
          </w:p>
        </w:tc>
        <w:tc>
          <w:tcPr>
            <w:tcW w:w="10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0-500</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5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金地村</w:t>
            </w:r>
          </w:p>
        </w:tc>
      </w:tr>
      <w:tr>
        <w:tblPrEx>
          <w:tblLayout w:type="fixed"/>
          <w:tblCellMar>
            <w:top w:w="0" w:type="dxa"/>
            <w:left w:w="108" w:type="dxa"/>
            <w:bottom w:w="0" w:type="dxa"/>
            <w:right w:w="108" w:type="dxa"/>
          </w:tblCellMar>
        </w:tblPrEx>
        <w:trPr>
          <w:trHeight w:val="76" w:hRule="atLeast"/>
        </w:trPr>
        <w:tc>
          <w:tcPr>
            <w:tcW w:w="1666" w:type="dxa"/>
            <w:vMerge w:val="continue"/>
            <w:tcBorders>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p>
        </w:tc>
        <w:tc>
          <w:tcPr>
            <w:tcW w:w="10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1000以上</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ascii="宋体" w:hAnsi="宋体" w:cs="宋体"/>
                <w:kern w:val="0"/>
                <w:sz w:val="18"/>
                <w:szCs w:val="18"/>
              </w:rPr>
              <w:t>10</w:t>
            </w:r>
          </w:p>
        </w:tc>
        <w:tc>
          <w:tcPr>
            <w:tcW w:w="5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龙一村、碧溪村、金源村、金星村、朱寮村、朱雅村、龙背村、樟高村、金民村、坳垟村</w:t>
            </w:r>
          </w:p>
        </w:tc>
      </w:tr>
      <w:tr>
        <w:tblPrEx>
          <w:tblLayout w:type="fixed"/>
          <w:tblCellMar>
            <w:top w:w="0" w:type="dxa"/>
            <w:left w:w="108" w:type="dxa"/>
            <w:bottom w:w="0" w:type="dxa"/>
            <w:right w:w="108" w:type="dxa"/>
          </w:tblCellMar>
        </w:tblPrEx>
        <w:trPr>
          <w:trHeight w:val="76" w:hRule="atLeast"/>
        </w:trPr>
        <w:tc>
          <w:tcPr>
            <w:tcW w:w="1666" w:type="dxa"/>
            <w:vMerge w:val="restart"/>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南田镇</w:t>
            </w:r>
          </w:p>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（14个村）</w:t>
            </w:r>
          </w:p>
        </w:tc>
        <w:tc>
          <w:tcPr>
            <w:tcW w:w="10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0-500</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11</w:t>
            </w:r>
          </w:p>
        </w:tc>
        <w:tc>
          <w:tcPr>
            <w:tcW w:w="5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郑岙村、光明村、高新村、呈段村、龙上村、龙岙村、武阳村、南岳村、黄寮村、西湖村</w:t>
            </w:r>
          </w:p>
        </w:tc>
      </w:tr>
      <w:tr>
        <w:tblPrEx>
          <w:tblLayout w:type="fixed"/>
          <w:tblCellMar>
            <w:top w:w="0" w:type="dxa"/>
            <w:left w:w="108" w:type="dxa"/>
            <w:bottom w:w="0" w:type="dxa"/>
            <w:right w:w="108" w:type="dxa"/>
          </w:tblCellMar>
        </w:tblPrEx>
        <w:trPr>
          <w:trHeight w:val="76" w:hRule="atLeast"/>
        </w:trPr>
        <w:tc>
          <w:tcPr>
            <w:tcW w:w="1666"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p>
        </w:tc>
        <w:tc>
          <w:tcPr>
            <w:tcW w:w="10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500-1000</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5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富民村、十源村、梅树村</w:t>
            </w:r>
          </w:p>
        </w:tc>
      </w:tr>
      <w:tr>
        <w:tblPrEx>
          <w:tblLayout w:type="fixed"/>
          <w:tblCellMar>
            <w:top w:w="0" w:type="dxa"/>
            <w:left w:w="108" w:type="dxa"/>
            <w:bottom w:w="0" w:type="dxa"/>
            <w:right w:w="108" w:type="dxa"/>
          </w:tblCellMar>
        </w:tblPrEx>
        <w:trPr>
          <w:trHeight w:val="76" w:hRule="atLeast"/>
        </w:trPr>
        <w:tc>
          <w:tcPr>
            <w:tcW w:w="1666" w:type="dxa"/>
            <w:vMerge w:val="continue"/>
            <w:tcBorders>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p>
        </w:tc>
        <w:tc>
          <w:tcPr>
            <w:tcW w:w="10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1000以上</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5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新岳村</w:t>
            </w:r>
          </w:p>
        </w:tc>
      </w:tr>
      <w:tr>
        <w:tblPrEx>
          <w:tblLayout w:type="fixed"/>
          <w:tblCellMar>
            <w:top w:w="0" w:type="dxa"/>
            <w:left w:w="108" w:type="dxa"/>
            <w:bottom w:w="0" w:type="dxa"/>
            <w:right w:w="108" w:type="dxa"/>
          </w:tblCellMar>
        </w:tblPrEx>
        <w:trPr>
          <w:trHeight w:val="76" w:hRule="atLeast"/>
        </w:trPr>
        <w:tc>
          <w:tcPr>
            <w:tcW w:w="1666" w:type="dxa"/>
            <w:vMerge w:val="restart"/>
            <w:tcBorders>
              <w:top w:val="single" w:color="auto" w:sz="4" w:space="0"/>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黄坦镇</w:t>
            </w:r>
          </w:p>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（7个村）</w:t>
            </w:r>
          </w:p>
        </w:tc>
        <w:tc>
          <w:tcPr>
            <w:tcW w:w="10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0-500</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7</w:t>
            </w:r>
          </w:p>
        </w:tc>
        <w:tc>
          <w:tcPr>
            <w:tcW w:w="5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黄垟村、双溪村、塘垄民族村、云湖村、江源村、塘底垟村</w:t>
            </w:r>
          </w:p>
        </w:tc>
      </w:tr>
      <w:tr>
        <w:tblPrEx>
          <w:tblLayout w:type="fixed"/>
          <w:tblCellMar>
            <w:top w:w="0" w:type="dxa"/>
            <w:left w:w="108" w:type="dxa"/>
            <w:bottom w:w="0" w:type="dxa"/>
            <w:right w:w="108" w:type="dxa"/>
          </w:tblCellMar>
        </w:tblPrEx>
        <w:trPr>
          <w:trHeight w:val="76" w:hRule="atLeast"/>
        </w:trPr>
        <w:tc>
          <w:tcPr>
            <w:tcW w:w="1666" w:type="dxa"/>
            <w:vMerge w:val="continue"/>
            <w:tcBorders>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p>
        </w:tc>
        <w:tc>
          <w:tcPr>
            <w:tcW w:w="10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500-1000</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5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稽垟村</w:t>
            </w:r>
          </w:p>
        </w:tc>
      </w:tr>
      <w:tr>
        <w:tblPrEx>
          <w:tblLayout w:type="fixed"/>
          <w:tblCellMar>
            <w:top w:w="0" w:type="dxa"/>
            <w:left w:w="108" w:type="dxa"/>
            <w:bottom w:w="0" w:type="dxa"/>
            <w:right w:w="108" w:type="dxa"/>
          </w:tblCellMar>
        </w:tblPrEx>
        <w:trPr>
          <w:trHeight w:val="76" w:hRule="atLeast"/>
        </w:trPr>
        <w:tc>
          <w:tcPr>
            <w:tcW w:w="1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西坑畲族镇</w:t>
            </w:r>
          </w:p>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（1个村）</w:t>
            </w:r>
          </w:p>
        </w:tc>
        <w:tc>
          <w:tcPr>
            <w:tcW w:w="10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500-1000</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5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梧溪村</w:t>
            </w:r>
          </w:p>
        </w:tc>
      </w:tr>
      <w:tr>
        <w:tblPrEx>
          <w:tblLayout w:type="fixed"/>
          <w:tblCellMar>
            <w:top w:w="0" w:type="dxa"/>
            <w:left w:w="108" w:type="dxa"/>
            <w:bottom w:w="0" w:type="dxa"/>
            <w:right w:w="108" w:type="dxa"/>
          </w:tblCellMar>
        </w:tblPrEx>
        <w:trPr>
          <w:trHeight w:val="76" w:hRule="atLeast"/>
        </w:trPr>
        <w:tc>
          <w:tcPr>
            <w:tcW w:w="166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百丈漈镇</w:t>
            </w:r>
          </w:p>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（3个村）</w:t>
            </w:r>
          </w:p>
        </w:tc>
        <w:tc>
          <w:tcPr>
            <w:tcW w:w="10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0-500</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5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西段村、篁庄村</w:t>
            </w:r>
          </w:p>
        </w:tc>
      </w:tr>
      <w:tr>
        <w:tblPrEx>
          <w:tblLayout w:type="fixed"/>
          <w:tblCellMar>
            <w:top w:w="0" w:type="dxa"/>
            <w:left w:w="108" w:type="dxa"/>
            <w:bottom w:w="0" w:type="dxa"/>
            <w:right w:w="108" w:type="dxa"/>
          </w:tblCellMar>
        </w:tblPrEx>
        <w:trPr>
          <w:trHeight w:val="388" w:hRule="atLeast"/>
        </w:trPr>
        <w:tc>
          <w:tcPr>
            <w:tcW w:w="166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p>
        </w:tc>
        <w:tc>
          <w:tcPr>
            <w:tcW w:w="10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1000以上</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5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大会村</w:t>
            </w:r>
          </w:p>
        </w:tc>
      </w:tr>
      <w:tr>
        <w:tblPrEx>
          <w:tblLayout w:type="fixed"/>
          <w:tblCellMar>
            <w:top w:w="0" w:type="dxa"/>
            <w:left w:w="108" w:type="dxa"/>
            <w:bottom w:w="0" w:type="dxa"/>
            <w:right w:w="108" w:type="dxa"/>
          </w:tblCellMar>
        </w:tblPrEx>
        <w:trPr>
          <w:trHeight w:val="179" w:hRule="atLeast"/>
        </w:trPr>
        <w:tc>
          <w:tcPr>
            <w:tcW w:w="1666" w:type="dxa"/>
            <w:vMerge w:val="restart"/>
            <w:tcBorders>
              <w:top w:val="single" w:color="auto" w:sz="4" w:space="0"/>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巨屿镇</w:t>
            </w:r>
          </w:p>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（2个村）</w:t>
            </w:r>
          </w:p>
        </w:tc>
        <w:tc>
          <w:tcPr>
            <w:tcW w:w="10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0-500</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5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黄龙村</w:t>
            </w:r>
          </w:p>
        </w:tc>
      </w:tr>
      <w:tr>
        <w:tblPrEx>
          <w:tblLayout w:type="fixed"/>
          <w:tblCellMar>
            <w:top w:w="0" w:type="dxa"/>
            <w:left w:w="108" w:type="dxa"/>
            <w:bottom w:w="0" w:type="dxa"/>
            <w:right w:w="108" w:type="dxa"/>
          </w:tblCellMar>
        </w:tblPrEx>
        <w:trPr>
          <w:trHeight w:val="179" w:hRule="atLeast"/>
        </w:trPr>
        <w:tc>
          <w:tcPr>
            <w:tcW w:w="1666" w:type="dxa"/>
            <w:vMerge w:val="continue"/>
            <w:tcBorders>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p>
        </w:tc>
        <w:tc>
          <w:tcPr>
            <w:tcW w:w="10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500-1000</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5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方前村</w:t>
            </w:r>
          </w:p>
        </w:tc>
      </w:tr>
      <w:tr>
        <w:tblPrEx>
          <w:tblLayout w:type="fixed"/>
          <w:tblCellMar>
            <w:top w:w="0" w:type="dxa"/>
            <w:left w:w="108" w:type="dxa"/>
            <w:bottom w:w="0" w:type="dxa"/>
            <w:right w:w="108" w:type="dxa"/>
          </w:tblCellMar>
        </w:tblPrEx>
        <w:trPr>
          <w:trHeight w:val="179" w:hRule="atLeast"/>
        </w:trPr>
        <w:tc>
          <w:tcPr>
            <w:tcW w:w="166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二源镇</w:t>
            </w:r>
          </w:p>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（9个村）</w:t>
            </w:r>
          </w:p>
        </w:tc>
        <w:tc>
          <w:tcPr>
            <w:tcW w:w="10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0-500</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8</w:t>
            </w:r>
          </w:p>
        </w:tc>
        <w:tc>
          <w:tcPr>
            <w:tcW w:w="5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山头村、谈阳村、朱山村、岭头村、庄后村、榅树根村、新东村、陈钟村</w:t>
            </w:r>
          </w:p>
        </w:tc>
      </w:tr>
      <w:tr>
        <w:tblPrEx>
          <w:tblLayout w:type="fixed"/>
          <w:tblCellMar>
            <w:top w:w="0" w:type="dxa"/>
            <w:left w:w="108" w:type="dxa"/>
            <w:bottom w:w="0" w:type="dxa"/>
            <w:right w:w="108" w:type="dxa"/>
          </w:tblCellMar>
        </w:tblPrEx>
        <w:trPr>
          <w:trHeight w:val="179" w:hRule="atLeast"/>
        </w:trPr>
        <w:tc>
          <w:tcPr>
            <w:tcW w:w="166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p>
        </w:tc>
        <w:tc>
          <w:tcPr>
            <w:tcW w:w="10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1000以上</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5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二源村</w:t>
            </w:r>
          </w:p>
        </w:tc>
      </w:tr>
      <w:tr>
        <w:tblPrEx>
          <w:tblLayout w:type="fixed"/>
          <w:tblCellMar>
            <w:top w:w="0" w:type="dxa"/>
            <w:left w:w="108" w:type="dxa"/>
            <w:bottom w:w="0" w:type="dxa"/>
            <w:right w:w="108" w:type="dxa"/>
          </w:tblCellMar>
        </w:tblPrEx>
        <w:trPr>
          <w:trHeight w:val="53" w:hRule="atLeast"/>
        </w:trPr>
        <w:tc>
          <w:tcPr>
            <w:tcW w:w="1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铜铃山镇</w:t>
            </w:r>
          </w:p>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（7个村）</w:t>
            </w:r>
          </w:p>
        </w:tc>
        <w:tc>
          <w:tcPr>
            <w:tcW w:w="10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0-500</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7</w:t>
            </w:r>
          </w:p>
        </w:tc>
        <w:tc>
          <w:tcPr>
            <w:tcW w:w="5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下垟村、都铺村、铜铃村、岭后村、雅庄村、石垟林场生活区、叶胜林场生活区</w:t>
            </w:r>
          </w:p>
        </w:tc>
      </w:tr>
    </w:tbl>
    <w:p>
      <w:pPr>
        <w:spacing w:before="156" w:beforeLines="50"/>
        <w:ind w:firstLine="0" w:firstLineChars="0"/>
        <w:jc w:val="center"/>
        <w:rPr>
          <w:rFonts w:ascii="宋体" w:hAnsi="宋体"/>
          <w:b/>
          <w:kern w:val="0"/>
          <w:sz w:val="21"/>
          <w:szCs w:val="21"/>
        </w:rPr>
      </w:pPr>
      <w:r>
        <w:rPr>
          <w:rFonts w:hint="eastAsia" w:ascii="宋体" w:hAnsi="宋体"/>
          <w:b/>
          <w:kern w:val="0"/>
          <w:sz w:val="21"/>
          <w:szCs w:val="21"/>
        </w:rPr>
        <w:t>表5</w:t>
      </w:r>
      <w:r>
        <w:rPr>
          <w:rFonts w:ascii="宋体" w:hAnsi="宋体"/>
          <w:b/>
          <w:kern w:val="0"/>
          <w:sz w:val="21"/>
          <w:szCs w:val="21"/>
        </w:rPr>
        <w:t xml:space="preserve">-3 </w:t>
      </w:r>
      <w:r>
        <w:rPr>
          <w:rFonts w:hint="eastAsia" w:ascii="宋体" w:hAnsi="宋体"/>
          <w:b/>
          <w:kern w:val="0"/>
          <w:sz w:val="21"/>
          <w:szCs w:val="21"/>
        </w:rPr>
        <w:t>风景名胜区内现状村庄规模分类一览表（按风景区内人口）</w:t>
      </w:r>
    </w:p>
    <w:tbl>
      <w:tblPr>
        <w:tblStyle w:val="42"/>
        <w:tblW w:w="8834" w:type="dxa"/>
        <w:tblInd w:w="0" w:type="dxa"/>
        <w:tblLayout w:type="fixed"/>
        <w:tblCellMar>
          <w:top w:w="0" w:type="dxa"/>
          <w:left w:w="108" w:type="dxa"/>
          <w:bottom w:w="0" w:type="dxa"/>
          <w:right w:w="108" w:type="dxa"/>
        </w:tblCellMar>
      </w:tblPr>
      <w:tblGrid>
        <w:gridCol w:w="1666"/>
        <w:gridCol w:w="1092"/>
        <w:gridCol w:w="733"/>
        <w:gridCol w:w="5343"/>
      </w:tblGrid>
      <w:tr>
        <w:tblPrEx>
          <w:tblLayout w:type="fixed"/>
          <w:tblCellMar>
            <w:top w:w="0" w:type="dxa"/>
            <w:left w:w="108" w:type="dxa"/>
            <w:bottom w:w="0" w:type="dxa"/>
            <w:right w:w="108" w:type="dxa"/>
          </w:tblCellMar>
        </w:tblPrEx>
        <w:trPr>
          <w:trHeight w:val="278" w:hRule="atLeast"/>
          <w:tblHeader/>
        </w:trPr>
        <w:tc>
          <w:tcPr>
            <w:tcW w:w="1666" w:type="dxa"/>
            <w:tcBorders>
              <w:top w:val="single" w:color="auto" w:sz="4" w:space="0"/>
              <w:left w:val="single" w:color="auto" w:sz="4" w:space="0"/>
              <w:bottom w:val="single" w:color="auto" w:sz="4" w:space="0"/>
              <w:right w:val="single" w:color="auto" w:sz="4" w:space="0"/>
            </w:tcBorders>
            <w:shd w:val="clear" w:color="auto" w:fill="E2E2E2"/>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乡 镇</w:t>
            </w:r>
          </w:p>
        </w:tc>
        <w:tc>
          <w:tcPr>
            <w:tcW w:w="1092" w:type="dxa"/>
            <w:tcBorders>
              <w:top w:val="single" w:color="auto" w:sz="4" w:space="0"/>
              <w:left w:val="nil"/>
              <w:bottom w:val="single" w:color="auto" w:sz="4" w:space="0"/>
              <w:right w:val="single" w:color="auto" w:sz="4" w:space="0"/>
            </w:tcBorders>
            <w:shd w:val="clear" w:color="auto" w:fill="E2E2E2"/>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人口</w:t>
            </w:r>
          </w:p>
        </w:tc>
        <w:tc>
          <w:tcPr>
            <w:tcW w:w="733" w:type="dxa"/>
            <w:tcBorders>
              <w:top w:val="single" w:color="auto" w:sz="4" w:space="0"/>
              <w:left w:val="nil"/>
              <w:bottom w:val="single" w:color="auto" w:sz="4" w:space="0"/>
              <w:right w:val="single" w:color="auto" w:sz="4" w:space="0"/>
            </w:tcBorders>
            <w:shd w:val="clear" w:color="auto" w:fill="E2E2E2"/>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数量</w:t>
            </w:r>
          </w:p>
        </w:tc>
        <w:tc>
          <w:tcPr>
            <w:tcW w:w="5343" w:type="dxa"/>
            <w:tcBorders>
              <w:top w:val="single" w:color="auto" w:sz="4" w:space="0"/>
              <w:left w:val="nil"/>
              <w:bottom w:val="single" w:color="auto" w:sz="4" w:space="0"/>
              <w:right w:val="single" w:color="auto" w:sz="4" w:space="0"/>
            </w:tcBorders>
            <w:shd w:val="clear" w:color="auto" w:fill="E2E2E2"/>
            <w:vAlign w:val="center"/>
          </w:tcPr>
          <w:p>
            <w:pPr>
              <w:widowControl/>
              <w:adjustRightInd w:val="0"/>
              <w:snapToGrid w:val="0"/>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村名</w:t>
            </w:r>
          </w:p>
        </w:tc>
      </w:tr>
      <w:tr>
        <w:tblPrEx>
          <w:tblLayout w:type="fixed"/>
          <w:tblCellMar>
            <w:top w:w="0" w:type="dxa"/>
            <w:left w:w="108" w:type="dxa"/>
            <w:bottom w:w="0" w:type="dxa"/>
            <w:right w:w="108" w:type="dxa"/>
          </w:tblCellMar>
        </w:tblPrEx>
        <w:trPr>
          <w:trHeight w:val="37" w:hRule="atLeast"/>
        </w:trPr>
        <w:tc>
          <w:tcPr>
            <w:tcW w:w="1666"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大峃镇（1个村）</w:t>
            </w:r>
          </w:p>
        </w:tc>
        <w:tc>
          <w:tcPr>
            <w:tcW w:w="109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0-500</w:t>
            </w:r>
          </w:p>
        </w:tc>
        <w:tc>
          <w:tcPr>
            <w:tcW w:w="7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53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吴岭村</w:t>
            </w:r>
          </w:p>
        </w:tc>
      </w:tr>
      <w:tr>
        <w:tblPrEx>
          <w:tblLayout w:type="fixed"/>
          <w:tblCellMar>
            <w:top w:w="0" w:type="dxa"/>
            <w:left w:w="108" w:type="dxa"/>
            <w:bottom w:w="0" w:type="dxa"/>
            <w:right w:w="108" w:type="dxa"/>
          </w:tblCellMar>
        </w:tblPrEx>
        <w:trPr>
          <w:trHeight w:val="37" w:hRule="atLeast"/>
        </w:trPr>
        <w:tc>
          <w:tcPr>
            <w:tcW w:w="1666"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珊溪镇（11个村）</w:t>
            </w:r>
          </w:p>
        </w:tc>
        <w:tc>
          <w:tcPr>
            <w:tcW w:w="109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0-500</w:t>
            </w:r>
          </w:p>
        </w:tc>
        <w:tc>
          <w:tcPr>
            <w:tcW w:w="7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11</w:t>
            </w:r>
          </w:p>
        </w:tc>
        <w:tc>
          <w:tcPr>
            <w:tcW w:w="53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云西村、珊湖村、南阳村、五新村、南川村、华扬村、项坑村、雅坪村、塘山村、松坑村、鳌洋村</w:t>
            </w:r>
          </w:p>
        </w:tc>
      </w:tr>
      <w:tr>
        <w:tblPrEx>
          <w:tblLayout w:type="fixed"/>
          <w:tblCellMar>
            <w:top w:w="0" w:type="dxa"/>
            <w:left w:w="108" w:type="dxa"/>
            <w:bottom w:w="0" w:type="dxa"/>
            <w:right w:w="108" w:type="dxa"/>
          </w:tblCellMar>
        </w:tblPrEx>
        <w:trPr>
          <w:trHeight w:val="76" w:hRule="atLeast"/>
        </w:trPr>
        <w:tc>
          <w:tcPr>
            <w:tcW w:w="1666" w:type="dxa"/>
            <w:vMerge w:val="restart"/>
            <w:tcBorders>
              <w:top w:val="nil"/>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玉壶镇（11个村）</w:t>
            </w:r>
          </w:p>
        </w:tc>
        <w:tc>
          <w:tcPr>
            <w:tcW w:w="109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0-500</w:t>
            </w:r>
          </w:p>
        </w:tc>
        <w:tc>
          <w:tcPr>
            <w:tcW w:w="7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9</w:t>
            </w:r>
          </w:p>
        </w:tc>
        <w:tc>
          <w:tcPr>
            <w:tcW w:w="53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龙一村、碧溪村、金地村、金星村、金民村、朱雅村、坳垟村、龙背村、樟高村</w:t>
            </w:r>
          </w:p>
        </w:tc>
      </w:tr>
      <w:tr>
        <w:tblPrEx>
          <w:tblLayout w:type="fixed"/>
          <w:tblCellMar>
            <w:top w:w="0" w:type="dxa"/>
            <w:left w:w="108" w:type="dxa"/>
            <w:bottom w:w="0" w:type="dxa"/>
            <w:right w:w="108" w:type="dxa"/>
          </w:tblCellMar>
        </w:tblPrEx>
        <w:trPr>
          <w:trHeight w:val="76" w:hRule="atLeast"/>
        </w:trPr>
        <w:tc>
          <w:tcPr>
            <w:tcW w:w="1666" w:type="dxa"/>
            <w:vMerge w:val="continue"/>
            <w:tcBorders>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left"/>
              <w:rPr>
                <w:rFonts w:ascii="宋体" w:hAnsi="宋体" w:cs="宋体"/>
                <w:color w:val="000000"/>
                <w:kern w:val="0"/>
                <w:sz w:val="18"/>
                <w:szCs w:val="18"/>
              </w:rPr>
            </w:pPr>
          </w:p>
        </w:tc>
        <w:tc>
          <w:tcPr>
            <w:tcW w:w="109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1000-2000</w:t>
            </w:r>
          </w:p>
        </w:tc>
        <w:tc>
          <w:tcPr>
            <w:tcW w:w="7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53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金源村、朱寮村</w:t>
            </w:r>
          </w:p>
        </w:tc>
      </w:tr>
      <w:tr>
        <w:tblPrEx>
          <w:tblLayout w:type="fixed"/>
          <w:tblCellMar>
            <w:top w:w="0" w:type="dxa"/>
            <w:left w:w="108" w:type="dxa"/>
            <w:bottom w:w="0" w:type="dxa"/>
            <w:right w:w="108" w:type="dxa"/>
          </w:tblCellMar>
        </w:tblPrEx>
        <w:trPr>
          <w:trHeight w:val="76" w:hRule="atLeast"/>
        </w:trPr>
        <w:tc>
          <w:tcPr>
            <w:tcW w:w="1666" w:type="dxa"/>
            <w:vMerge w:val="restart"/>
            <w:tcBorders>
              <w:top w:val="nil"/>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南田镇（14个村）</w:t>
            </w:r>
          </w:p>
        </w:tc>
        <w:tc>
          <w:tcPr>
            <w:tcW w:w="109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0-500</w:t>
            </w:r>
          </w:p>
        </w:tc>
        <w:tc>
          <w:tcPr>
            <w:tcW w:w="7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11</w:t>
            </w:r>
          </w:p>
        </w:tc>
        <w:tc>
          <w:tcPr>
            <w:tcW w:w="53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郑岙村、光明村、高新村、呈段村、龙上村、龙岙村、梅树村、武阳村、南岳村、黄寮村、西湖村</w:t>
            </w:r>
          </w:p>
        </w:tc>
      </w:tr>
      <w:tr>
        <w:tblPrEx>
          <w:tblLayout w:type="fixed"/>
          <w:tblCellMar>
            <w:top w:w="0" w:type="dxa"/>
            <w:left w:w="108" w:type="dxa"/>
            <w:bottom w:w="0" w:type="dxa"/>
            <w:right w:w="108" w:type="dxa"/>
          </w:tblCellMar>
        </w:tblPrEx>
        <w:trPr>
          <w:trHeight w:val="76" w:hRule="atLeast"/>
        </w:trPr>
        <w:tc>
          <w:tcPr>
            <w:tcW w:w="1666" w:type="dxa"/>
            <w:vMerge w:val="continue"/>
            <w:tcBorders>
              <w:left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left"/>
              <w:rPr>
                <w:rFonts w:ascii="宋体" w:hAnsi="宋体" w:cs="宋体"/>
                <w:kern w:val="0"/>
                <w:sz w:val="18"/>
                <w:szCs w:val="18"/>
              </w:rPr>
            </w:pPr>
          </w:p>
        </w:tc>
        <w:tc>
          <w:tcPr>
            <w:tcW w:w="109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500-1000</w:t>
            </w:r>
          </w:p>
        </w:tc>
        <w:tc>
          <w:tcPr>
            <w:tcW w:w="7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53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富民村、十源村、</w:t>
            </w:r>
          </w:p>
        </w:tc>
      </w:tr>
      <w:tr>
        <w:tblPrEx>
          <w:tblLayout w:type="fixed"/>
          <w:tblCellMar>
            <w:top w:w="0" w:type="dxa"/>
            <w:left w:w="108" w:type="dxa"/>
            <w:bottom w:w="0" w:type="dxa"/>
            <w:right w:w="108" w:type="dxa"/>
          </w:tblCellMar>
        </w:tblPrEx>
        <w:trPr>
          <w:trHeight w:val="76" w:hRule="atLeast"/>
        </w:trPr>
        <w:tc>
          <w:tcPr>
            <w:tcW w:w="1666" w:type="dxa"/>
            <w:vMerge w:val="continue"/>
            <w:tcBorders>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left"/>
              <w:rPr>
                <w:rFonts w:ascii="宋体" w:hAnsi="宋体" w:cs="宋体"/>
                <w:kern w:val="0"/>
                <w:sz w:val="18"/>
                <w:szCs w:val="18"/>
              </w:rPr>
            </w:pPr>
          </w:p>
        </w:tc>
        <w:tc>
          <w:tcPr>
            <w:tcW w:w="109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1000-2000</w:t>
            </w:r>
          </w:p>
        </w:tc>
        <w:tc>
          <w:tcPr>
            <w:tcW w:w="7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53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新岳村</w:t>
            </w:r>
          </w:p>
        </w:tc>
      </w:tr>
      <w:tr>
        <w:tblPrEx>
          <w:tblLayout w:type="fixed"/>
          <w:tblCellMar>
            <w:top w:w="0" w:type="dxa"/>
            <w:left w:w="108" w:type="dxa"/>
            <w:bottom w:w="0" w:type="dxa"/>
            <w:right w:w="108" w:type="dxa"/>
          </w:tblCellMar>
        </w:tblPrEx>
        <w:trPr>
          <w:trHeight w:val="76" w:hRule="atLeast"/>
        </w:trPr>
        <w:tc>
          <w:tcPr>
            <w:tcW w:w="1666"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黄坦镇（7个村）</w:t>
            </w:r>
          </w:p>
        </w:tc>
        <w:tc>
          <w:tcPr>
            <w:tcW w:w="109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0-500</w:t>
            </w:r>
          </w:p>
        </w:tc>
        <w:tc>
          <w:tcPr>
            <w:tcW w:w="7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7</w:t>
            </w:r>
          </w:p>
        </w:tc>
        <w:tc>
          <w:tcPr>
            <w:tcW w:w="53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黄垟村、双溪村、塘垄民族村、云湖村、江源村、稽垟村、塘底垟村</w:t>
            </w:r>
          </w:p>
        </w:tc>
      </w:tr>
      <w:tr>
        <w:tblPrEx>
          <w:tblLayout w:type="fixed"/>
          <w:tblCellMar>
            <w:top w:w="0" w:type="dxa"/>
            <w:left w:w="108" w:type="dxa"/>
            <w:bottom w:w="0" w:type="dxa"/>
            <w:right w:w="108" w:type="dxa"/>
          </w:tblCellMar>
        </w:tblPrEx>
        <w:trPr>
          <w:trHeight w:val="76" w:hRule="atLeast"/>
        </w:trPr>
        <w:tc>
          <w:tcPr>
            <w:tcW w:w="1666"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西坑畲族镇（1个村）</w:t>
            </w:r>
          </w:p>
        </w:tc>
        <w:tc>
          <w:tcPr>
            <w:tcW w:w="109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0-500</w:t>
            </w:r>
          </w:p>
        </w:tc>
        <w:tc>
          <w:tcPr>
            <w:tcW w:w="7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53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梧溪村</w:t>
            </w:r>
          </w:p>
        </w:tc>
      </w:tr>
      <w:tr>
        <w:tblPrEx>
          <w:tblLayout w:type="fixed"/>
          <w:tblCellMar>
            <w:top w:w="0" w:type="dxa"/>
            <w:left w:w="108" w:type="dxa"/>
            <w:bottom w:w="0" w:type="dxa"/>
            <w:right w:w="108" w:type="dxa"/>
          </w:tblCellMar>
        </w:tblPrEx>
        <w:trPr>
          <w:trHeight w:val="76" w:hRule="atLeast"/>
        </w:trPr>
        <w:tc>
          <w:tcPr>
            <w:tcW w:w="1666"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百丈漈（3个村）</w:t>
            </w:r>
          </w:p>
        </w:tc>
        <w:tc>
          <w:tcPr>
            <w:tcW w:w="109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0-500</w:t>
            </w:r>
          </w:p>
        </w:tc>
        <w:tc>
          <w:tcPr>
            <w:tcW w:w="7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3</w:t>
            </w:r>
          </w:p>
        </w:tc>
        <w:tc>
          <w:tcPr>
            <w:tcW w:w="53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西段村、篁庄村、大会村</w:t>
            </w:r>
          </w:p>
        </w:tc>
      </w:tr>
      <w:tr>
        <w:tblPrEx>
          <w:tblLayout w:type="fixed"/>
          <w:tblCellMar>
            <w:top w:w="0" w:type="dxa"/>
            <w:left w:w="108" w:type="dxa"/>
            <w:bottom w:w="0" w:type="dxa"/>
            <w:right w:w="108" w:type="dxa"/>
          </w:tblCellMar>
        </w:tblPrEx>
        <w:trPr>
          <w:trHeight w:val="76" w:hRule="atLeast"/>
        </w:trPr>
        <w:tc>
          <w:tcPr>
            <w:tcW w:w="1666"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巨屿镇（2个村）</w:t>
            </w:r>
          </w:p>
        </w:tc>
        <w:tc>
          <w:tcPr>
            <w:tcW w:w="109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0-500</w:t>
            </w:r>
          </w:p>
        </w:tc>
        <w:tc>
          <w:tcPr>
            <w:tcW w:w="7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53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黄龙村、方前村</w:t>
            </w:r>
          </w:p>
        </w:tc>
      </w:tr>
      <w:tr>
        <w:tblPrEx>
          <w:tblLayout w:type="fixed"/>
          <w:tblCellMar>
            <w:top w:w="0" w:type="dxa"/>
            <w:left w:w="108" w:type="dxa"/>
            <w:bottom w:w="0" w:type="dxa"/>
            <w:right w:w="108" w:type="dxa"/>
          </w:tblCellMar>
        </w:tblPrEx>
        <w:trPr>
          <w:trHeight w:val="179" w:hRule="atLeast"/>
        </w:trPr>
        <w:tc>
          <w:tcPr>
            <w:tcW w:w="1666"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二源镇（9个村）</w:t>
            </w:r>
          </w:p>
        </w:tc>
        <w:tc>
          <w:tcPr>
            <w:tcW w:w="109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0-500</w:t>
            </w:r>
          </w:p>
        </w:tc>
        <w:tc>
          <w:tcPr>
            <w:tcW w:w="7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9</w:t>
            </w:r>
          </w:p>
        </w:tc>
        <w:tc>
          <w:tcPr>
            <w:tcW w:w="53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山头村、谈阳村、朱山村、岭头村、庄后村、榅树根村、二源村、新东村、陈钟村</w:t>
            </w:r>
          </w:p>
        </w:tc>
      </w:tr>
      <w:tr>
        <w:tblPrEx>
          <w:tblLayout w:type="fixed"/>
          <w:tblCellMar>
            <w:top w:w="0" w:type="dxa"/>
            <w:left w:w="108" w:type="dxa"/>
            <w:bottom w:w="0" w:type="dxa"/>
            <w:right w:w="108" w:type="dxa"/>
          </w:tblCellMar>
        </w:tblPrEx>
        <w:trPr>
          <w:trHeight w:val="53" w:hRule="atLeast"/>
        </w:trPr>
        <w:tc>
          <w:tcPr>
            <w:tcW w:w="1666"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铜铃山镇（7个村）</w:t>
            </w:r>
          </w:p>
        </w:tc>
        <w:tc>
          <w:tcPr>
            <w:tcW w:w="109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0-500</w:t>
            </w:r>
          </w:p>
        </w:tc>
        <w:tc>
          <w:tcPr>
            <w:tcW w:w="73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7</w:t>
            </w:r>
          </w:p>
        </w:tc>
        <w:tc>
          <w:tcPr>
            <w:tcW w:w="53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18"/>
                <w:szCs w:val="18"/>
              </w:rPr>
            </w:pPr>
            <w:r>
              <w:rPr>
                <w:rFonts w:hint="eastAsia" w:ascii="宋体" w:hAnsi="宋体" w:cs="宋体"/>
                <w:kern w:val="0"/>
                <w:sz w:val="18"/>
                <w:szCs w:val="18"/>
              </w:rPr>
              <w:t>下垟村、都铺村、铜铃村、岭后村、雅庄村、石垟林场生活区、叶胜林场生活区</w:t>
            </w:r>
          </w:p>
        </w:tc>
      </w:tr>
    </w:tbl>
    <w:p>
      <w:pPr>
        <w:adjustRightInd w:val="0"/>
        <w:snapToGrid w:val="0"/>
        <w:spacing w:before="156" w:beforeLines="50" w:line="240" w:lineRule="auto"/>
        <w:ind w:firstLine="0" w:firstLineChars="0"/>
        <w:jc w:val="left"/>
        <w:rPr>
          <w:rFonts w:asciiTheme="minorEastAsia" w:hAnsiTheme="minorEastAsia"/>
          <w:sz w:val="18"/>
          <w:szCs w:val="18"/>
        </w:rPr>
      </w:pPr>
      <w:r>
        <w:rPr>
          <w:rFonts w:hint="eastAsia" w:asciiTheme="minorEastAsia" w:hAnsiTheme="minorEastAsia"/>
          <w:sz w:val="18"/>
          <w:szCs w:val="18"/>
        </w:rPr>
        <w:t>注解：数据由各乡镇提供，统计口径为2023年，表格中人口数据为风景区内村庄的常住人口。</w:t>
      </w:r>
    </w:p>
    <w:p>
      <w:pPr>
        <w:keepNext/>
        <w:keepLines/>
        <w:spacing w:before="156" w:beforeLines="50"/>
        <w:ind w:left="142" w:firstLine="360" w:firstLineChars="150"/>
        <w:outlineLvl w:val="2"/>
        <w:rPr>
          <w:rFonts w:eastAsia="黑体"/>
          <w:bCs/>
          <w:kern w:val="0"/>
        </w:rPr>
      </w:pPr>
      <w:r>
        <w:rPr>
          <w:rFonts w:hint="eastAsia" w:eastAsia="黑体"/>
          <w:bCs/>
          <w:kern w:val="0"/>
        </w:rPr>
        <w:t>（二）主要问题</w:t>
      </w:r>
    </w:p>
    <w:p>
      <w:pPr>
        <w:spacing w:before="93" w:beforeLines="30"/>
        <w:ind w:firstLine="480"/>
        <w:rPr>
          <w:rFonts w:cs="宋体"/>
        </w:rPr>
      </w:pPr>
      <w:r>
        <w:rPr>
          <w:rFonts w:hint="eastAsia" w:cs="宋体"/>
        </w:rPr>
        <w:t>百丈漈—飞云湖风景名胜区内村庄散而小，且多依山而建、依水而生。但受限于山区条件和经济发展水平，部分景中村空心现象严重，风景名胜区内总户籍人口约4.4万，常住人口却只有1.2万，年轻劳动力多外出打工。现状整体村庄人均建设用地指标较低。</w:t>
      </w:r>
    </w:p>
    <w:p>
      <w:pPr>
        <w:spacing w:before="93" w:beforeLines="30"/>
        <w:ind w:firstLine="480"/>
        <w:rPr>
          <w:rFonts w:cs="宋体"/>
        </w:rPr>
      </w:pPr>
      <w:r>
        <w:rPr>
          <w:rFonts w:hint="eastAsia" w:cs="宋体"/>
        </w:rPr>
        <w:t>近年来，随着文成旅游业快速发展，农居建设用地不断扩大，特别是有些居民点紧靠景区道路和水系发展，侵蚀景区景点用地，直接影响景观风貌、游览交通和景区建设。</w:t>
      </w:r>
    </w:p>
    <w:p>
      <w:pPr>
        <w:spacing w:before="93" w:beforeLines="30"/>
        <w:ind w:firstLine="480"/>
        <w:rPr>
          <w:rFonts w:cs="宋体"/>
        </w:rPr>
      </w:pPr>
      <w:r>
        <w:rPr>
          <w:rFonts w:hint="eastAsia" w:cs="宋体"/>
        </w:rPr>
        <w:t>同时，风景区百丈漈片区西南侧和飞云湖片区东北侧紧邻多个乡镇集镇区，这些镇区都是自然与人文结合、过渡的区域，也是旅游服务设施的依托点。而现状镇区内居民住宅形式多样，新建或改建民居建筑形式随时而兴，品质参差不齐。对风景区入口形象和设施品质产生较大负面影响。</w:t>
      </w:r>
    </w:p>
    <w:p>
      <w:pPr>
        <w:spacing w:before="93" w:beforeLines="30"/>
        <w:ind w:firstLine="480"/>
        <w:rPr>
          <w:rFonts w:cs="宋体"/>
        </w:rPr>
      </w:pPr>
      <w:r>
        <w:rPr>
          <w:rFonts w:hint="eastAsia" w:cs="宋体"/>
        </w:rPr>
        <w:t>随着文成县乡村旅游发展的不断推进，如何在保护好风景名胜资源的前提下，统筹安排、合理控制和引导风景区及外围保护地带的居民发展，真正意义上推动区内游区外住、资源差异互补、景区长效发展，将百丈漈—飞云湖“乡村振兴”打造成全省乃至全国的一个标杆，这是当前摆在我们面前所要解决的难题。</w:t>
      </w:r>
    </w:p>
    <w:p>
      <w:pPr>
        <w:pStyle w:val="3"/>
        <w:spacing w:before="312"/>
        <w:rPr>
          <w:color w:val="000000"/>
        </w:rPr>
      </w:pPr>
      <w:bookmarkStart w:id="61" w:name="_Toc176456016"/>
      <w:bookmarkStart w:id="62" w:name="_Toc10397314"/>
      <w:bookmarkStart w:id="63" w:name="_Toc440981334"/>
      <w:r>
        <w:rPr>
          <w:rFonts w:hint="eastAsia"/>
          <w:color w:val="000000"/>
        </w:rPr>
        <w:t>二、居民点调控</w:t>
      </w:r>
      <w:bookmarkEnd w:id="61"/>
      <w:bookmarkEnd w:id="62"/>
      <w:bookmarkEnd w:id="63"/>
    </w:p>
    <w:p>
      <w:pPr>
        <w:spacing w:before="93" w:beforeLines="30"/>
        <w:ind w:firstLine="480"/>
        <w:rPr>
          <w:rFonts w:cs="宋体"/>
        </w:rPr>
      </w:pPr>
      <w:r>
        <w:rPr>
          <w:rFonts w:hint="eastAsia" w:cs="宋体"/>
        </w:rPr>
        <w:t>风景区内的居民点调控要从实际出发，服从风景区总体规划和景区建设的要求，在尊重村民意愿、自主选择的前提下，考虑风景旅游的发展需要，进行科学规划和建设。严格控制居民点的人口、用地规模，优化布局和结构，建立合理的居民点系统。同时配套优惠补偿、引导鼓励的相关政策。</w:t>
      </w:r>
    </w:p>
    <w:p>
      <w:pPr>
        <w:pStyle w:val="209"/>
        <w:keepNext/>
        <w:keepLines/>
        <w:numPr>
          <w:ilvl w:val="0"/>
          <w:numId w:val="8"/>
        </w:numPr>
        <w:spacing w:before="156" w:beforeLines="50"/>
        <w:ind w:firstLineChars="0"/>
        <w:outlineLvl w:val="2"/>
        <w:rPr>
          <w:rFonts w:eastAsia="黑体"/>
          <w:bCs/>
          <w:kern w:val="0"/>
        </w:rPr>
      </w:pPr>
      <w:r>
        <w:rPr>
          <w:rFonts w:hint="eastAsia" w:eastAsia="黑体"/>
          <w:bCs/>
          <w:kern w:val="0"/>
        </w:rPr>
        <w:t>调控分区</w:t>
      </w:r>
    </w:p>
    <w:p>
      <w:pPr>
        <w:spacing w:before="93" w:beforeLines="30"/>
        <w:ind w:firstLine="480"/>
        <w:rPr>
          <w:rFonts w:cs="宋体"/>
        </w:rPr>
      </w:pPr>
      <w:r>
        <w:rPr>
          <w:rFonts w:hint="eastAsia" w:cs="宋体"/>
        </w:rPr>
        <w:t>规划为实现精细化村庄建设管控，与风景区分级保护要求相对接，将风景区划分为三个居民点调控分区：居民衰减区（一级保护区）、居民控制区（二级保护区）和居民发展区（三级保护区）。</w:t>
      </w:r>
    </w:p>
    <w:p>
      <w:pPr>
        <w:spacing w:before="93" w:beforeLines="30"/>
        <w:ind w:firstLine="482"/>
        <w:rPr>
          <w:rFonts w:cs="宋体"/>
          <w:b/>
          <w:bCs/>
        </w:rPr>
      </w:pPr>
      <w:r>
        <w:rPr>
          <w:rFonts w:cs="宋体"/>
          <w:b/>
          <w:bCs/>
        </w:rPr>
        <w:t>1</w:t>
      </w:r>
      <w:r>
        <w:rPr>
          <w:rFonts w:hint="eastAsia" w:cs="宋体"/>
          <w:b/>
          <w:bCs/>
        </w:rPr>
        <w:t>、居民衰减区</w:t>
      </w:r>
    </w:p>
    <w:p>
      <w:pPr>
        <w:spacing w:before="93" w:beforeLines="30"/>
        <w:ind w:firstLine="480"/>
        <w:rPr>
          <w:rFonts w:cs="宋体"/>
        </w:rPr>
      </w:pPr>
      <w:r>
        <w:rPr>
          <w:rFonts w:hint="eastAsia" w:cs="宋体"/>
        </w:rPr>
        <w:t>一级保护区规划为居民衰减区，范围内的居民点原则上规划为疏解型。不新增居民点建设用地，鼓励有序退出、搬迁农村宅基地。</w:t>
      </w:r>
    </w:p>
    <w:p>
      <w:pPr>
        <w:spacing w:before="93" w:beforeLines="30"/>
        <w:ind w:firstLine="482"/>
        <w:rPr>
          <w:rFonts w:cs="宋体"/>
          <w:b/>
          <w:bCs/>
        </w:rPr>
      </w:pPr>
      <w:r>
        <w:rPr>
          <w:rFonts w:cs="宋体"/>
          <w:b/>
          <w:bCs/>
        </w:rPr>
        <w:t>2</w:t>
      </w:r>
      <w:r>
        <w:rPr>
          <w:rFonts w:hint="eastAsia" w:cs="宋体"/>
          <w:b/>
          <w:bCs/>
        </w:rPr>
        <w:t>、居民控制区</w:t>
      </w:r>
    </w:p>
    <w:p>
      <w:pPr>
        <w:spacing w:before="93" w:beforeLines="30"/>
        <w:ind w:firstLine="480"/>
        <w:rPr>
          <w:rFonts w:cs="宋体"/>
        </w:rPr>
      </w:pPr>
      <w:r>
        <w:rPr>
          <w:rFonts w:hint="eastAsia" w:cs="宋体"/>
        </w:rPr>
        <w:t>二级保护区规划为居民控制区，区内的居民点原则上规划为控制型，但必须严格控制居民人口增长。</w:t>
      </w:r>
    </w:p>
    <w:p>
      <w:pPr>
        <w:spacing w:before="93" w:beforeLines="30"/>
        <w:ind w:firstLine="482"/>
        <w:rPr>
          <w:rFonts w:cs="宋体"/>
          <w:b/>
          <w:bCs/>
        </w:rPr>
      </w:pPr>
      <w:r>
        <w:rPr>
          <w:rFonts w:cs="宋体"/>
          <w:b/>
          <w:bCs/>
        </w:rPr>
        <w:t>3</w:t>
      </w:r>
      <w:r>
        <w:rPr>
          <w:rFonts w:hint="eastAsia" w:cs="宋体"/>
          <w:b/>
          <w:bCs/>
        </w:rPr>
        <w:t>、居民发展区</w:t>
      </w:r>
    </w:p>
    <w:p>
      <w:pPr>
        <w:spacing w:before="93" w:beforeLines="30"/>
        <w:ind w:firstLine="480"/>
        <w:rPr>
          <w:rFonts w:cs="宋体"/>
        </w:rPr>
      </w:pPr>
      <w:r>
        <w:rPr>
          <w:rFonts w:hint="eastAsia" w:cs="宋体"/>
        </w:rPr>
        <w:t>三级保护区规划为居民发展区，区内的居民点根据人口分布情况及发展定位规划为控制型或发展型。区内农村的建设活动在不突破风景名胜区相关法律法规及风景区总体规划要求的前提下，可以依据国土空间详细规划审批。</w:t>
      </w:r>
    </w:p>
    <w:p>
      <w:pPr>
        <w:pStyle w:val="209"/>
        <w:keepNext/>
        <w:keepLines/>
        <w:numPr>
          <w:ilvl w:val="0"/>
          <w:numId w:val="8"/>
        </w:numPr>
        <w:spacing w:before="156" w:beforeLines="50"/>
        <w:ind w:firstLineChars="0"/>
        <w:outlineLvl w:val="2"/>
        <w:rPr>
          <w:rFonts w:eastAsia="黑体"/>
          <w:bCs/>
          <w:kern w:val="0"/>
        </w:rPr>
      </w:pPr>
      <w:r>
        <w:rPr>
          <w:rFonts w:hint="eastAsia" w:eastAsia="黑体"/>
          <w:bCs/>
          <w:kern w:val="0"/>
        </w:rPr>
        <w:t>调控类型</w:t>
      </w:r>
    </w:p>
    <w:p>
      <w:pPr>
        <w:spacing w:before="93" w:beforeLines="30"/>
        <w:ind w:firstLine="480"/>
        <w:rPr>
          <w:rFonts w:cs="宋体"/>
        </w:rPr>
      </w:pPr>
      <w:r>
        <w:rPr>
          <w:rFonts w:hint="eastAsia" w:cs="宋体"/>
        </w:rPr>
        <w:t>本次规划保留风景名胜区内现状6</w:t>
      </w:r>
      <w:r>
        <w:rPr>
          <w:rFonts w:cs="宋体"/>
        </w:rPr>
        <w:t>4</w:t>
      </w:r>
      <w:r>
        <w:rPr>
          <w:rFonts w:hint="eastAsia" w:cs="宋体"/>
        </w:rPr>
        <w:t>处居民点、疏解</w:t>
      </w:r>
      <w:r>
        <w:rPr>
          <w:rFonts w:cs="宋体"/>
        </w:rPr>
        <w:t>2</w:t>
      </w:r>
      <w:r>
        <w:rPr>
          <w:rFonts w:hint="eastAsia" w:cs="宋体"/>
        </w:rPr>
        <w:t>处居民点，规划居民总人口14159人。（见表5</w:t>
      </w:r>
      <w:r>
        <w:rPr>
          <w:rFonts w:cs="宋体"/>
        </w:rPr>
        <w:t>-4</w:t>
      </w:r>
      <w:r>
        <w:rPr>
          <w:rFonts w:hint="eastAsia" w:cs="宋体"/>
        </w:rPr>
        <w:t>）未来主要考虑在风景名胜区三级保护区范围内大量景中村的转型升级和发展。</w:t>
      </w:r>
    </w:p>
    <w:p>
      <w:pPr>
        <w:spacing w:before="93" w:beforeLines="30"/>
        <w:ind w:firstLine="482"/>
        <w:rPr>
          <w:rFonts w:cs="宋体"/>
          <w:b/>
        </w:rPr>
      </w:pPr>
      <w:r>
        <w:rPr>
          <w:rFonts w:cs="宋体"/>
          <w:b/>
        </w:rPr>
        <w:t>1</w:t>
      </w:r>
      <w:r>
        <w:rPr>
          <w:rFonts w:hint="eastAsia" w:cs="宋体"/>
          <w:b/>
        </w:rPr>
        <w:t>、疏解型居民点（</w:t>
      </w:r>
      <w:r>
        <w:rPr>
          <w:rFonts w:cs="宋体"/>
          <w:b/>
        </w:rPr>
        <w:t>2</w:t>
      </w:r>
      <w:r>
        <w:rPr>
          <w:rFonts w:hint="eastAsia" w:cs="宋体"/>
          <w:b/>
        </w:rPr>
        <w:t>个）</w:t>
      </w:r>
    </w:p>
    <w:p>
      <w:pPr>
        <w:spacing w:before="93" w:beforeLines="30"/>
        <w:ind w:firstLine="480"/>
        <w:rPr>
          <w:rFonts w:cs="宋体"/>
        </w:rPr>
      </w:pPr>
      <w:r>
        <w:rPr>
          <w:rFonts w:hint="eastAsia" w:cs="宋体"/>
        </w:rPr>
        <w:t>规划要求风景区核心景区内居民实行分期逐步外迁，包括处于居民衰减区的黄坦镇双溪村和因水库建设需要规划为疏解型居民点的大峃镇吴岭村。规划在疏解居民点的同时应配套相关政策，做好安置工作；结合文成县农村全域土地综合整治政策，对退出农村宅基地、零星分散存量建设用地实行农用地整理、建设用地复垦等工作。</w:t>
      </w:r>
    </w:p>
    <w:p>
      <w:pPr>
        <w:spacing w:before="93" w:beforeLines="30"/>
        <w:ind w:firstLine="482"/>
        <w:rPr>
          <w:rFonts w:cs="宋体"/>
          <w:b/>
        </w:rPr>
      </w:pPr>
      <w:r>
        <w:rPr>
          <w:rFonts w:hint="eastAsia" w:cs="宋体"/>
          <w:b/>
        </w:rPr>
        <w:t>2、控制型居民点（5</w:t>
      </w:r>
      <w:r>
        <w:rPr>
          <w:rFonts w:cs="宋体"/>
          <w:b/>
        </w:rPr>
        <w:t>2</w:t>
      </w:r>
      <w:r>
        <w:rPr>
          <w:rFonts w:hint="eastAsia" w:cs="宋体"/>
          <w:b/>
        </w:rPr>
        <w:t>个）</w:t>
      </w:r>
    </w:p>
    <w:p>
      <w:pPr>
        <w:spacing w:before="72" w:after="93" w:afterLines="30"/>
        <w:ind w:firstLine="480"/>
        <w:rPr>
          <w:rFonts w:cs="宋体"/>
        </w:rPr>
      </w:pPr>
      <w:bookmarkStart w:id="64" w:name="_Hlk176445741"/>
      <w:r>
        <w:rPr>
          <w:rFonts w:hint="eastAsia" w:cs="宋体"/>
        </w:rPr>
        <w:t>规划对风景区二级保护区范围内居民点和三级保护区范围内村域现状人口小于1000人的居民点进行一般控制，要求严格按照文成县国土空间规划和相关乡镇及村庄规划要求，合理控制人口规模。</w:t>
      </w:r>
    </w:p>
    <w:bookmarkEnd w:id="64"/>
    <w:p>
      <w:pPr>
        <w:spacing w:before="93" w:beforeLines="30"/>
        <w:ind w:firstLine="482"/>
        <w:rPr>
          <w:rFonts w:cs="宋体"/>
          <w:b/>
        </w:rPr>
      </w:pPr>
      <w:r>
        <w:rPr>
          <w:rFonts w:hint="eastAsia" w:cs="宋体"/>
          <w:b/>
        </w:rPr>
        <w:t>3、发展型居民点（1</w:t>
      </w:r>
      <w:r>
        <w:rPr>
          <w:rFonts w:cs="宋体"/>
          <w:b/>
        </w:rPr>
        <w:t>2</w:t>
      </w:r>
      <w:r>
        <w:rPr>
          <w:rFonts w:hint="eastAsia" w:cs="宋体"/>
          <w:b/>
        </w:rPr>
        <w:t>个）</w:t>
      </w:r>
    </w:p>
    <w:p>
      <w:pPr>
        <w:spacing w:before="93" w:beforeLines="30"/>
        <w:ind w:firstLine="0" w:firstLineChars="0"/>
        <w:rPr>
          <w:rFonts w:ascii="宋体" w:hAnsi="宋体"/>
          <w:b/>
          <w:kern w:val="0"/>
          <w:sz w:val="21"/>
          <w:szCs w:val="21"/>
        </w:rPr>
      </w:pPr>
      <w:r>
        <w:rPr>
          <w:rFonts w:hint="eastAsia" w:cs="宋体"/>
        </w:rPr>
        <w:t>规划对三级保护区范围内村域现状人口大于1000人的居民点进行发展聚居，并根据景区规划，适时引导转型成各具特色的旅游村，具体包括：二源镇二源村、南田镇新岳村、玉壶镇龙一村、碧溪村、金源村、朱雅村等，详见表5-4。</w:t>
      </w:r>
    </w:p>
    <w:p>
      <w:pPr>
        <w:spacing w:before="93" w:beforeLines="30"/>
        <w:ind w:firstLine="422"/>
        <w:jc w:val="center"/>
        <w:rPr>
          <w:rFonts w:ascii="宋体" w:hAnsi="宋体"/>
          <w:b/>
          <w:kern w:val="0"/>
          <w:sz w:val="21"/>
          <w:szCs w:val="21"/>
        </w:rPr>
      </w:pPr>
      <w:r>
        <w:rPr>
          <w:rFonts w:hint="eastAsia" w:ascii="宋体" w:hAnsi="宋体"/>
          <w:b/>
          <w:kern w:val="0"/>
          <w:sz w:val="21"/>
          <w:szCs w:val="21"/>
        </w:rPr>
        <w:t>表5-</w:t>
      </w:r>
      <w:r>
        <w:rPr>
          <w:rFonts w:ascii="宋体" w:hAnsi="宋体"/>
          <w:b/>
          <w:kern w:val="0"/>
          <w:sz w:val="21"/>
          <w:szCs w:val="21"/>
        </w:rPr>
        <w:t xml:space="preserve">4 </w:t>
      </w:r>
      <w:r>
        <w:rPr>
          <w:rFonts w:hint="eastAsia" w:ascii="宋体" w:hAnsi="宋体"/>
          <w:b/>
          <w:kern w:val="0"/>
          <w:sz w:val="21"/>
          <w:szCs w:val="21"/>
        </w:rPr>
        <w:t>风景名胜区内居民点调控一览表</w:t>
      </w:r>
    </w:p>
    <w:tbl>
      <w:tblPr>
        <w:tblStyle w:val="42"/>
        <w:tblW w:w="89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92"/>
        <w:gridCol w:w="849"/>
        <w:gridCol w:w="711"/>
        <w:gridCol w:w="709"/>
        <w:gridCol w:w="709"/>
        <w:gridCol w:w="1275"/>
        <w:gridCol w:w="1134"/>
        <w:gridCol w:w="85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62" w:hRule="atLeast"/>
          <w:tblHeader/>
          <w:jc w:val="center"/>
        </w:trPr>
        <w:tc>
          <w:tcPr>
            <w:tcW w:w="992" w:type="dxa"/>
            <w:vMerge w:val="restart"/>
            <w:shd w:val="clear" w:color="auto" w:fill="D8D8D8" w:themeFill="background1" w:themeFillShade="D9"/>
            <w:vAlign w:val="center"/>
          </w:tcPr>
          <w:p>
            <w:pPr>
              <w:widowControl/>
              <w:adjustRightInd w:val="0"/>
              <w:snapToGrid w:val="0"/>
              <w:spacing w:line="264" w:lineRule="auto"/>
              <w:ind w:firstLine="0" w:firstLineChars="0"/>
              <w:jc w:val="center"/>
              <w:rPr>
                <w:rFonts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乡</w:t>
            </w:r>
            <w:r>
              <w:rPr>
                <w:rFonts w:cs="宋体" w:asciiTheme="minorEastAsia" w:hAnsiTheme="minorEastAsia" w:eastAsiaTheme="minorEastAsia"/>
                <w:b/>
                <w:bCs/>
                <w:kern w:val="0"/>
                <w:sz w:val="18"/>
                <w:szCs w:val="18"/>
              </w:rPr>
              <w:t xml:space="preserve"> </w:t>
            </w:r>
            <w:r>
              <w:rPr>
                <w:rFonts w:hint="eastAsia" w:cs="宋体" w:asciiTheme="minorEastAsia" w:hAnsiTheme="minorEastAsia" w:eastAsiaTheme="minorEastAsia"/>
                <w:b/>
                <w:bCs/>
                <w:kern w:val="0"/>
                <w:sz w:val="18"/>
                <w:szCs w:val="18"/>
              </w:rPr>
              <w:t>镇</w:t>
            </w:r>
          </w:p>
        </w:tc>
        <w:tc>
          <w:tcPr>
            <w:tcW w:w="849" w:type="dxa"/>
            <w:vMerge w:val="restart"/>
            <w:shd w:val="clear" w:color="auto" w:fill="D8D8D8" w:themeFill="background1" w:themeFillShade="D9"/>
            <w:vAlign w:val="center"/>
          </w:tcPr>
          <w:p>
            <w:pPr>
              <w:widowControl/>
              <w:adjustRightInd w:val="0"/>
              <w:snapToGrid w:val="0"/>
              <w:spacing w:line="264" w:lineRule="auto"/>
              <w:ind w:firstLine="0" w:firstLineChars="0"/>
              <w:jc w:val="center"/>
              <w:rPr>
                <w:rFonts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行政村</w:t>
            </w:r>
          </w:p>
        </w:tc>
        <w:tc>
          <w:tcPr>
            <w:tcW w:w="1420" w:type="dxa"/>
            <w:gridSpan w:val="2"/>
            <w:shd w:val="clear" w:color="auto" w:fill="D8D8D8" w:themeFill="background1" w:themeFillShade="D9"/>
            <w:vAlign w:val="center"/>
          </w:tcPr>
          <w:p>
            <w:pPr>
              <w:widowControl/>
              <w:adjustRightInd w:val="0"/>
              <w:snapToGrid w:val="0"/>
              <w:spacing w:line="264" w:lineRule="auto"/>
              <w:ind w:firstLine="0" w:firstLineChars="0"/>
              <w:jc w:val="center"/>
              <w:rPr>
                <w:rFonts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现状人口</w:t>
            </w:r>
          </w:p>
        </w:tc>
        <w:tc>
          <w:tcPr>
            <w:tcW w:w="709" w:type="dxa"/>
            <w:vMerge w:val="restart"/>
            <w:shd w:val="clear" w:color="auto" w:fill="D8D8D8" w:themeFill="background1" w:themeFillShade="D9"/>
            <w:vAlign w:val="center"/>
          </w:tcPr>
          <w:p>
            <w:pPr>
              <w:widowControl/>
              <w:adjustRightInd w:val="0"/>
              <w:snapToGrid w:val="0"/>
              <w:spacing w:line="264" w:lineRule="auto"/>
              <w:ind w:firstLine="0" w:firstLineChars="0"/>
              <w:jc w:val="center"/>
              <w:rPr>
                <w:rFonts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规划人口（风景区内）</w:t>
            </w:r>
          </w:p>
        </w:tc>
        <w:tc>
          <w:tcPr>
            <w:tcW w:w="1275" w:type="dxa"/>
            <w:vMerge w:val="restart"/>
            <w:shd w:val="clear" w:color="auto" w:fill="D8D8D8" w:themeFill="background1" w:themeFillShade="D9"/>
            <w:vAlign w:val="center"/>
          </w:tcPr>
          <w:p>
            <w:pPr>
              <w:widowControl/>
              <w:adjustRightInd w:val="0"/>
              <w:snapToGrid w:val="0"/>
              <w:spacing w:line="264" w:lineRule="auto"/>
              <w:ind w:firstLine="0" w:firstLineChars="0"/>
              <w:jc w:val="center"/>
              <w:rPr>
                <w:rFonts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现状风景区内村庄建设用地面积（平方米）</w:t>
            </w:r>
          </w:p>
        </w:tc>
        <w:tc>
          <w:tcPr>
            <w:tcW w:w="1134" w:type="dxa"/>
            <w:vMerge w:val="restart"/>
            <w:shd w:val="clear" w:color="auto" w:fill="D8D8D8" w:themeFill="background1" w:themeFillShade="D9"/>
            <w:vAlign w:val="center"/>
          </w:tcPr>
          <w:p>
            <w:pPr>
              <w:widowControl/>
              <w:adjustRightInd w:val="0"/>
              <w:snapToGrid w:val="0"/>
              <w:spacing w:line="264" w:lineRule="auto"/>
              <w:ind w:firstLine="0" w:firstLineChars="0"/>
              <w:jc w:val="center"/>
              <w:rPr>
                <w:rFonts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所处调控分区</w:t>
            </w:r>
          </w:p>
        </w:tc>
        <w:tc>
          <w:tcPr>
            <w:tcW w:w="851" w:type="dxa"/>
            <w:vMerge w:val="restart"/>
            <w:shd w:val="clear" w:color="auto" w:fill="D8D8D8" w:themeFill="background1" w:themeFillShade="D9"/>
            <w:vAlign w:val="center"/>
          </w:tcPr>
          <w:p>
            <w:pPr>
              <w:widowControl/>
              <w:adjustRightInd w:val="0"/>
              <w:snapToGrid w:val="0"/>
              <w:spacing w:line="264" w:lineRule="auto"/>
              <w:ind w:firstLine="0" w:firstLineChars="0"/>
              <w:jc w:val="center"/>
              <w:rPr>
                <w:rFonts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调控类型（主导）</w:t>
            </w:r>
          </w:p>
        </w:tc>
        <w:tc>
          <w:tcPr>
            <w:tcW w:w="1701" w:type="dxa"/>
            <w:vMerge w:val="restart"/>
            <w:shd w:val="clear" w:color="auto" w:fill="D8D8D8" w:themeFill="background1" w:themeFillShade="D9"/>
            <w:vAlign w:val="center"/>
          </w:tcPr>
          <w:p>
            <w:pPr>
              <w:widowControl/>
              <w:adjustRightInd w:val="0"/>
              <w:snapToGrid w:val="0"/>
              <w:spacing w:line="264" w:lineRule="auto"/>
              <w:ind w:firstLine="0" w:firstLineChars="0"/>
              <w:jc w:val="center"/>
              <w:rPr>
                <w:rFonts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7"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849"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711" w:type="dxa"/>
            <w:shd w:val="clear" w:color="auto" w:fill="D8D8D8" w:themeFill="background1" w:themeFillShade="D9"/>
            <w:vAlign w:val="center"/>
          </w:tcPr>
          <w:p>
            <w:pPr>
              <w:adjustRightInd w:val="0"/>
              <w:snapToGrid w:val="0"/>
              <w:spacing w:line="264" w:lineRule="auto"/>
              <w:ind w:firstLine="0" w:firstLineChars="0"/>
              <w:jc w:val="center"/>
              <w:rPr>
                <w:rFonts w:cs="宋体" w:asciiTheme="minorEastAsia" w:hAnsiTheme="minorEastAsia" w:eastAsiaTheme="minorEastAsia"/>
                <w:b/>
                <w:bCs/>
                <w:kern w:val="0"/>
                <w:sz w:val="18"/>
                <w:szCs w:val="18"/>
              </w:rPr>
            </w:pPr>
            <w:r>
              <w:rPr>
                <w:rFonts w:hint="eastAsia" w:cs="Arial" w:asciiTheme="minorEastAsia" w:hAnsiTheme="minorEastAsia" w:eastAsiaTheme="minorEastAsia"/>
                <w:b/>
                <w:bCs/>
                <w:sz w:val="18"/>
                <w:szCs w:val="18"/>
              </w:rPr>
              <w:t>村域总人数</w:t>
            </w:r>
          </w:p>
        </w:tc>
        <w:tc>
          <w:tcPr>
            <w:tcW w:w="709" w:type="dxa"/>
            <w:shd w:val="clear" w:color="auto" w:fill="D8D8D8" w:themeFill="background1" w:themeFillShade="D9"/>
            <w:vAlign w:val="center"/>
          </w:tcPr>
          <w:p>
            <w:pPr>
              <w:adjustRightInd w:val="0"/>
              <w:snapToGrid w:val="0"/>
              <w:spacing w:line="264" w:lineRule="auto"/>
              <w:ind w:firstLine="0" w:firstLineChars="0"/>
              <w:jc w:val="center"/>
              <w:rPr>
                <w:rFonts w:cs="宋体" w:asciiTheme="minorEastAsia" w:hAnsiTheme="minorEastAsia" w:eastAsiaTheme="minorEastAsia"/>
                <w:b/>
                <w:bCs/>
                <w:kern w:val="0"/>
                <w:sz w:val="18"/>
                <w:szCs w:val="18"/>
              </w:rPr>
            </w:pPr>
            <w:r>
              <w:rPr>
                <w:rFonts w:hint="eastAsia" w:cs="Arial" w:asciiTheme="minorEastAsia" w:hAnsiTheme="minorEastAsia" w:eastAsiaTheme="minorEastAsia"/>
                <w:b/>
                <w:bCs/>
                <w:sz w:val="18"/>
                <w:szCs w:val="18"/>
              </w:rPr>
              <w:t>风景区内</w:t>
            </w:r>
          </w:p>
        </w:tc>
        <w:tc>
          <w:tcPr>
            <w:tcW w:w="709"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1275"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1134"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851"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1701"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3" w:hRule="atLeast"/>
          <w:jc w:val="center"/>
        </w:trPr>
        <w:tc>
          <w:tcPr>
            <w:tcW w:w="992"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大峃镇</w:t>
            </w:r>
          </w:p>
          <w:p>
            <w:pPr>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r>
              <w:rPr>
                <w:rFonts w:cs="宋体" w:asciiTheme="minorEastAsia" w:hAnsiTheme="minorEastAsia" w:eastAsiaTheme="minorEastAsia"/>
                <w:kern w:val="0"/>
                <w:sz w:val="18"/>
                <w:szCs w:val="18"/>
              </w:rPr>
              <w:t>1个村）</w:t>
            </w: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吴岭村</w:t>
            </w:r>
          </w:p>
        </w:tc>
        <w:tc>
          <w:tcPr>
            <w:tcW w:w="71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Arial" w:asciiTheme="minorEastAsia" w:hAnsiTheme="minorEastAsia" w:eastAsiaTheme="minorEastAsia"/>
                <w:sz w:val="18"/>
                <w:szCs w:val="18"/>
              </w:rPr>
              <w:t>381</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Arial" w:asciiTheme="minorEastAsia" w:hAnsiTheme="minorEastAsia" w:eastAsiaTheme="minorEastAsia"/>
                <w:sz w:val="18"/>
                <w:szCs w:val="18"/>
              </w:rPr>
              <w:t>28</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1721.16 </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居民控制区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疏解型</w:t>
            </w:r>
          </w:p>
        </w:tc>
        <w:tc>
          <w:tcPr>
            <w:tcW w:w="170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因水库建设需要规划为搬迁型居民点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3" w:hRule="atLeast"/>
          <w:jc w:val="center"/>
        </w:trPr>
        <w:tc>
          <w:tcPr>
            <w:tcW w:w="992" w:type="dxa"/>
            <w:vMerge w:val="restart"/>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珊溪镇（</w:t>
            </w:r>
            <w:r>
              <w:rPr>
                <w:rFonts w:cs="宋体" w:asciiTheme="minorEastAsia" w:hAnsiTheme="minorEastAsia" w:eastAsiaTheme="minorEastAsia"/>
                <w:kern w:val="0"/>
                <w:sz w:val="18"/>
                <w:szCs w:val="18"/>
              </w:rPr>
              <w:t>11个</w:t>
            </w:r>
            <w:r>
              <w:rPr>
                <w:rFonts w:hint="eastAsia" w:cs="宋体" w:asciiTheme="minorEastAsia" w:hAnsiTheme="minorEastAsia" w:eastAsiaTheme="minorEastAsia"/>
                <w:kern w:val="0"/>
                <w:sz w:val="18"/>
                <w:szCs w:val="18"/>
              </w:rPr>
              <w:t>村）</w:t>
            </w: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云西村</w:t>
            </w:r>
          </w:p>
        </w:tc>
        <w:tc>
          <w:tcPr>
            <w:tcW w:w="711" w:type="dxa"/>
            <w:shd w:val="clear" w:color="auto" w:fill="auto"/>
            <w:vAlign w:val="center"/>
          </w:tcPr>
          <w:p>
            <w:pPr>
              <w:widowControl/>
              <w:adjustRightInd w:val="0"/>
              <w:snapToGrid w:val="0"/>
              <w:spacing w:line="264" w:lineRule="auto"/>
              <w:ind w:firstLine="0" w:firstLineChars="0"/>
              <w:jc w:val="center"/>
              <w:rPr>
                <w:rFonts w:cs="Arial" w:asciiTheme="minorEastAsia" w:hAnsiTheme="minorEastAsia" w:eastAsiaTheme="minorEastAsia"/>
                <w:sz w:val="18"/>
                <w:szCs w:val="18"/>
              </w:rPr>
            </w:pPr>
            <w:r>
              <w:rPr>
                <w:rFonts w:asciiTheme="minorEastAsia" w:hAnsiTheme="minorEastAsia" w:eastAsiaTheme="minorEastAsia"/>
                <w:sz w:val="18"/>
                <w:szCs w:val="18"/>
              </w:rPr>
              <w:t>312</w:t>
            </w:r>
          </w:p>
        </w:tc>
        <w:tc>
          <w:tcPr>
            <w:tcW w:w="709" w:type="dxa"/>
            <w:shd w:val="clear" w:color="auto" w:fill="auto"/>
            <w:vAlign w:val="center"/>
          </w:tcPr>
          <w:p>
            <w:pPr>
              <w:widowControl/>
              <w:adjustRightInd w:val="0"/>
              <w:snapToGrid w:val="0"/>
              <w:spacing w:line="264" w:lineRule="auto"/>
              <w:ind w:firstLine="0" w:firstLineChars="0"/>
              <w:jc w:val="center"/>
              <w:rPr>
                <w:rFonts w:cs="Arial" w:asciiTheme="minorEastAsia" w:hAnsiTheme="minorEastAsia" w:eastAsiaTheme="minorEastAsia"/>
                <w:sz w:val="18"/>
                <w:szCs w:val="18"/>
              </w:rPr>
            </w:pPr>
            <w:r>
              <w:rPr>
                <w:rFonts w:asciiTheme="minorEastAsia" w:hAnsiTheme="minorEastAsia" w:eastAsiaTheme="minorEastAsia"/>
                <w:sz w:val="18"/>
                <w:szCs w:val="18"/>
              </w:rPr>
              <w:t>30</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30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12630.97</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居民控制区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3"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珊湖村</w:t>
            </w:r>
          </w:p>
        </w:tc>
        <w:tc>
          <w:tcPr>
            <w:tcW w:w="711" w:type="dxa"/>
            <w:shd w:val="clear" w:color="auto" w:fill="auto"/>
            <w:vAlign w:val="center"/>
          </w:tcPr>
          <w:p>
            <w:pPr>
              <w:widowControl/>
              <w:adjustRightInd w:val="0"/>
              <w:snapToGrid w:val="0"/>
              <w:spacing w:line="264" w:lineRule="auto"/>
              <w:ind w:firstLine="0" w:firstLineChars="0"/>
              <w:jc w:val="center"/>
              <w:rPr>
                <w:rFonts w:cs="Arial" w:asciiTheme="minorEastAsia" w:hAnsiTheme="minorEastAsia" w:eastAsiaTheme="minorEastAsia"/>
                <w:sz w:val="18"/>
                <w:szCs w:val="18"/>
              </w:rPr>
            </w:pPr>
            <w:r>
              <w:rPr>
                <w:rFonts w:asciiTheme="minorEastAsia" w:hAnsiTheme="minorEastAsia" w:eastAsiaTheme="minorEastAsia"/>
                <w:sz w:val="18"/>
                <w:szCs w:val="18"/>
              </w:rPr>
              <w:t>389</w:t>
            </w:r>
          </w:p>
        </w:tc>
        <w:tc>
          <w:tcPr>
            <w:tcW w:w="709" w:type="dxa"/>
            <w:shd w:val="clear" w:color="auto" w:fill="auto"/>
            <w:vAlign w:val="center"/>
          </w:tcPr>
          <w:p>
            <w:pPr>
              <w:widowControl/>
              <w:adjustRightInd w:val="0"/>
              <w:snapToGrid w:val="0"/>
              <w:spacing w:line="264" w:lineRule="auto"/>
              <w:ind w:firstLine="0" w:firstLineChars="0"/>
              <w:jc w:val="center"/>
              <w:rPr>
                <w:rFonts w:cs="Arial" w:asciiTheme="minorEastAsia" w:hAnsiTheme="minorEastAsia" w:eastAsiaTheme="minorEastAsia"/>
                <w:sz w:val="18"/>
                <w:szCs w:val="18"/>
              </w:rPr>
            </w:pPr>
            <w:r>
              <w:rPr>
                <w:rFonts w:asciiTheme="minorEastAsia" w:hAnsiTheme="minorEastAsia" w:eastAsiaTheme="minorEastAsia"/>
                <w:sz w:val="18"/>
                <w:szCs w:val="18"/>
              </w:rPr>
              <w:t>389</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389</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148709.92</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居民控制区</w:t>
            </w:r>
            <w:r>
              <w:rPr>
                <w:rFonts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9"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南阳村</w:t>
            </w:r>
          </w:p>
        </w:tc>
        <w:tc>
          <w:tcPr>
            <w:tcW w:w="711" w:type="dxa"/>
            <w:shd w:val="clear" w:color="auto" w:fill="auto"/>
            <w:vAlign w:val="center"/>
          </w:tcPr>
          <w:p>
            <w:pPr>
              <w:widowControl/>
              <w:adjustRightInd w:val="0"/>
              <w:snapToGrid w:val="0"/>
              <w:spacing w:line="264" w:lineRule="auto"/>
              <w:ind w:firstLine="0" w:firstLineChars="0"/>
              <w:jc w:val="center"/>
              <w:rPr>
                <w:rFonts w:cs="Arial" w:asciiTheme="minorEastAsia" w:hAnsiTheme="minorEastAsia" w:eastAsiaTheme="minorEastAsia"/>
                <w:sz w:val="18"/>
                <w:szCs w:val="18"/>
              </w:rPr>
            </w:pPr>
            <w:r>
              <w:rPr>
                <w:rFonts w:asciiTheme="minorEastAsia" w:hAnsiTheme="minorEastAsia" w:eastAsiaTheme="minorEastAsia"/>
                <w:sz w:val="18"/>
                <w:szCs w:val="18"/>
              </w:rPr>
              <w:t>1002</w:t>
            </w:r>
          </w:p>
        </w:tc>
        <w:tc>
          <w:tcPr>
            <w:tcW w:w="709" w:type="dxa"/>
            <w:shd w:val="clear" w:color="auto" w:fill="auto"/>
            <w:vAlign w:val="center"/>
          </w:tcPr>
          <w:p>
            <w:pPr>
              <w:widowControl/>
              <w:adjustRightInd w:val="0"/>
              <w:snapToGrid w:val="0"/>
              <w:spacing w:line="264" w:lineRule="auto"/>
              <w:ind w:firstLine="0" w:firstLineChars="0"/>
              <w:jc w:val="center"/>
              <w:rPr>
                <w:rFonts w:cs="Arial" w:asciiTheme="minorEastAsia" w:hAnsiTheme="minorEastAsia" w:eastAsiaTheme="minorEastAsia"/>
                <w:sz w:val="18"/>
                <w:szCs w:val="18"/>
              </w:rPr>
            </w:pPr>
            <w:r>
              <w:rPr>
                <w:rFonts w:asciiTheme="minorEastAsia" w:hAnsiTheme="minorEastAsia" w:eastAsiaTheme="minorEastAsia"/>
                <w:sz w:val="18"/>
                <w:szCs w:val="18"/>
              </w:rPr>
              <w:t>8</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20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0.00</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居民控制区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3"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五新村</w:t>
            </w:r>
          </w:p>
        </w:tc>
        <w:tc>
          <w:tcPr>
            <w:tcW w:w="711" w:type="dxa"/>
            <w:shd w:val="clear" w:color="auto" w:fill="auto"/>
            <w:vAlign w:val="center"/>
          </w:tcPr>
          <w:p>
            <w:pPr>
              <w:widowControl/>
              <w:adjustRightInd w:val="0"/>
              <w:snapToGrid w:val="0"/>
              <w:spacing w:line="264" w:lineRule="auto"/>
              <w:ind w:firstLine="0" w:firstLineChars="0"/>
              <w:jc w:val="center"/>
              <w:rPr>
                <w:rFonts w:cs="Arial" w:asciiTheme="minorEastAsia" w:hAnsiTheme="minorEastAsia" w:eastAsiaTheme="minorEastAsia"/>
                <w:sz w:val="18"/>
                <w:szCs w:val="18"/>
              </w:rPr>
            </w:pPr>
            <w:r>
              <w:rPr>
                <w:rFonts w:asciiTheme="minorEastAsia" w:hAnsiTheme="minorEastAsia" w:eastAsiaTheme="minorEastAsia"/>
                <w:sz w:val="18"/>
                <w:szCs w:val="18"/>
              </w:rPr>
              <w:t>674</w:t>
            </w:r>
          </w:p>
        </w:tc>
        <w:tc>
          <w:tcPr>
            <w:tcW w:w="709" w:type="dxa"/>
            <w:shd w:val="clear" w:color="auto" w:fill="auto"/>
            <w:vAlign w:val="center"/>
          </w:tcPr>
          <w:p>
            <w:pPr>
              <w:widowControl/>
              <w:adjustRightInd w:val="0"/>
              <w:snapToGrid w:val="0"/>
              <w:spacing w:line="264" w:lineRule="auto"/>
              <w:ind w:firstLine="0" w:firstLineChars="0"/>
              <w:jc w:val="center"/>
              <w:rPr>
                <w:rFonts w:cs="Arial" w:asciiTheme="minorEastAsia" w:hAnsiTheme="minorEastAsia" w:eastAsiaTheme="minorEastAsia"/>
                <w:sz w:val="18"/>
                <w:szCs w:val="18"/>
              </w:rPr>
            </w:pPr>
            <w:r>
              <w:rPr>
                <w:rFonts w:asciiTheme="minorEastAsia" w:hAnsiTheme="minorEastAsia" w:eastAsiaTheme="minorEastAsia"/>
                <w:sz w:val="18"/>
                <w:szCs w:val="18"/>
              </w:rPr>
              <w:t>10</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10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1703.66</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居民控制区</w:t>
            </w:r>
            <w:r>
              <w:rPr>
                <w:rFonts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3"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南川村</w:t>
            </w:r>
          </w:p>
        </w:tc>
        <w:tc>
          <w:tcPr>
            <w:tcW w:w="711" w:type="dxa"/>
            <w:shd w:val="clear" w:color="auto" w:fill="auto"/>
            <w:vAlign w:val="center"/>
          </w:tcPr>
          <w:p>
            <w:pPr>
              <w:widowControl/>
              <w:adjustRightInd w:val="0"/>
              <w:snapToGrid w:val="0"/>
              <w:spacing w:line="264" w:lineRule="auto"/>
              <w:ind w:firstLine="0" w:firstLineChars="0"/>
              <w:jc w:val="center"/>
              <w:rPr>
                <w:rFonts w:cs="Arial" w:asciiTheme="minorEastAsia" w:hAnsiTheme="minorEastAsia" w:eastAsiaTheme="minorEastAsia"/>
                <w:sz w:val="18"/>
                <w:szCs w:val="18"/>
              </w:rPr>
            </w:pPr>
            <w:r>
              <w:rPr>
                <w:rFonts w:asciiTheme="minorEastAsia" w:hAnsiTheme="minorEastAsia" w:eastAsiaTheme="minorEastAsia"/>
                <w:sz w:val="18"/>
                <w:szCs w:val="18"/>
              </w:rPr>
              <w:t>349</w:t>
            </w:r>
          </w:p>
        </w:tc>
        <w:tc>
          <w:tcPr>
            <w:tcW w:w="709" w:type="dxa"/>
            <w:shd w:val="clear" w:color="auto" w:fill="auto"/>
            <w:vAlign w:val="center"/>
          </w:tcPr>
          <w:p>
            <w:pPr>
              <w:widowControl/>
              <w:adjustRightInd w:val="0"/>
              <w:snapToGrid w:val="0"/>
              <w:spacing w:line="264" w:lineRule="auto"/>
              <w:ind w:firstLine="0" w:firstLineChars="0"/>
              <w:jc w:val="center"/>
              <w:rPr>
                <w:rFonts w:cs="Arial" w:asciiTheme="minorEastAsia" w:hAnsiTheme="minorEastAsia" w:eastAsiaTheme="minorEastAsia"/>
                <w:sz w:val="18"/>
                <w:szCs w:val="18"/>
              </w:rPr>
            </w:pPr>
            <w:r>
              <w:rPr>
                <w:rFonts w:asciiTheme="minorEastAsia" w:hAnsiTheme="minorEastAsia" w:eastAsiaTheme="minorEastAsia"/>
                <w:sz w:val="18"/>
                <w:szCs w:val="18"/>
              </w:rPr>
              <w:t>65</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65</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18227.92</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居民控制区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3"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华扬村</w:t>
            </w:r>
          </w:p>
        </w:tc>
        <w:tc>
          <w:tcPr>
            <w:tcW w:w="711" w:type="dxa"/>
            <w:shd w:val="clear" w:color="auto" w:fill="auto"/>
            <w:vAlign w:val="center"/>
          </w:tcPr>
          <w:p>
            <w:pPr>
              <w:widowControl/>
              <w:adjustRightInd w:val="0"/>
              <w:snapToGrid w:val="0"/>
              <w:spacing w:line="264" w:lineRule="auto"/>
              <w:ind w:firstLine="0" w:firstLineChars="0"/>
              <w:jc w:val="center"/>
              <w:rPr>
                <w:rFonts w:cs="Arial" w:asciiTheme="minorEastAsia" w:hAnsiTheme="minorEastAsia" w:eastAsiaTheme="minorEastAsia"/>
                <w:sz w:val="18"/>
                <w:szCs w:val="18"/>
              </w:rPr>
            </w:pPr>
            <w:r>
              <w:rPr>
                <w:rFonts w:asciiTheme="minorEastAsia" w:hAnsiTheme="minorEastAsia" w:eastAsiaTheme="minorEastAsia"/>
                <w:sz w:val="18"/>
                <w:szCs w:val="18"/>
              </w:rPr>
              <w:t>762</w:t>
            </w:r>
          </w:p>
        </w:tc>
        <w:tc>
          <w:tcPr>
            <w:tcW w:w="709" w:type="dxa"/>
            <w:shd w:val="clear" w:color="auto" w:fill="auto"/>
            <w:vAlign w:val="center"/>
          </w:tcPr>
          <w:p>
            <w:pPr>
              <w:widowControl/>
              <w:adjustRightInd w:val="0"/>
              <w:snapToGrid w:val="0"/>
              <w:spacing w:line="264" w:lineRule="auto"/>
              <w:ind w:firstLine="0" w:firstLineChars="0"/>
              <w:jc w:val="center"/>
              <w:rPr>
                <w:rFonts w:cs="Arial" w:asciiTheme="minorEastAsia" w:hAnsiTheme="minorEastAsia" w:eastAsiaTheme="minorEastAsia"/>
                <w:sz w:val="18"/>
                <w:szCs w:val="18"/>
              </w:rPr>
            </w:pPr>
            <w:r>
              <w:rPr>
                <w:rFonts w:asciiTheme="minorEastAsia" w:hAnsiTheme="minorEastAsia" w:eastAsiaTheme="minorEastAsia"/>
                <w:sz w:val="18"/>
                <w:szCs w:val="18"/>
              </w:rPr>
              <w:t>35</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35</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19405.09</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居民控制区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3"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项坑村</w:t>
            </w:r>
          </w:p>
        </w:tc>
        <w:tc>
          <w:tcPr>
            <w:tcW w:w="711" w:type="dxa"/>
            <w:shd w:val="clear" w:color="auto" w:fill="auto"/>
            <w:vAlign w:val="center"/>
          </w:tcPr>
          <w:p>
            <w:pPr>
              <w:widowControl/>
              <w:adjustRightInd w:val="0"/>
              <w:snapToGrid w:val="0"/>
              <w:spacing w:line="264" w:lineRule="auto"/>
              <w:ind w:firstLine="0" w:firstLineChars="0"/>
              <w:jc w:val="center"/>
              <w:rPr>
                <w:rFonts w:cs="Arial" w:asciiTheme="minorEastAsia" w:hAnsiTheme="minorEastAsia" w:eastAsiaTheme="minorEastAsia"/>
                <w:sz w:val="18"/>
                <w:szCs w:val="18"/>
              </w:rPr>
            </w:pPr>
            <w:r>
              <w:rPr>
                <w:rFonts w:asciiTheme="minorEastAsia" w:hAnsiTheme="minorEastAsia" w:eastAsiaTheme="minorEastAsia"/>
                <w:sz w:val="18"/>
                <w:szCs w:val="18"/>
              </w:rPr>
              <w:t>277</w:t>
            </w:r>
          </w:p>
        </w:tc>
        <w:tc>
          <w:tcPr>
            <w:tcW w:w="709" w:type="dxa"/>
            <w:shd w:val="clear" w:color="auto" w:fill="auto"/>
            <w:vAlign w:val="center"/>
          </w:tcPr>
          <w:p>
            <w:pPr>
              <w:widowControl/>
              <w:adjustRightInd w:val="0"/>
              <w:snapToGrid w:val="0"/>
              <w:spacing w:line="264" w:lineRule="auto"/>
              <w:ind w:firstLine="0" w:firstLineChars="0"/>
              <w:jc w:val="center"/>
              <w:rPr>
                <w:rFonts w:cs="Arial" w:asciiTheme="minorEastAsia" w:hAnsiTheme="minorEastAsia" w:eastAsiaTheme="minorEastAsia"/>
                <w:sz w:val="18"/>
                <w:szCs w:val="18"/>
              </w:rPr>
            </w:pPr>
            <w:r>
              <w:rPr>
                <w:rFonts w:asciiTheme="minorEastAsia" w:hAnsiTheme="minorEastAsia" w:eastAsiaTheme="minorEastAsia"/>
                <w:sz w:val="18"/>
                <w:szCs w:val="18"/>
              </w:rPr>
              <w:t>8</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8</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4261.93</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居民衰减区</w:t>
            </w:r>
            <w:r>
              <w:rPr>
                <w:rFonts w:cs="宋体" w:asciiTheme="minorEastAsia" w:hAnsiTheme="minorEastAsia" w:eastAsiaTheme="minorEastAsia"/>
                <w:kern w:val="0"/>
                <w:sz w:val="18"/>
                <w:szCs w:val="18"/>
              </w:rPr>
              <w:t>/居民控制区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其中处于居民衰减区范围内的居民点为疏解型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3"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雅坪村</w:t>
            </w:r>
          </w:p>
        </w:tc>
        <w:tc>
          <w:tcPr>
            <w:tcW w:w="711" w:type="dxa"/>
            <w:shd w:val="clear" w:color="auto" w:fill="auto"/>
            <w:vAlign w:val="center"/>
          </w:tcPr>
          <w:p>
            <w:pPr>
              <w:widowControl/>
              <w:adjustRightInd w:val="0"/>
              <w:snapToGrid w:val="0"/>
              <w:spacing w:line="264" w:lineRule="auto"/>
              <w:ind w:firstLine="0" w:firstLineChars="0"/>
              <w:jc w:val="center"/>
              <w:rPr>
                <w:rFonts w:cs="Arial" w:asciiTheme="minorEastAsia" w:hAnsiTheme="minorEastAsia" w:eastAsiaTheme="minorEastAsia"/>
                <w:sz w:val="18"/>
                <w:szCs w:val="18"/>
              </w:rPr>
            </w:pPr>
            <w:r>
              <w:rPr>
                <w:rFonts w:asciiTheme="minorEastAsia" w:hAnsiTheme="minorEastAsia" w:eastAsiaTheme="minorEastAsia"/>
                <w:sz w:val="18"/>
                <w:szCs w:val="18"/>
              </w:rPr>
              <w:t>421</w:t>
            </w:r>
          </w:p>
        </w:tc>
        <w:tc>
          <w:tcPr>
            <w:tcW w:w="709" w:type="dxa"/>
            <w:shd w:val="clear" w:color="auto" w:fill="auto"/>
            <w:vAlign w:val="center"/>
          </w:tcPr>
          <w:p>
            <w:pPr>
              <w:widowControl/>
              <w:adjustRightInd w:val="0"/>
              <w:snapToGrid w:val="0"/>
              <w:spacing w:line="264" w:lineRule="auto"/>
              <w:ind w:firstLine="0" w:firstLineChars="0"/>
              <w:jc w:val="center"/>
              <w:rPr>
                <w:rFonts w:cs="Arial" w:asciiTheme="minorEastAsia" w:hAnsiTheme="minorEastAsia" w:eastAsiaTheme="minorEastAsia"/>
                <w:sz w:val="18"/>
                <w:szCs w:val="18"/>
              </w:rPr>
            </w:pPr>
            <w:r>
              <w:rPr>
                <w:rFonts w:asciiTheme="minorEastAsia" w:hAnsiTheme="minorEastAsia" w:eastAsiaTheme="minorEastAsia"/>
                <w:sz w:val="18"/>
                <w:szCs w:val="18"/>
              </w:rPr>
              <w:t>421</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480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66231.28</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3"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塘山村</w:t>
            </w:r>
          </w:p>
        </w:tc>
        <w:tc>
          <w:tcPr>
            <w:tcW w:w="711" w:type="dxa"/>
            <w:shd w:val="clear" w:color="auto" w:fill="auto"/>
            <w:vAlign w:val="center"/>
          </w:tcPr>
          <w:p>
            <w:pPr>
              <w:widowControl/>
              <w:adjustRightInd w:val="0"/>
              <w:snapToGrid w:val="0"/>
              <w:spacing w:line="264" w:lineRule="auto"/>
              <w:ind w:firstLine="0" w:firstLineChars="0"/>
              <w:jc w:val="center"/>
              <w:rPr>
                <w:rFonts w:cs="Arial" w:asciiTheme="minorEastAsia" w:hAnsiTheme="minorEastAsia" w:eastAsiaTheme="minorEastAsia"/>
                <w:sz w:val="18"/>
                <w:szCs w:val="18"/>
              </w:rPr>
            </w:pPr>
            <w:r>
              <w:rPr>
                <w:rFonts w:asciiTheme="minorEastAsia" w:hAnsiTheme="minorEastAsia" w:eastAsiaTheme="minorEastAsia"/>
                <w:sz w:val="18"/>
                <w:szCs w:val="18"/>
              </w:rPr>
              <w:t>307</w:t>
            </w:r>
          </w:p>
        </w:tc>
        <w:tc>
          <w:tcPr>
            <w:tcW w:w="709" w:type="dxa"/>
            <w:shd w:val="clear" w:color="auto" w:fill="auto"/>
            <w:vAlign w:val="center"/>
          </w:tcPr>
          <w:p>
            <w:pPr>
              <w:widowControl/>
              <w:adjustRightInd w:val="0"/>
              <w:snapToGrid w:val="0"/>
              <w:spacing w:line="264" w:lineRule="auto"/>
              <w:ind w:firstLine="0" w:firstLineChars="0"/>
              <w:jc w:val="center"/>
              <w:rPr>
                <w:rFonts w:cs="Arial" w:asciiTheme="minorEastAsia" w:hAnsiTheme="minorEastAsia" w:eastAsiaTheme="minorEastAsia"/>
                <w:sz w:val="18"/>
                <w:szCs w:val="18"/>
              </w:rPr>
            </w:pPr>
            <w:r>
              <w:rPr>
                <w:rFonts w:asciiTheme="minorEastAsia" w:hAnsiTheme="minorEastAsia" w:eastAsiaTheme="minorEastAsia"/>
                <w:sz w:val="18"/>
                <w:szCs w:val="18"/>
              </w:rPr>
              <w:t>307</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360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56315.50</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3"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松坑村</w:t>
            </w:r>
          </w:p>
        </w:tc>
        <w:tc>
          <w:tcPr>
            <w:tcW w:w="711" w:type="dxa"/>
            <w:shd w:val="clear" w:color="auto" w:fill="auto"/>
            <w:vAlign w:val="center"/>
          </w:tcPr>
          <w:p>
            <w:pPr>
              <w:widowControl/>
              <w:adjustRightInd w:val="0"/>
              <w:snapToGrid w:val="0"/>
              <w:spacing w:line="264" w:lineRule="auto"/>
              <w:ind w:firstLine="0" w:firstLineChars="0"/>
              <w:jc w:val="center"/>
              <w:rPr>
                <w:rFonts w:cs="Arial" w:asciiTheme="minorEastAsia" w:hAnsiTheme="minorEastAsia" w:eastAsiaTheme="minorEastAsia"/>
                <w:sz w:val="18"/>
                <w:szCs w:val="18"/>
              </w:rPr>
            </w:pPr>
            <w:r>
              <w:rPr>
                <w:rFonts w:asciiTheme="minorEastAsia" w:hAnsiTheme="minorEastAsia" w:eastAsiaTheme="minorEastAsia"/>
                <w:sz w:val="18"/>
                <w:szCs w:val="18"/>
              </w:rPr>
              <w:t>199</w:t>
            </w:r>
          </w:p>
        </w:tc>
        <w:tc>
          <w:tcPr>
            <w:tcW w:w="709" w:type="dxa"/>
            <w:shd w:val="clear" w:color="auto" w:fill="auto"/>
            <w:vAlign w:val="center"/>
          </w:tcPr>
          <w:p>
            <w:pPr>
              <w:widowControl/>
              <w:adjustRightInd w:val="0"/>
              <w:snapToGrid w:val="0"/>
              <w:spacing w:line="264" w:lineRule="auto"/>
              <w:ind w:firstLine="0" w:firstLineChars="0"/>
              <w:jc w:val="center"/>
              <w:rPr>
                <w:rFonts w:cs="Arial" w:asciiTheme="minorEastAsia" w:hAnsiTheme="minorEastAsia" w:eastAsiaTheme="minorEastAsia"/>
                <w:sz w:val="18"/>
                <w:szCs w:val="18"/>
              </w:rPr>
            </w:pPr>
            <w:r>
              <w:rPr>
                <w:rFonts w:asciiTheme="minorEastAsia" w:hAnsiTheme="minorEastAsia" w:eastAsiaTheme="minorEastAsia"/>
                <w:sz w:val="18"/>
                <w:szCs w:val="18"/>
              </w:rPr>
              <w:t>199</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280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42375.06</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3"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鳌洋村</w:t>
            </w:r>
          </w:p>
        </w:tc>
        <w:tc>
          <w:tcPr>
            <w:tcW w:w="711" w:type="dxa"/>
            <w:shd w:val="clear" w:color="auto" w:fill="auto"/>
            <w:vAlign w:val="center"/>
          </w:tcPr>
          <w:p>
            <w:pPr>
              <w:widowControl/>
              <w:adjustRightInd w:val="0"/>
              <w:snapToGrid w:val="0"/>
              <w:spacing w:line="264" w:lineRule="auto"/>
              <w:ind w:firstLine="0" w:firstLineChars="0"/>
              <w:jc w:val="center"/>
              <w:rPr>
                <w:rFonts w:cs="Arial" w:asciiTheme="minorEastAsia" w:hAnsiTheme="minorEastAsia" w:eastAsiaTheme="minorEastAsia"/>
                <w:sz w:val="18"/>
                <w:szCs w:val="18"/>
              </w:rPr>
            </w:pPr>
            <w:r>
              <w:rPr>
                <w:rFonts w:asciiTheme="minorEastAsia" w:hAnsiTheme="minorEastAsia" w:eastAsiaTheme="minorEastAsia"/>
                <w:sz w:val="18"/>
                <w:szCs w:val="18"/>
              </w:rPr>
              <w:t>363</w:t>
            </w:r>
          </w:p>
        </w:tc>
        <w:tc>
          <w:tcPr>
            <w:tcW w:w="709" w:type="dxa"/>
            <w:shd w:val="clear" w:color="auto" w:fill="auto"/>
            <w:vAlign w:val="center"/>
          </w:tcPr>
          <w:p>
            <w:pPr>
              <w:widowControl/>
              <w:adjustRightInd w:val="0"/>
              <w:snapToGrid w:val="0"/>
              <w:spacing w:line="264" w:lineRule="auto"/>
              <w:ind w:firstLine="0" w:firstLineChars="0"/>
              <w:jc w:val="center"/>
              <w:rPr>
                <w:rFonts w:cs="Arial" w:asciiTheme="minorEastAsia" w:hAnsiTheme="minorEastAsia" w:eastAsiaTheme="minorEastAsia"/>
                <w:sz w:val="18"/>
                <w:szCs w:val="18"/>
              </w:rPr>
            </w:pPr>
            <w:r>
              <w:rPr>
                <w:rFonts w:asciiTheme="minorEastAsia" w:hAnsiTheme="minorEastAsia" w:eastAsiaTheme="minorEastAsia"/>
                <w:sz w:val="18"/>
                <w:szCs w:val="18"/>
              </w:rPr>
              <w:t>363</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400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67095.73</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3" w:hRule="atLeast"/>
          <w:jc w:val="center"/>
        </w:trPr>
        <w:tc>
          <w:tcPr>
            <w:tcW w:w="992" w:type="dxa"/>
            <w:vMerge w:val="restart"/>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玉壶镇（</w:t>
            </w:r>
            <w:r>
              <w:rPr>
                <w:rFonts w:cs="宋体" w:asciiTheme="minorEastAsia" w:hAnsiTheme="minorEastAsia" w:eastAsiaTheme="minorEastAsia"/>
                <w:kern w:val="0"/>
                <w:sz w:val="18"/>
                <w:szCs w:val="18"/>
              </w:rPr>
              <w:t>11个</w:t>
            </w:r>
            <w:r>
              <w:rPr>
                <w:rFonts w:hint="eastAsia" w:cs="宋体" w:asciiTheme="minorEastAsia" w:hAnsiTheme="minorEastAsia" w:eastAsiaTheme="minorEastAsia"/>
                <w:kern w:val="0"/>
                <w:sz w:val="18"/>
                <w:szCs w:val="18"/>
              </w:rPr>
              <w:t>村）</w:t>
            </w: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龙一村</w:t>
            </w:r>
          </w:p>
        </w:tc>
        <w:tc>
          <w:tcPr>
            <w:tcW w:w="711"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sz w:val="18"/>
                <w:szCs w:val="18"/>
              </w:rPr>
            </w:pPr>
            <w:r>
              <w:rPr>
                <w:rFonts w:cs="宋体" w:asciiTheme="minorEastAsia" w:hAnsiTheme="minorEastAsia" w:eastAsiaTheme="minorEastAsia"/>
                <w:color w:val="000000"/>
                <w:kern w:val="0"/>
                <w:sz w:val="18"/>
                <w:szCs w:val="18"/>
              </w:rPr>
              <w:t>2686</w:t>
            </w:r>
          </w:p>
        </w:tc>
        <w:tc>
          <w:tcPr>
            <w:tcW w:w="709"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sz w:val="18"/>
                <w:szCs w:val="18"/>
              </w:rPr>
            </w:pPr>
            <w:r>
              <w:rPr>
                <w:rFonts w:cs="宋体" w:asciiTheme="minorEastAsia" w:hAnsiTheme="minorEastAsia" w:eastAsiaTheme="minorEastAsia"/>
                <w:color w:val="000000"/>
                <w:kern w:val="0"/>
                <w:sz w:val="18"/>
                <w:szCs w:val="18"/>
              </w:rPr>
              <w:t>10</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20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12819.38</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发展型</w:t>
            </w:r>
          </w:p>
        </w:tc>
        <w:tc>
          <w:tcPr>
            <w:tcW w:w="170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3"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碧溪村</w:t>
            </w:r>
          </w:p>
        </w:tc>
        <w:tc>
          <w:tcPr>
            <w:tcW w:w="711"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sz w:val="18"/>
                <w:szCs w:val="18"/>
              </w:rPr>
            </w:pPr>
            <w:r>
              <w:rPr>
                <w:rFonts w:cs="宋体" w:asciiTheme="minorEastAsia" w:hAnsiTheme="minorEastAsia" w:eastAsiaTheme="minorEastAsia"/>
                <w:color w:val="000000"/>
                <w:kern w:val="0"/>
                <w:sz w:val="18"/>
                <w:szCs w:val="18"/>
              </w:rPr>
              <w:t>3221</w:t>
            </w:r>
          </w:p>
        </w:tc>
        <w:tc>
          <w:tcPr>
            <w:tcW w:w="709"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sz w:val="18"/>
                <w:szCs w:val="18"/>
              </w:rPr>
            </w:pPr>
            <w:r>
              <w:rPr>
                <w:rFonts w:cs="宋体" w:asciiTheme="minorEastAsia" w:hAnsiTheme="minorEastAsia" w:eastAsiaTheme="minorEastAsia"/>
                <w:color w:val="000000"/>
                <w:kern w:val="0"/>
                <w:sz w:val="18"/>
                <w:szCs w:val="18"/>
              </w:rPr>
              <w:t>190</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250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25903.75</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发展型</w:t>
            </w:r>
          </w:p>
        </w:tc>
        <w:tc>
          <w:tcPr>
            <w:tcW w:w="170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3"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金地村</w:t>
            </w:r>
          </w:p>
        </w:tc>
        <w:tc>
          <w:tcPr>
            <w:tcW w:w="711"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sz w:val="18"/>
                <w:szCs w:val="18"/>
              </w:rPr>
            </w:pPr>
            <w:r>
              <w:rPr>
                <w:rFonts w:cs="宋体" w:asciiTheme="minorEastAsia" w:hAnsiTheme="minorEastAsia" w:eastAsiaTheme="minorEastAsia"/>
                <w:color w:val="000000"/>
                <w:kern w:val="0"/>
                <w:sz w:val="18"/>
                <w:szCs w:val="18"/>
              </w:rPr>
              <w:t>565</w:t>
            </w:r>
          </w:p>
        </w:tc>
        <w:tc>
          <w:tcPr>
            <w:tcW w:w="709"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sz w:val="18"/>
                <w:szCs w:val="18"/>
              </w:rPr>
            </w:pPr>
            <w:r>
              <w:rPr>
                <w:rFonts w:cs="宋体" w:asciiTheme="minorEastAsia" w:hAnsiTheme="minorEastAsia" w:eastAsiaTheme="minorEastAsia"/>
                <w:color w:val="000000"/>
                <w:kern w:val="0"/>
                <w:sz w:val="18"/>
                <w:szCs w:val="18"/>
              </w:rPr>
              <w:t>565</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420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16949.50</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3"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金源村</w:t>
            </w:r>
          </w:p>
        </w:tc>
        <w:tc>
          <w:tcPr>
            <w:tcW w:w="711"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sz w:val="18"/>
                <w:szCs w:val="18"/>
              </w:rPr>
            </w:pPr>
            <w:r>
              <w:rPr>
                <w:rFonts w:cs="宋体" w:asciiTheme="minorEastAsia" w:hAnsiTheme="minorEastAsia" w:eastAsiaTheme="minorEastAsia"/>
                <w:color w:val="000000"/>
                <w:kern w:val="0"/>
                <w:sz w:val="18"/>
                <w:szCs w:val="18"/>
              </w:rPr>
              <w:t>2121</w:t>
            </w:r>
          </w:p>
        </w:tc>
        <w:tc>
          <w:tcPr>
            <w:tcW w:w="709"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sz w:val="18"/>
                <w:szCs w:val="18"/>
              </w:rPr>
            </w:pPr>
            <w:r>
              <w:rPr>
                <w:rFonts w:cs="宋体" w:asciiTheme="minorEastAsia" w:hAnsiTheme="minorEastAsia" w:eastAsiaTheme="minorEastAsia"/>
                <w:color w:val="000000"/>
                <w:kern w:val="0"/>
                <w:sz w:val="18"/>
                <w:szCs w:val="18"/>
              </w:rPr>
              <w:t>2121</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3000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104056.18</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发展型</w:t>
            </w:r>
          </w:p>
        </w:tc>
        <w:tc>
          <w:tcPr>
            <w:tcW w:w="170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3"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金星村</w:t>
            </w:r>
          </w:p>
        </w:tc>
        <w:tc>
          <w:tcPr>
            <w:tcW w:w="711"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sz w:val="18"/>
                <w:szCs w:val="18"/>
              </w:rPr>
            </w:pPr>
            <w:r>
              <w:rPr>
                <w:rFonts w:cs="宋体" w:asciiTheme="minorEastAsia" w:hAnsiTheme="minorEastAsia" w:eastAsiaTheme="minorEastAsia"/>
                <w:color w:val="000000"/>
                <w:kern w:val="0"/>
                <w:sz w:val="18"/>
                <w:szCs w:val="18"/>
              </w:rPr>
              <w:t>1946</w:t>
            </w:r>
          </w:p>
        </w:tc>
        <w:tc>
          <w:tcPr>
            <w:tcW w:w="709"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sz w:val="18"/>
                <w:szCs w:val="18"/>
              </w:rPr>
            </w:pPr>
            <w:r>
              <w:rPr>
                <w:rFonts w:cs="宋体" w:asciiTheme="minorEastAsia" w:hAnsiTheme="minorEastAsia" w:eastAsiaTheme="minorEastAsia"/>
                <w:color w:val="000000"/>
                <w:kern w:val="0"/>
                <w:sz w:val="18"/>
                <w:szCs w:val="18"/>
              </w:rPr>
              <w:t>155</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200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27427.47</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发展型</w:t>
            </w:r>
          </w:p>
        </w:tc>
        <w:tc>
          <w:tcPr>
            <w:tcW w:w="170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3"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金民村</w:t>
            </w:r>
          </w:p>
        </w:tc>
        <w:tc>
          <w:tcPr>
            <w:tcW w:w="711"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sz w:val="18"/>
                <w:szCs w:val="18"/>
              </w:rPr>
            </w:pPr>
            <w:r>
              <w:rPr>
                <w:rFonts w:hint="eastAsia" w:cs="宋体" w:asciiTheme="minorEastAsia" w:hAnsiTheme="minorEastAsia" w:eastAsiaTheme="minorEastAsia"/>
                <w:color w:val="000000"/>
                <w:kern w:val="0"/>
                <w:sz w:val="18"/>
                <w:szCs w:val="18"/>
              </w:rPr>
              <w:t>1431</w:t>
            </w:r>
          </w:p>
        </w:tc>
        <w:tc>
          <w:tcPr>
            <w:tcW w:w="709"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sz w:val="18"/>
                <w:szCs w:val="18"/>
              </w:rPr>
            </w:pPr>
            <w:r>
              <w:rPr>
                <w:rFonts w:hint="eastAsia" w:cs="宋体" w:asciiTheme="minorEastAsia" w:hAnsiTheme="minorEastAsia" w:eastAsiaTheme="minorEastAsia"/>
                <w:color w:val="000000"/>
                <w:kern w:val="0"/>
                <w:sz w:val="18"/>
                <w:szCs w:val="18"/>
              </w:rPr>
              <w:t>20</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15</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18721.17</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发展型</w:t>
            </w:r>
          </w:p>
        </w:tc>
        <w:tc>
          <w:tcPr>
            <w:tcW w:w="170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3"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朱雅村</w:t>
            </w:r>
          </w:p>
        </w:tc>
        <w:tc>
          <w:tcPr>
            <w:tcW w:w="711"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sz w:val="18"/>
                <w:szCs w:val="18"/>
              </w:rPr>
            </w:pPr>
            <w:r>
              <w:rPr>
                <w:rFonts w:cs="宋体" w:asciiTheme="minorEastAsia" w:hAnsiTheme="minorEastAsia" w:eastAsiaTheme="minorEastAsia"/>
                <w:color w:val="000000"/>
                <w:kern w:val="0"/>
                <w:sz w:val="18"/>
                <w:szCs w:val="18"/>
              </w:rPr>
              <w:t>2298</w:t>
            </w:r>
          </w:p>
        </w:tc>
        <w:tc>
          <w:tcPr>
            <w:tcW w:w="709"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sz w:val="18"/>
                <w:szCs w:val="18"/>
              </w:rPr>
            </w:pPr>
            <w:r>
              <w:rPr>
                <w:rFonts w:cs="宋体" w:asciiTheme="minorEastAsia" w:hAnsiTheme="minorEastAsia" w:eastAsiaTheme="minorEastAsia"/>
                <w:color w:val="000000"/>
                <w:kern w:val="0"/>
                <w:sz w:val="18"/>
                <w:szCs w:val="18"/>
              </w:rPr>
              <w:t>266</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300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33997.36</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发展型</w:t>
            </w:r>
          </w:p>
        </w:tc>
        <w:tc>
          <w:tcPr>
            <w:tcW w:w="170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3"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朱寮村</w:t>
            </w:r>
          </w:p>
        </w:tc>
        <w:tc>
          <w:tcPr>
            <w:tcW w:w="711"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sz w:val="18"/>
                <w:szCs w:val="18"/>
              </w:rPr>
            </w:pPr>
            <w:r>
              <w:rPr>
                <w:rFonts w:cs="宋体" w:asciiTheme="minorEastAsia" w:hAnsiTheme="minorEastAsia" w:eastAsiaTheme="minorEastAsia"/>
                <w:color w:val="000000"/>
                <w:kern w:val="0"/>
                <w:sz w:val="18"/>
                <w:szCs w:val="18"/>
              </w:rPr>
              <w:t>1212</w:t>
            </w:r>
          </w:p>
        </w:tc>
        <w:tc>
          <w:tcPr>
            <w:tcW w:w="709"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sz w:val="18"/>
                <w:szCs w:val="18"/>
              </w:rPr>
            </w:pPr>
            <w:r>
              <w:rPr>
                <w:rFonts w:cs="宋体" w:asciiTheme="minorEastAsia" w:hAnsiTheme="minorEastAsia" w:eastAsiaTheme="minorEastAsia"/>
                <w:color w:val="000000"/>
                <w:kern w:val="0"/>
                <w:sz w:val="18"/>
                <w:szCs w:val="18"/>
              </w:rPr>
              <w:t>1212</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1200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59453.49</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发展型</w:t>
            </w:r>
          </w:p>
        </w:tc>
        <w:tc>
          <w:tcPr>
            <w:tcW w:w="170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3"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坳垟村</w:t>
            </w:r>
          </w:p>
        </w:tc>
        <w:tc>
          <w:tcPr>
            <w:tcW w:w="711"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sz w:val="18"/>
                <w:szCs w:val="18"/>
              </w:rPr>
            </w:pPr>
            <w:r>
              <w:rPr>
                <w:rFonts w:hint="eastAsia" w:cs="宋体" w:asciiTheme="minorEastAsia" w:hAnsiTheme="minorEastAsia" w:eastAsiaTheme="minorEastAsia"/>
                <w:color w:val="000000"/>
                <w:kern w:val="0"/>
                <w:sz w:val="18"/>
                <w:szCs w:val="18"/>
              </w:rPr>
              <w:t>1242</w:t>
            </w:r>
          </w:p>
        </w:tc>
        <w:tc>
          <w:tcPr>
            <w:tcW w:w="709"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sz w:val="18"/>
                <w:szCs w:val="18"/>
              </w:rPr>
            </w:pPr>
            <w:r>
              <w:rPr>
                <w:rFonts w:hint="eastAsia" w:cs="宋体" w:asciiTheme="minorEastAsia" w:hAnsiTheme="minorEastAsia" w:eastAsiaTheme="minorEastAsia"/>
                <w:color w:val="000000"/>
                <w:kern w:val="0"/>
                <w:sz w:val="18"/>
                <w:szCs w:val="18"/>
              </w:rPr>
              <w:t>366</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280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54183.36</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发展型</w:t>
            </w:r>
          </w:p>
        </w:tc>
        <w:tc>
          <w:tcPr>
            <w:tcW w:w="170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3"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龙背村</w:t>
            </w:r>
          </w:p>
        </w:tc>
        <w:tc>
          <w:tcPr>
            <w:tcW w:w="711"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sz w:val="18"/>
                <w:szCs w:val="18"/>
              </w:rPr>
            </w:pPr>
            <w:r>
              <w:rPr>
                <w:rFonts w:cs="宋体" w:asciiTheme="minorEastAsia" w:hAnsiTheme="minorEastAsia" w:eastAsiaTheme="minorEastAsia"/>
                <w:color w:val="000000"/>
                <w:kern w:val="0"/>
                <w:sz w:val="18"/>
                <w:szCs w:val="18"/>
              </w:rPr>
              <w:t>2715</w:t>
            </w:r>
          </w:p>
        </w:tc>
        <w:tc>
          <w:tcPr>
            <w:tcW w:w="709"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sz w:val="18"/>
                <w:szCs w:val="18"/>
              </w:rPr>
            </w:pPr>
            <w:r>
              <w:rPr>
                <w:rFonts w:cs="宋体" w:asciiTheme="minorEastAsia" w:hAnsiTheme="minorEastAsia" w:eastAsiaTheme="minorEastAsia"/>
                <w:color w:val="000000"/>
                <w:kern w:val="0"/>
                <w:sz w:val="18"/>
                <w:szCs w:val="18"/>
              </w:rPr>
              <w:t>20</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30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14631.89</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发展型</w:t>
            </w:r>
          </w:p>
        </w:tc>
        <w:tc>
          <w:tcPr>
            <w:tcW w:w="170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3"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樟高村</w:t>
            </w:r>
          </w:p>
        </w:tc>
        <w:tc>
          <w:tcPr>
            <w:tcW w:w="711"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sz w:val="18"/>
                <w:szCs w:val="18"/>
              </w:rPr>
            </w:pPr>
            <w:r>
              <w:rPr>
                <w:rFonts w:cs="宋体" w:asciiTheme="minorEastAsia" w:hAnsiTheme="minorEastAsia" w:eastAsiaTheme="minorEastAsia"/>
                <w:color w:val="000000"/>
                <w:kern w:val="0"/>
                <w:sz w:val="18"/>
                <w:szCs w:val="18"/>
              </w:rPr>
              <w:t>2245</w:t>
            </w:r>
          </w:p>
        </w:tc>
        <w:tc>
          <w:tcPr>
            <w:tcW w:w="709"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sz w:val="18"/>
                <w:szCs w:val="18"/>
              </w:rPr>
            </w:pPr>
            <w:r>
              <w:rPr>
                <w:rFonts w:cs="宋体" w:asciiTheme="minorEastAsia" w:hAnsiTheme="minorEastAsia" w:eastAsiaTheme="minorEastAsia"/>
                <w:color w:val="000000"/>
                <w:kern w:val="0"/>
                <w:sz w:val="18"/>
                <w:szCs w:val="18"/>
              </w:rPr>
              <w:t>15</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20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24416.05</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发展型</w:t>
            </w:r>
          </w:p>
        </w:tc>
        <w:tc>
          <w:tcPr>
            <w:tcW w:w="170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7" w:hRule="atLeast"/>
          <w:jc w:val="center"/>
        </w:trPr>
        <w:tc>
          <w:tcPr>
            <w:tcW w:w="992" w:type="dxa"/>
            <w:vMerge w:val="restart"/>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南田镇（</w:t>
            </w:r>
            <w:r>
              <w:rPr>
                <w:rFonts w:cs="宋体" w:asciiTheme="minorEastAsia" w:hAnsiTheme="minorEastAsia" w:eastAsiaTheme="minorEastAsia"/>
                <w:kern w:val="0"/>
                <w:sz w:val="18"/>
                <w:szCs w:val="18"/>
              </w:rPr>
              <w:t>14个</w:t>
            </w:r>
            <w:r>
              <w:rPr>
                <w:rFonts w:hint="eastAsia" w:cs="宋体" w:asciiTheme="minorEastAsia" w:hAnsiTheme="minorEastAsia" w:eastAsiaTheme="minorEastAsia"/>
                <w:kern w:val="0"/>
                <w:sz w:val="18"/>
                <w:szCs w:val="18"/>
              </w:rPr>
              <w:t>村）</w:t>
            </w: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郑岙村</w:t>
            </w:r>
          </w:p>
        </w:tc>
        <w:tc>
          <w:tcPr>
            <w:tcW w:w="71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asciiTheme="minorEastAsia" w:hAnsiTheme="minorEastAsia" w:eastAsiaTheme="minorEastAsia" w:cstheme="minorBidi"/>
                <w:sz w:val="18"/>
                <w:szCs w:val="18"/>
              </w:rPr>
              <w:t>198</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asciiTheme="minorEastAsia" w:hAnsiTheme="minorEastAsia" w:eastAsiaTheme="minorEastAsia" w:cstheme="minorBidi"/>
                <w:sz w:val="18"/>
                <w:szCs w:val="18"/>
              </w:rPr>
              <w:t>198</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220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61325.73 </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noWrap/>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7"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富民村</w:t>
            </w:r>
          </w:p>
        </w:tc>
        <w:tc>
          <w:tcPr>
            <w:tcW w:w="711"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cstheme="minorBidi"/>
                <w:sz w:val="18"/>
                <w:szCs w:val="18"/>
              </w:rPr>
              <w:t>600</w:t>
            </w:r>
          </w:p>
        </w:tc>
        <w:tc>
          <w:tcPr>
            <w:tcW w:w="709"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cstheme="minorBidi"/>
                <w:sz w:val="18"/>
                <w:szCs w:val="18"/>
              </w:rPr>
              <w:t>600</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680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57226.99 </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noWrap/>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7"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光明村</w:t>
            </w:r>
          </w:p>
        </w:tc>
        <w:tc>
          <w:tcPr>
            <w:tcW w:w="711"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cstheme="minorBidi"/>
                <w:sz w:val="18"/>
                <w:szCs w:val="18"/>
              </w:rPr>
              <w:t>231</w:t>
            </w:r>
          </w:p>
        </w:tc>
        <w:tc>
          <w:tcPr>
            <w:tcW w:w="709"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cstheme="minorBidi"/>
                <w:sz w:val="18"/>
                <w:szCs w:val="18"/>
              </w:rPr>
              <w:t>231</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280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69817.10 </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noWrap/>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7"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高新村</w:t>
            </w:r>
          </w:p>
        </w:tc>
        <w:tc>
          <w:tcPr>
            <w:tcW w:w="711"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cstheme="minorBidi"/>
                <w:sz w:val="18"/>
                <w:szCs w:val="18"/>
              </w:rPr>
              <w:t>310</w:t>
            </w:r>
          </w:p>
        </w:tc>
        <w:tc>
          <w:tcPr>
            <w:tcW w:w="709"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cstheme="minorBidi"/>
                <w:sz w:val="18"/>
                <w:szCs w:val="18"/>
              </w:rPr>
              <w:t>310</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380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100923.98 </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noWrap/>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7"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十源村</w:t>
            </w:r>
          </w:p>
        </w:tc>
        <w:tc>
          <w:tcPr>
            <w:tcW w:w="711"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cstheme="minorBidi"/>
                <w:sz w:val="18"/>
                <w:szCs w:val="18"/>
              </w:rPr>
              <w:t>717</w:t>
            </w:r>
          </w:p>
        </w:tc>
        <w:tc>
          <w:tcPr>
            <w:tcW w:w="709"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cstheme="minorBidi"/>
                <w:sz w:val="18"/>
                <w:szCs w:val="18"/>
              </w:rPr>
              <w:t>717</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760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149379.33 </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noWrap/>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7"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呈段村</w:t>
            </w:r>
          </w:p>
        </w:tc>
        <w:tc>
          <w:tcPr>
            <w:tcW w:w="711"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cstheme="minorBidi"/>
                <w:sz w:val="18"/>
                <w:szCs w:val="18"/>
              </w:rPr>
              <w:t>298</w:t>
            </w:r>
          </w:p>
        </w:tc>
        <w:tc>
          <w:tcPr>
            <w:tcW w:w="709"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cstheme="minorBidi"/>
                <w:sz w:val="18"/>
                <w:szCs w:val="18"/>
              </w:rPr>
              <w:t>298</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360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57978.40 </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noWrap/>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7"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新岳村</w:t>
            </w:r>
          </w:p>
        </w:tc>
        <w:tc>
          <w:tcPr>
            <w:tcW w:w="711"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cstheme="minorBidi"/>
                <w:sz w:val="18"/>
                <w:szCs w:val="18"/>
              </w:rPr>
              <w:t>1012</w:t>
            </w:r>
          </w:p>
        </w:tc>
        <w:tc>
          <w:tcPr>
            <w:tcW w:w="709"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cstheme="minorBidi"/>
                <w:sz w:val="18"/>
                <w:szCs w:val="18"/>
              </w:rPr>
              <w:t>1012</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1180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4178.19 </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发展型</w:t>
            </w:r>
          </w:p>
        </w:tc>
        <w:tc>
          <w:tcPr>
            <w:tcW w:w="1701" w:type="dxa"/>
            <w:shd w:val="clear" w:color="auto" w:fill="auto"/>
            <w:noWrap/>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7"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龙上村</w:t>
            </w:r>
          </w:p>
        </w:tc>
        <w:tc>
          <w:tcPr>
            <w:tcW w:w="711"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cstheme="minorBidi"/>
                <w:sz w:val="18"/>
                <w:szCs w:val="18"/>
              </w:rPr>
              <w:t>70</w:t>
            </w:r>
          </w:p>
        </w:tc>
        <w:tc>
          <w:tcPr>
            <w:tcW w:w="709"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cstheme="minorBidi"/>
                <w:sz w:val="18"/>
                <w:szCs w:val="18"/>
              </w:rPr>
              <w:t>3</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10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381.03 </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noWrap/>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7"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龙岙村</w:t>
            </w:r>
          </w:p>
        </w:tc>
        <w:tc>
          <w:tcPr>
            <w:tcW w:w="711"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cstheme="minorBidi"/>
                <w:sz w:val="18"/>
                <w:szCs w:val="18"/>
              </w:rPr>
              <w:t>80</w:t>
            </w:r>
          </w:p>
        </w:tc>
        <w:tc>
          <w:tcPr>
            <w:tcW w:w="709"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cstheme="minorBidi"/>
                <w:sz w:val="18"/>
                <w:szCs w:val="18"/>
              </w:rPr>
              <w:t>10</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20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2497.37 </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noWrap/>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7"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梅树村</w:t>
            </w:r>
          </w:p>
        </w:tc>
        <w:tc>
          <w:tcPr>
            <w:tcW w:w="711"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cstheme="minorBidi"/>
                <w:sz w:val="18"/>
                <w:szCs w:val="18"/>
              </w:rPr>
              <w:t>566</w:t>
            </w:r>
          </w:p>
        </w:tc>
        <w:tc>
          <w:tcPr>
            <w:tcW w:w="709"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cstheme="minorBidi"/>
                <w:sz w:val="18"/>
                <w:szCs w:val="18"/>
              </w:rPr>
              <w:t>3</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12</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71221.73 </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居民控制区</w:t>
            </w:r>
            <w:r>
              <w:rPr>
                <w:rFonts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noWrap/>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7"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武阳村</w:t>
            </w:r>
          </w:p>
        </w:tc>
        <w:tc>
          <w:tcPr>
            <w:tcW w:w="711"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cstheme="minorBidi"/>
                <w:sz w:val="18"/>
                <w:szCs w:val="18"/>
              </w:rPr>
              <w:t>327</w:t>
            </w:r>
          </w:p>
        </w:tc>
        <w:tc>
          <w:tcPr>
            <w:tcW w:w="709"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cstheme="minorBidi"/>
                <w:sz w:val="18"/>
                <w:szCs w:val="18"/>
              </w:rPr>
              <w:t>26</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26</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50196.62 </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居民控制区</w:t>
            </w:r>
            <w:r>
              <w:rPr>
                <w:rFonts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noWrap/>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7"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南岳村</w:t>
            </w:r>
          </w:p>
        </w:tc>
        <w:tc>
          <w:tcPr>
            <w:tcW w:w="711"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cstheme="minorBidi"/>
                <w:sz w:val="18"/>
                <w:szCs w:val="18"/>
              </w:rPr>
              <w:t>105</w:t>
            </w:r>
          </w:p>
        </w:tc>
        <w:tc>
          <w:tcPr>
            <w:tcW w:w="709"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cstheme="minorBidi"/>
                <w:sz w:val="18"/>
                <w:szCs w:val="18"/>
              </w:rPr>
              <w:t>105</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150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8762.51 </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noWrap/>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7"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黄寮村</w:t>
            </w:r>
          </w:p>
        </w:tc>
        <w:tc>
          <w:tcPr>
            <w:tcW w:w="711"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cstheme="minorBidi"/>
                <w:sz w:val="18"/>
                <w:szCs w:val="18"/>
              </w:rPr>
              <w:t>55</w:t>
            </w:r>
          </w:p>
        </w:tc>
        <w:tc>
          <w:tcPr>
            <w:tcW w:w="709"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cstheme="minorBidi"/>
                <w:sz w:val="18"/>
                <w:szCs w:val="18"/>
              </w:rPr>
              <w:t>55</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80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48248.52 </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noWrap/>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7"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西湖村</w:t>
            </w:r>
          </w:p>
        </w:tc>
        <w:tc>
          <w:tcPr>
            <w:tcW w:w="711"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cstheme="minorBidi"/>
                <w:sz w:val="18"/>
                <w:szCs w:val="18"/>
              </w:rPr>
              <w:t>225</w:t>
            </w:r>
          </w:p>
        </w:tc>
        <w:tc>
          <w:tcPr>
            <w:tcW w:w="709"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cstheme="minorBidi"/>
                <w:sz w:val="18"/>
                <w:szCs w:val="18"/>
              </w:rPr>
              <w:t>225</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260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6576.26 </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noWrap/>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7" w:hRule="atLeast"/>
          <w:jc w:val="center"/>
        </w:trPr>
        <w:tc>
          <w:tcPr>
            <w:tcW w:w="992" w:type="dxa"/>
            <w:vMerge w:val="restart"/>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黄坦镇（</w:t>
            </w:r>
            <w:r>
              <w:rPr>
                <w:rFonts w:cs="宋体" w:asciiTheme="minorEastAsia" w:hAnsiTheme="minorEastAsia" w:eastAsiaTheme="minorEastAsia"/>
                <w:kern w:val="0"/>
                <w:sz w:val="18"/>
                <w:szCs w:val="18"/>
              </w:rPr>
              <w:t>7个村）</w:t>
            </w: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黄垟村</w:t>
            </w:r>
          </w:p>
        </w:tc>
        <w:tc>
          <w:tcPr>
            <w:tcW w:w="711"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sz w:val="18"/>
                <w:szCs w:val="18"/>
              </w:rPr>
              <w:t>330</w:t>
            </w:r>
          </w:p>
        </w:tc>
        <w:tc>
          <w:tcPr>
            <w:tcW w:w="709"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sz w:val="18"/>
                <w:szCs w:val="18"/>
              </w:rPr>
              <w:t>83</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100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530.57 </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noWrap/>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7"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双溪村</w:t>
            </w:r>
          </w:p>
        </w:tc>
        <w:tc>
          <w:tcPr>
            <w:tcW w:w="711"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sz w:val="18"/>
                <w:szCs w:val="18"/>
              </w:rPr>
              <w:t>88</w:t>
            </w:r>
          </w:p>
        </w:tc>
        <w:tc>
          <w:tcPr>
            <w:tcW w:w="709"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sz w:val="18"/>
                <w:szCs w:val="18"/>
              </w:rPr>
              <w:t>25</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34515.49 </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居民衰减区</w:t>
            </w:r>
            <w:r>
              <w:rPr>
                <w:rFonts w:cs="宋体" w:asciiTheme="minorEastAsia" w:hAnsiTheme="minorEastAsia" w:eastAsiaTheme="minorEastAsia"/>
                <w:kern w:val="0"/>
                <w:sz w:val="18"/>
                <w:szCs w:val="18"/>
              </w:rPr>
              <w:t>/居民控制区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疏解型</w:t>
            </w:r>
          </w:p>
        </w:tc>
        <w:tc>
          <w:tcPr>
            <w:tcW w:w="1701" w:type="dxa"/>
            <w:shd w:val="clear" w:color="auto" w:fill="auto"/>
            <w:noWrap/>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其中处于居民控制区范围内的居民点为控制型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7"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塘垄民族村</w:t>
            </w:r>
          </w:p>
        </w:tc>
        <w:tc>
          <w:tcPr>
            <w:tcW w:w="711"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sz w:val="18"/>
                <w:szCs w:val="18"/>
              </w:rPr>
              <w:t>352</w:t>
            </w:r>
          </w:p>
        </w:tc>
        <w:tc>
          <w:tcPr>
            <w:tcW w:w="709"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sz w:val="18"/>
                <w:szCs w:val="18"/>
              </w:rPr>
              <w:t>352</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330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13309.05 </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居民衰减区</w:t>
            </w:r>
            <w:r>
              <w:rPr>
                <w:rFonts w:cs="宋体" w:asciiTheme="minorEastAsia" w:hAnsiTheme="minorEastAsia" w:eastAsiaTheme="minorEastAsia"/>
                <w:kern w:val="0"/>
                <w:sz w:val="18"/>
                <w:szCs w:val="18"/>
              </w:rPr>
              <w:t>/居民控制区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noWrap/>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其中处于居民衰减区范围内的居民点为疏解型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7"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云湖村</w:t>
            </w:r>
          </w:p>
        </w:tc>
        <w:tc>
          <w:tcPr>
            <w:tcW w:w="711"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sz w:val="18"/>
                <w:szCs w:val="18"/>
              </w:rPr>
              <w:t>333</w:t>
            </w:r>
          </w:p>
        </w:tc>
        <w:tc>
          <w:tcPr>
            <w:tcW w:w="709"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sz w:val="18"/>
                <w:szCs w:val="18"/>
              </w:rPr>
              <w:t>86</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60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25145.07 </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居民控制区</w:t>
            </w:r>
            <w:r>
              <w:rPr>
                <w:rFonts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noWrap/>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7"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江源村</w:t>
            </w:r>
          </w:p>
        </w:tc>
        <w:tc>
          <w:tcPr>
            <w:tcW w:w="711"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sz w:val="18"/>
                <w:szCs w:val="18"/>
              </w:rPr>
              <w:t>105</w:t>
            </w:r>
          </w:p>
        </w:tc>
        <w:tc>
          <w:tcPr>
            <w:tcW w:w="709"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sz w:val="18"/>
                <w:szCs w:val="18"/>
              </w:rPr>
              <w:t>35</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35</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20451.01 </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居民控制区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noWrap/>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7"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稽垟村（原支垟村）</w:t>
            </w:r>
          </w:p>
        </w:tc>
        <w:tc>
          <w:tcPr>
            <w:tcW w:w="711"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sz w:val="18"/>
                <w:szCs w:val="18"/>
              </w:rPr>
              <w:t>965</w:t>
            </w:r>
          </w:p>
        </w:tc>
        <w:tc>
          <w:tcPr>
            <w:tcW w:w="709"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sz w:val="18"/>
                <w:szCs w:val="18"/>
              </w:rPr>
              <w:t>232</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260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8143.18 </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noWrap/>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7"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塘底垟村</w:t>
            </w:r>
          </w:p>
        </w:tc>
        <w:tc>
          <w:tcPr>
            <w:tcW w:w="711"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sz w:val="18"/>
                <w:szCs w:val="18"/>
              </w:rPr>
              <w:t>256</w:t>
            </w:r>
          </w:p>
        </w:tc>
        <w:tc>
          <w:tcPr>
            <w:tcW w:w="709"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sz w:val="18"/>
                <w:szCs w:val="18"/>
              </w:rPr>
              <w:t>45</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80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15301.38 </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noWrap/>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7" w:hRule="atLeast"/>
          <w:jc w:val="center"/>
        </w:trPr>
        <w:tc>
          <w:tcPr>
            <w:tcW w:w="992"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西坑畲族镇（</w:t>
            </w:r>
            <w:r>
              <w:rPr>
                <w:rFonts w:cs="宋体" w:asciiTheme="minorEastAsia" w:hAnsiTheme="minorEastAsia" w:eastAsiaTheme="minorEastAsia"/>
                <w:kern w:val="0"/>
                <w:sz w:val="18"/>
                <w:szCs w:val="18"/>
              </w:rPr>
              <w:t>1个</w:t>
            </w:r>
            <w:r>
              <w:rPr>
                <w:rFonts w:hint="eastAsia" w:cs="宋体" w:asciiTheme="minorEastAsia" w:hAnsiTheme="minorEastAsia" w:eastAsiaTheme="minorEastAsia"/>
                <w:kern w:val="0"/>
                <w:sz w:val="18"/>
                <w:szCs w:val="18"/>
              </w:rPr>
              <w:t>村）</w:t>
            </w: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梧溪村</w:t>
            </w:r>
          </w:p>
        </w:tc>
        <w:tc>
          <w:tcPr>
            <w:tcW w:w="711"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585</w:t>
            </w:r>
          </w:p>
        </w:tc>
        <w:tc>
          <w:tcPr>
            <w:tcW w:w="709"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13</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20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2504.41</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noWrap/>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7" w:hRule="atLeast"/>
          <w:jc w:val="center"/>
        </w:trPr>
        <w:tc>
          <w:tcPr>
            <w:tcW w:w="992" w:type="dxa"/>
            <w:vMerge w:val="restart"/>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百丈漈镇（</w:t>
            </w:r>
            <w:r>
              <w:rPr>
                <w:rFonts w:cs="宋体" w:asciiTheme="minorEastAsia" w:hAnsiTheme="minorEastAsia" w:eastAsiaTheme="minorEastAsia"/>
                <w:kern w:val="0"/>
                <w:sz w:val="18"/>
                <w:szCs w:val="18"/>
              </w:rPr>
              <w:t>3个村）</w:t>
            </w: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西段村</w:t>
            </w:r>
          </w:p>
        </w:tc>
        <w:tc>
          <w:tcPr>
            <w:tcW w:w="711"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cstheme="minorBidi"/>
                <w:sz w:val="18"/>
                <w:szCs w:val="18"/>
              </w:rPr>
              <w:t>413</w:t>
            </w:r>
          </w:p>
        </w:tc>
        <w:tc>
          <w:tcPr>
            <w:tcW w:w="709"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cstheme="minorBidi"/>
                <w:sz w:val="18"/>
                <w:szCs w:val="18"/>
              </w:rPr>
              <w:t>13</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13</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687.12 </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居民控制区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noWrap/>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716"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left"/>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篁庄村</w:t>
            </w:r>
          </w:p>
        </w:tc>
        <w:tc>
          <w:tcPr>
            <w:tcW w:w="71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asciiTheme="minorEastAsia" w:hAnsiTheme="minorEastAsia" w:eastAsiaTheme="minorEastAsia" w:cstheme="minorBidi"/>
                <w:sz w:val="18"/>
                <w:szCs w:val="18"/>
              </w:rPr>
              <w:t>430</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asciiTheme="minorEastAsia" w:hAnsiTheme="minorEastAsia" w:eastAsiaTheme="minorEastAsia" w:cstheme="minorBidi"/>
                <w:sz w:val="18"/>
                <w:szCs w:val="18"/>
              </w:rPr>
              <w:t>109</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89</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14152.04 </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居民衰减区</w:t>
            </w:r>
            <w:r>
              <w:rPr>
                <w:rFonts w:cs="宋体" w:asciiTheme="minorEastAsia" w:hAnsiTheme="minorEastAsia" w:eastAsiaTheme="minorEastAsia"/>
                <w:kern w:val="0"/>
                <w:sz w:val="18"/>
                <w:szCs w:val="18"/>
              </w:rPr>
              <w:t>/居民控制区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其中处于居民衰减区内的居民点为疏解型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828"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left"/>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大会村（底大会、外大会）</w:t>
            </w:r>
          </w:p>
        </w:tc>
        <w:tc>
          <w:tcPr>
            <w:tcW w:w="71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asciiTheme="minorEastAsia" w:hAnsiTheme="minorEastAsia" w:eastAsiaTheme="minorEastAsia" w:cstheme="minorBidi"/>
                <w:sz w:val="18"/>
                <w:szCs w:val="18"/>
              </w:rPr>
              <w:t>4123</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asciiTheme="minorEastAsia" w:hAnsiTheme="minorEastAsia" w:eastAsiaTheme="minorEastAsia" w:cstheme="minorBidi"/>
                <w:sz w:val="18"/>
                <w:szCs w:val="18"/>
              </w:rPr>
              <w:t>270</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270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4888.</w:t>
            </w:r>
          </w:p>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59 </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居民控制区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noWrap/>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73" w:hRule="atLeast"/>
          <w:jc w:val="center"/>
        </w:trPr>
        <w:tc>
          <w:tcPr>
            <w:tcW w:w="992" w:type="dxa"/>
            <w:vMerge w:val="restart"/>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巨屿镇（</w:t>
            </w:r>
            <w:r>
              <w:rPr>
                <w:rFonts w:cs="宋体" w:asciiTheme="minorEastAsia" w:hAnsiTheme="minorEastAsia" w:eastAsiaTheme="minorEastAsia"/>
                <w:kern w:val="0"/>
                <w:sz w:val="18"/>
                <w:szCs w:val="18"/>
              </w:rPr>
              <w:t>2个村）</w:t>
            </w: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黄龙村</w:t>
            </w:r>
          </w:p>
        </w:tc>
        <w:tc>
          <w:tcPr>
            <w:tcW w:w="711"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sz w:val="18"/>
                <w:szCs w:val="18"/>
              </w:rPr>
              <w:t>137</w:t>
            </w:r>
          </w:p>
        </w:tc>
        <w:tc>
          <w:tcPr>
            <w:tcW w:w="709"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sz w:val="18"/>
                <w:szCs w:val="18"/>
              </w:rPr>
              <w:t>13</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30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440.10 </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noWrap/>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688"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left"/>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方前村（原双尖村）</w:t>
            </w:r>
          </w:p>
        </w:tc>
        <w:tc>
          <w:tcPr>
            <w:tcW w:w="711"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sz w:val="18"/>
                <w:szCs w:val="18"/>
              </w:rPr>
              <w:t>932</w:t>
            </w:r>
          </w:p>
        </w:tc>
        <w:tc>
          <w:tcPr>
            <w:tcW w:w="709" w:type="dxa"/>
            <w:shd w:val="clear" w:color="auto" w:fill="auto"/>
            <w:vAlign w:val="center"/>
          </w:tcPr>
          <w:p>
            <w:pPr>
              <w:widowControl/>
              <w:adjustRightInd w:val="0"/>
              <w:snapToGrid w:val="0"/>
              <w:spacing w:line="264" w:lineRule="auto"/>
              <w:ind w:firstLine="0" w:firstLineChars="0"/>
              <w:jc w:val="center"/>
              <w:rPr>
                <w:rFonts w:asciiTheme="minorEastAsia" w:hAnsiTheme="minorEastAsia" w:eastAsiaTheme="minorEastAsia" w:cstheme="minorBidi"/>
                <w:sz w:val="18"/>
                <w:szCs w:val="18"/>
              </w:rPr>
            </w:pPr>
            <w:r>
              <w:rPr>
                <w:rFonts w:asciiTheme="minorEastAsia" w:hAnsiTheme="minorEastAsia" w:eastAsiaTheme="minorEastAsia"/>
                <w:sz w:val="18"/>
                <w:szCs w:val="18"/>
              </w:rPr>
              <w:t>20</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40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6614.28 </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noWrap/>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78" w:hRule="atLeast"/>
          <w:jc w:val="center"/>
        </w:trPr>
        <w:tc>
          <w:tcPr>
            <w:tcW w:w="992" w:type="dxa"/>
            <w:vMerge w:val="restart"/>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二源镇（</w:t>
            </w:r>
            <w:r>
              <w:rPr>
                <w:rFonts w:cs="宋体" w:asciiTheme="minorEastAsia" w:hAnsiTheme="minorEastAsia" w:eastAsiaTheme="minorEastAsia"/>
                <w:kern w:val="0"/>
                <w:sz w:val="18"/>
                <w:szCs w:val="18"/>
              </w:rPr>
              <w:t>9个村）</w:t>
            </w: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山头村</w:t>
            </w:r>
          </w:p>
        </w:tc>
        <w:tc>
          <w:tcPr>
            <w:tcW w:w="71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asciiTheme="minorEastAsia" w:hAnsiTheme="minorEastAsia" w:eastAsiaTheme="minorEastAsia"/>
                <w:sz w:val="18"/>
                <w:szCs w:val="18"/>
              </w:rPr>
              <w:t>210</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asciiTheme="minorEastAsia" w:hAnsiTheme="minorEastAsia" w:eastAsiaTheme="minorEastAsia"/>
                <w:sz w:val="18"/>
                <w:szCs w:val="18"/>
              </w:rPr>
              <w:t>20</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30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9622.38 </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noWrap/>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78"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left"/>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谈阳村</w:t>
            </w:r>
          </w:p>
        </w:tc>
        <w:tc>
          <w:tcPr>
            <w:tcW w:w="71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asciiTheme="minorEastAsia" w:hAnsiTheme="minorEastAsia" w:eastAsiaTheme="minorEastAsia"/>
                <w:sz w:val="18"/>
                <w:szCs w:val="18"/>
              </w:rPr>
              <w:t>420</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asciiTheme="minorEastAsia" w:hAnsiTheme="minorEastAsia" w:eastAsiaTheme="minorEastAsia"/>
                <w:sz w:val="18"/>
                <w:szCs w:val="18"/>
              </w:rPr>
              <w:t>400</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460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132894.79 </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noWrap/>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78"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left"/>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朱山村</w:t>
            </w:r>
          </w:p>
        </w:tc>
        <w:tc>
          <w:tcPr>
            <w:tcW w:w="71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asciiTheme="minorEastAsia" w:hAnsiTheme="minorEastAsia" w:eastAsiaTheme="minorEastAsia"/>
                <w:sz w:val="18"/>
                <w:szCs w:val="18"/>
              </w:rPr>
              <w:t>278</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asciiTheme="minorEastAsia" w:hAnsiTheme="minorEastAsia" w:eastAsiaTheme="minorEastAsia"/>
                <w:sz w:val="18"/>
                <w:szCs w:val="18"/>
              </w:rPr>
              <w:t>278</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320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32230.33 </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noWrap/>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78"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left"/>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岭头村</w:t>
            </w:r>
          </w:p>
        </w:tc>
        <w:tc>
          <w:tcPr>
            <w:tcW w:w="71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asciiTheme="minorEastAsia" w:hAnsiTheme="minorEastAsia" w:eastAsiaTheme="minorEastAsia"/>
                <w:sz w:val="18"/>
                <w:szCs w:val="18"/>
              </w:rPr>
              <w:t>130</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asciiTheme="minorEastAsia" w:hAnsiTheme="minorEastAsia" w:eastAsiaTheme="minorEastAsia"/>
                <w:sz w:val="18"/>
                <w:szCs w:val="18"/>
              </w:rPr>
              <w:t>130</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140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53348.68 </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noWrap/>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78"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left"/>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庄后村</w:t>
            </w:r>
          </w:p>
        </w:tc>
        <w:tc>
          <w:tcPr>
            <w:tcW w:w="71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asciiTheme="minorEastAsia" w:hAnsiTheme="minorEastAsia" w:eastAsiaTheme="minorEastAsia"/>
                <w:sz w:val="18"/>
                <w:szCs w:val="18"/>
              </w:rPr>
              <w:t>293</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asciiTheme="minorEastAsia" w:hAnsiTheme="minorEastAsia" w:eastAsiaTheme="minorEastAsia"/>
                <w:sz w:val="18"/>
                <w:szCs w:val="18"/>
              </w:rPr>
              <w:t>293</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300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49110.97 </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noWrap/>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00"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left"/>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榅树根村</w:t>
            </w:r>
          </w:p>
        </w:tc>
        <w:tc>
          <w:tcPr>
            <w:tcW w:w="71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asciiTheme="minorEastAsia" w:hAnsiTheme="minorEastAsia" w:eastAsiaTheme="minorEastAsia"/>
                <w:sz w:val="18"/>
                <w:szCs w:val="18"/>
              </w:rPr>
              <w:t>249</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asciiTheme="minorEastAsia" w:hAnsiTheme="minorEastAsia" w:eastAsiaTheme="minorEastAsia"/>
                <w:sz w:val="18"/>
                <w:szCs w:val="18"/>
              </w:rPr>
              <w:t>50</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55</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40158.78 </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noWrap/>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13"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left"/>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二源村</w:t>
            </w:r>
          </w:p>
        </w:tc>
        <w:tc>
          <w:tcPr>
            <w:tcW w:w="71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asciiTheme="minorEastAsia" w:hAnsiTheme="minorEastAsia" w:eastAsiaTheme="minorEastAsia"/>
                <w:sz w:val="18"/>
                <w:szCs w:val="18"/>
              </w:rPr>
              <w:t>1300</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asciiTheme="minorEastAsia" w:hAnsiTheme="minorEastAsia" w:eastAsiaTheme="minorEastAsia"/>
                <w:sz w:val="18"/>
                <w:szCs w:val="18"/>
              </w:rPr>
              <w:t>8</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30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3183.79 </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发展型</w:t>
            </w:r>
          </w:p>
        </w:tc>
        <w:tc>
          <w:tcPr>
            <w:tcW w:w="1701" w:type="dxa"/>
            <w:shd w:val="clear" w:color="auto" w:fill="auto"/>
            <w:noWrap/>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74"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left"/>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新东村</w:t>
            </w:r>
          </w:p>
        </w:tc>
        <w:tc>
          <w:tcPr>
            <w:tcW w:w="71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asciiTheme="minorEastAsia" w:hAnsiTheme="minorEastAsia" w:eastAsiaTheme="minorEastAsia"/>
                <w:sz w:val="18"/>
                <w:szCs w:val="18"/>
              </w:rPr>
              <w:t>220</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asciiTheme="minorEastAsia" w:hAnsiTheme="minorEastAsia" w:eastAsiaTheme="minorEastAsia"/>
                <w:sz w:val="18"/>
                <w:szCs w:val="18"/>
              </w:rPr>
              <w:t>220</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280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135838.01 </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noWrap/>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78"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left"/>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陈钟村</w:t>
            </w:r>
          </w:p>
        </w:tc>
        <w:tc>
          <w:tcPr>
            <w:tcW w:w="71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asciiTheme="minorEastAsia" w:hAnsiTheme="minorEastAsia" w:eastAsiaTheme="minorEastAsia"/>
                <w:sz w:val="18"/>
                <w:szCs w:val="18"/>
              </w:rPr>
              <w:t>70</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asciiTheme="minorEastAsia" w:hAnsiTheme="minorEastAsia" w:eastAsiaTheme="minorEastAsia"/>
                <w:sz w:val="18"/>
                <w:szCs w:val="18"/>
              </w:rPr>
              <w:t>70</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100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29961.59 </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noWrap/>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78" w:hRule="atLeast"/>
          <w:jc w:val="center"/>
        </w:trPr>
        <w:tc>
          <w:tcPr>
            <w:tcW w:w="992" w:type="dxa"/>
            <w:vMerge w:val="restart"/>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铜铃山镇（</w:t>
            </w:r>
            <w:r>
              <w:rPr>
                <w:rFonts w:cs="宋体" w:asciiTheme="minorEastAsia" w:hAnsiTheme="minorEastAsia" w:eastAsiaTheme="minorEastAsia"/>
                <w:kern w:val="0"/>
                <w:sz w:val="18"/>
                <w:szCs w:val="18"/>
              </w:rPr>
              <w:t>7个</w:t>
            </w:r>
            <w:r>
              <w:rPr>
                <w:rFonts w:hint="eastAsia" w:cs="宋体" w:asciiTheme="minorEastAsia" w:hAnsiTheme="minorEastAsia" w:eastAsiaTheme="minorEastAsia"/>
                <w:kern w:val="0"/>
                <w:sz w:val="18"/>
                <w:szCs w:val="18"/>
              </w:rPr>
              <w:t>村）</w:t>
            </w: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下垟村</w:t>
            </w:r>
          </w:p>
        </w:tc>
        <w:tc>
          <w:tcPr>
            <w:tcW w:w="71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asciiTheme="minorEastAsia" w:hAnsiTheme="minorEastAsia" w:eastAsiaTheme="minorEastAsia"/>
                <w:sz w:val="18"/>
                <w:szCs w:val="18"/>
              </w:rPr>
              <w:t>324</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asciiTheme="minorEastAsia" w:hAnsiTheme="minorEastAsia" w:eastAsiaTheme="minorEastAsia"/>
                <w:sz w:val="18"/>
                <w:szCs w:val="18"/>
              </w:rPr>
              <w:t>40</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40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26009.97</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居民控制区</w:t>
            </w:r>
            <w:r>
              <w:rPr>
                <w:rFonts w:cs="宋体" w:asciiTheme="minorEastAsia" w:hAnsiTheme="minorEastAsia" w:eastAsiaTheme="minorEastAsia"/>
                <w:kern w:val="0"/>
                <w:sz w:val="18"/>
                <w:szCs w:val="18"/>
              </w:rPr>
              <w:t>/居民发展区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noWrap/>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724"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left"/>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都铺村</w:t>
            </w:r>
          </w:p>
        </w:tc>
        <w:tc>
          <w:tcPr>
            <w:tcW w:w="71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asciiTheme="minorEastAsia" w:hAnsiTheme="minorEastAsia" w:eastAsiaTheme="minorEastAsia"/>
                <w:sz w:val="18"/>
                <w:szCs w:val="18"/>
              </w:rPr>
              <w:t>83</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asciiTheme="minorEastAsia" w:hAnsiTheme="minorEastAsia" w:eastAsiaTheme="minorEastAsia"/>
                <w:sz w:val="18"/>
                <w:szCs w:val="18"/>
              </w:rPr>
              <w:t>83</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78</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30020.34</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居民衰减区</w:t>
            </w:r>
            <w:r>
              <w:rPr>
                <w:rFonts w:cs="宋体" w:asciiTheme="minorEastAsia" w:hAnsiTheme="minorEastAsia" w:eastAsiaTheme="minorEastAsia"/>
                <w:kern w:val="0"/>
                <w:sz w:val="18"/>
                <w:szCs w:val="18"/>
              </w:rPr>
              <w:t>/居民控制区/居民发展区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其中处于居民衰减区范围内的居民点为疏解型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9"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left"/>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铜铃村</w:t>
            </w:r>
          </w:p>
        </w:tc>
        <w:tc>
          <w:tcPr>
            <w:tcW w:w="71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asciiTheme="minorEastAsia" w:hAnsiTheme="minorEastAsia" w:eastAsiaTheme="minorEastAsia"/>
                <w:sz w:val="18"/>
                <w:szCs w:val="18"/>
              </w:rPr>
              <w:t>278</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asciiTheme="minorEastAsia" w:hAnsiTheme="minorEastAsia" w:eastAsiaTheme="minorEastAsia"/>
                <w:sz w:val="18"/>
                <w:szCs w:val="18"/>
              </w:rPr>
              <w:t>190</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180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12510.14</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居民控制区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890"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left"/>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岭后村</w:t>
            </w:r>
          </w:p>
        </w:tc>
        <w:tc>
          <w:tcPr>
            <w:tcW w:w="71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asciiTheme="minorEastAsia" w:hAnsiTheme="minorEastAsia" w:eastAsiaTheme="minorEastAsia"/>
                <w:sz w:val="18"/>
                <w:szCs w:val="18"/>
              </w:rPr>
              <w:t>206</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asciiTheme="minorEastAsia" w:hAnsiTheme="minorEastAsia" w:eastAsiaTheme="minorEastAsia"/>
                <w:sz w:val="18"/>
                <w:szCs w:val="18"/>
              </w:rPr>
              <w:t>206</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200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95000.61</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居民衰减区</w:t>
            </w:r>
            <w:r>
              <w:rPr>
                <w:rFonts w:cs="宋体" w:asciiTheme="minorEastAsia" w:hAnsiTheme="minorEastAsia" w:eastAsiaTheme="minorEastAsia"/>
                <w:kern w:val="0"/>
                <w:sz w:val="18"/>
                <w:szCs w:val="18"/>
              </w:rPr>
              <w:t>/居民控制区/居民发展区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其中处于居民衰减区范围内的居民点为疏解型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896"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left"/>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雅庄村</w:t>
            </w:r>
          </w:p>
        </w:tc>
        <w:tc>
          <w:tcPr>
            <w:tcW w:w="71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asciiTheme="minorEastAsia" w:hAnsiTheme="minorEastAsia" w:eastAsiaTheme="minorEastAsia"/>
                <w:sz w:val="18"/>
                <w:szCs w:val="18"/>
              </w:rPr>
              <w:t>55</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asciiTheme="minorEastAsia" w:hAnsiTheme="minorEastAsia" w:eastAsiaTheme="minorEastAsia"/>
                <w:sz w:val="18"/>
                <w:szCs w:val="18"/>
              </w:rPr>
              <w:t>54</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50</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41703.09</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居民衰减区</w:t>
            </w:r>
            <w:r>
              <w:rPr>
                <w:rFonts w:cs="宋体" w:asciiTheme="minorEastAsia" w:hAnsiTheme="minorEastAsia" w:eastAsiaTheme="minorEastAsia"/>
                <w:kern w:val="0"/>
                <w:sz w:val="18"/>
                <w:szCs w:val="18"/>
              </w:rPr>
              <w:t>/居民控制区/居民发展区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其中处于居民衰减区范围内的居民点为疏解型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28"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left"/>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石垟林场生活区</w:t>
            </w:r>
          </w:p>
        </w:tc>
        <w:tc>
          <w:tcPr>
            <w:tcW w:w="71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asciiTheme="minorEastAsia" w:hAnsiTheme="minorEastAsia" w:eastAsiaTheme="minorEastAsia"/>
                <w:sz w:val="18"/>
                <w:szCs w:val="18"/>
              </w:rPr>
              <w:t>265</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asciiTheme="minorEastAsia" w:hAnsiTheme="minorEastAsia" w:eastAsiaTheme="minorEastAsia"/>
                <w:sz w:val="18"/>
                <w:szCs w:val="18"/>
              </w:rPr>
              <w:t>65</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65</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3219.12</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居民控制区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noWrap/>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3" w:hRule="atLeast"/>
          <w:jc w:val="center"/>
        </w:trPr>
        <w:tc>
          <w:tcPr>
            <w:tcW w:w="992" w:type="dxa"/>
            <w:vMerge w:val="continue"/>
            <w:shd w:val="clear" w:color="auto" w:fill="auto"/>
            <w:vAlign w:val="center"/>
          </w:tcPr>
          <w:p>
            <w:pPr>
              <w:widowControl/>
              <w:adjustRightInd w:val="0"/>
              <w:snapToGrid w:val="0"/>
              <w:spacing w:line="264" w:lineRule="auto"/>
              <w:ind w:firstLine="0" w:firstLineChars="0"/>
              <w:jc w:val="left"/>
              <w:rPr>
                <w:rFonts w:cs="宋体" w:asciiTheme="minorEastAsia" w:hAnsiTheme="minorEastAsia" w:eastAsiaTheme="minorEastAsia"/>
                <w:kern w:val="0"/>
                <w:sz w:val="18"/>
                <w:szCs w:val="18"/>
              </w:rPr>
            </w:pPr>
          </w:p>
        </w:tc>
        <w:tc>
          <w:tcPr>
            <w:tcW w:w="84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叶胜林场生活区</w:t>
            </w:r>
          </w:p>
        </w:tc>
        <w:tc>
          <w:tcPr>
            <w:tcW w:w="71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asciiTheme="minorEastAsia" w:hAnsiTheme="minorEastAsia" w:eastAsiaTheme="minorEastAsia"/>
                <w:sz w:val="18"/>
                <w:szCs w:val="18"/>
              </w:rPr>
              <w:t>176</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asciiTheme="minorEastAsia" w:hAnsiTheme="minorEastAsia" w:eastAsiaTheme="minorEastAsia"/>
                <w:sz w:val="18"/>
                <w:szCs w:val="18"/>
              </w:rPr>
              <w:t>25</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25</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1193.22</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居民控制区</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控制型</w:t>
            </w:r>
          </w:p>
        </w:tc>
        <w:tc>
          <w:tcPr>
            <w:tcW w:w="1701" w:type="dxa"/>
            <w:shd w:val="clear" w:color="auto" w:fill="auto"/>
            <w:noWrap/>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78" w:hRule="atLeast"/>
          <w:jc w:val="center"/>
        </w:trPr>
        <w:tc>
          <w:tcPr>
            <w:tcW w:w="1841" w:type="dxa"/>
            <w:gridSpan w:val="2"/>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合计</w:t>
            </w:r>
          </w:p>
        </w:tc>
        <w:tc>
          <w:tcPr>
            <w:tcW w:w="71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40740</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12112</w:t>
            </w:r>
          </w:p>
        </w:tc>
        <w:tc>
          <w:tcPr>
            <w:tcW w:w="709"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14159</w:t>
            </w:r>
          </w:p>
        </w:tc>
        <w:tc>
          <w:tcPr>
            <w:tcW w:w="1275"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1756630.82</w:t>
            </w:r>
          </w:p>
        </w:tc>
        <w:tc>
          <w:tcPr>
            <w:tcW w:w="1134"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c>
          <w:tcPr>
            <w:tcW w:w="851" w:type="dxa"/>
            <w:shd w:val="clear" w:color="auto" w:fill="auto"/>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c>
          <w:tcPr>
            <w:tcW w:w="1701" w:type="dxa"/>
            <w:shd w:val="clear" w:color="auto" w:fill="auto"/>
            <w:noWrap/>
            <w:vAlign w:val="center"/>
          </w:tcPr>
          <w:p>
            <w:pPr>
              <w:widowControl/>
              <w:adjustRightInd w:val="0"/>
              <w:snapToGrid w:val="0"/>
              <w:spacing w:line="264" w:lineRule="auto"/>
              <w:ind w:firstLine="0" w:firstLineChars="0"/>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r>
    </w:tbl>
    <w:p>
      <w:pPr>
        <w:spacing w:before="93" w:beforeLines="30"/>
        <w:ind w:firstLine="422"/>
        <w:jc w:val="center"/>
        <w:rPr>
          <w:rFonts w:ascii="宋体" w:hAnsi="宋体"/>
          <w:b/>
          <w:kern w:val="0"/>
          <w:sz w:val="21"/>
          <w:szCs w:val="21"/>
        </w:rPr>
      </w:pPr>
    </w:p>
    <w:p>
      <w:pPr>
        <w:keepNext/>
        <w:keepLines/>
        <w:spacing w:before="156" w:beforeLines="50"/>
        <w:ind w:left="142" w:firstLine="360" w:firstLineChars="150"/>
        <w:outlineLvl w:val="2"/>
        <w:rPr>
          <w:rFonts w:eastAsia="黑体"/>
          <w:bCs/>
          <w:kern w:val="0"/>
        </w:rPr>
      </w:pPr>
      <w:r>
        <w:rPr>
          <w:rFonts w:hint="eastAsia" w:eastAsia="黑体"/>
          <w:bCs/>
          <w:kern w:val="0"/>
        </w:rPr>
        <w:t>（三）调控措施</w:t>
      </w:r>
    </w:p>
    <w:p>
      <w:pPr>
        <w:spacing w:before="72" w:after="93" w:afterLines="30"/>
        <w:ind w:firstLine="480"/>
        <w:rPr>
          <w:rFonts w:cs="宋体"/>
        </w:rPr>
      </w:pPr>
      <w:r>
        <w:rPr>
          <w:rFonts w:hint="eastAsia" w:cs="宋体"/>
        </w:rPr>
        <w:t>规划结合风景名胜区居民社会的现状特点，制定具体调控原则如下：</w:t>
      </w:r>
    </w:p>
    <w:p>
      <w:pPr>
        <w:spacing w:before="72" w:after="93" w:afterLines="30"/>
        <w:ind w:firstLine="480"/>
        <w:rPr>
          <w:rFonts w:cs="宋体"/>
        </w:rPr>
      </w:pPr>
      <w:r>
        <w:rPr>
          <w:rFonts w:hint="eastAsia" w:cs="宋体"/>
        </w:rPr>
        <w:t>依法维护风景名胜区内原住居民的合法权益，合理调控居民点建设和人口规模。</w:t>
      </w:r>
    </w:p>
    <w:p>
      <w:pPr>
        <w:spacing w:before="72" w:after="93" w:afterLines="30"/>
        <w:ind w:firstLine="480"/>
        <w:rPr>
          <w:rFonts w:cs="宋体"/>
        </w:rPr>
      </w:pPr>
      <w:r>
        <w:rPr>
          <w:rFonts w:hint="eastAsia" w:cs="宋体"/>
        </w:rPr>
        <w:t>核心景区内的居民点应当在尊重居民意愿的前提下逐步缩减人口，保障居民权益和生活水平不降低。核心景区疏解出的居民优先安排至邻近的镇，也可根据其意愿，由文成县政府统一安置。疏解后的用地优先进行生态恢复和绿化。</w:t>
      </w:r>
    </w:p>
    <w:p>
      <w:pPr>
        <w:spacing w:before="72" w:after="93" w:afterLines="30"/>
        <w:ind w:firstLine="480"/>
        <w:rPr>
          <w:rFonts w:cs="宋体"/>
        </w:rPr>
      </w:pPr>
      <w:r>
        <w:rPr>
          <w:rFonts w:hint="eastAsia" w:cs="宋体"/>
        </w:rPr>
        <w:t>可作为旅游服务设施利用的居民点，要加强规划协调与发展规模控制。加强对居民点建筑的风貌管控，要与风景环境相协调。</w:t>
      </w:r>
    </w:p>
    <w:p>
      <w:pPr>
        <w:keepNext/>
        <w:keepLines/>
        <w:spacing w:before="156" w:beforeLines="50"/>
        <w:ind w:left="142" w:firstLine="360" w:firstLineChars="150"/>
        <w:outlineLvl w:val="2"/>
        <w:rPr>
          <w:rFonts w:eastAsia="黑体"/>
          <w:bCs/>
          <w:kern w:val="0"/>
        </w:rPr>
      </w:pPr>
      <w:bookmarkStart w:id="65" w:name="_Toc409604797"/>
      <w:r>
        <w:rPr>
          <w:rFonts w:hint="eastAsia" w:eastAsia="黑体"/>
          <w:bCs/>
          <w:kern w:val="0"/>
        </w:rPr>
        <w:t>（四）农村居民</w:t>
      </w:r>
      <w:r>
        <w:rPr>
          <w:rFonts w:eastAsia="黑体"/>
          <w:bCs/>
          <w:kern w:val="0"/>
        </w:rPr>
        <w:t>点</w:t>
      </w:r>
      <w:r>
        <w:rPr>
          <w:rFonts w:hint="eastAsia" w:eastAsia="黑体"/>
          <w:bCs/>
          <w:kern w:val="0"/>
        </w:rPr>
        <w:t>建房</w:t>
      </w:r>
      <w:r>
        <w:rPr>
          <w:rFonts w:eastAsia="黑体"/>
          <w:bCs/>
          <w:kern w:val="0"/>
        </w:rPr>
        <w:t>要求</w:t>
      </w:r>
      <w:bookmarkEnd w:id="65"/>
    </w:p>
    <w:p>
      <w:pPr>
        <w:spacing w:before="72" w:after="93" w:afterLines="30"/>
        <w:ind w:firstLine="480"/>
        <w:rPr>
          <w:rFonts w:cs="宋体"/>
        </w:rPr>
      </w:pPr>
      <w:r>
        <w:rPr>
          <w:rFonts w:hint="eastAsia" w:cs="宋体"/>
        </w:rPr>
        <w:t>村民建房应符合文成县农村村民建房相关管理办法的规定，严格按照批准面积和建房标准建设住宅。景区范围内新建住宅以2层为主，原则上控制在3层以内。非景区范围原住民建筑原则上控制在</w:t>
      </w:r>
      <w:r>
        <w:rPr>
          <w:rFonts w:cs="宋体"/>
        </w:rPr>
        <w:t>4</w:t>
      </w:r>
      <w:r>
        <w:rPr>
          <w:rFonts w:hint="eastAsia" w:cs="宋体"/>
        </w:rPr>
        <w:t>层以内</w:t>
      </w:r>
      <w:bookmarkStart w:id="66" w:name="_Hlk177676409"/>
      <w:r>
        <w:rPr>
          <w:rFonts w:hint="eastAsia" w:cs="宋体"/>
        </w:rPr>
        <w:t>，如局部确需突破，在符合国土空间总体规划或详细规划的前提下，需进行充分论证。</w:t>
      </w:r>
      <w:bookmarkEnd w:id="66"/>
      <w:r>
        <w:rPr>
          <w:rFonts w:hint="eastAsia" w:cs="宋体"/>
        </w:rPr>
        <w:t>整体建筑风格建议为温州传统民居风格。</w:t>
      </w:r>
    </w:p>
    <w:p>
      <w:pPr>
        <w:pStyle w:val="3"/>
        <w:spacing w:before="312"/>
        <w:rPr>
          <w:b w:val="0"/>
          <w:bCs w:val="0"/>
          <w:color w:val="000000"/>
        </w:rPr>
      </w:pPr>
      <w:bookmarkStart w:id="67" w:name="_Toc176456017"/>
      <w:r>
        <w:rPr>
          <w:rFonts w:hint="eastAsia"/>
          <w:color w:val="000000"/>
        </w:rPr>
        <w:t>三、经济发展引导</w:t>
      </w:r>
      <w:bookmarkEnd w:id="67"/>
    </w:p>
    <w:p>
      <w:pPr>
        <w:spacing w:before="72" w:after="93" w:afterLines="30"/>
        <w:ind w:firstLine="480"/>
        <w:rPr>
          <w:rFonts w:cs="宋体"/>
        </w:rPr>
      </w:pPr>
      <w:r>
        <w:rPr>
          <w:rFonts w:hint="eastAsia" w:cs="宋体"/>
        </w:rPr>
        <w:t>发展模式：将一产、二产导向以旅游业为先导的第三产业。提高生态经济（生态林业，生态农业等）的技术能力，强化景源保护，稳固和提高一产的发展质量，为经济注入持续的发展动力。限制、转移区内的二产，强化三产服务功能，提高三产发展水平，以旅游经济为龙头，增创三产新优势。</w:t>
      </w:r>
    </w:p>
    <w:p>
      <w:pPr>
        <w:spacing w:before="72" w:after="93" w:afterLines="30"/>
        <w:ind w:firstLine="480"/>
        <w:rPr>
          <w:color w:val="000000"/>
        </w:rPr>
      </w:pPr>
      <w:r>
        <w:rPr>
          <w:rFonts w:hint="eastAsia" w:cs="宋体"/>
        </w:rPr>
        <w:t>主要措施：</w:t>
      </w:r>
      <w:r>
        <w:rPr>
          <w:color w:val="000000"/>
        </w:rPr>
        <w:t xml:space="preserve"> </w:t>
      </w:r>
    </w:p>
    <w:p>
      <w:pPr>
        <w:spacing w:before="72" w:after="93" w:afterLines="30"/>
        <w:ind w:firstLine="480"/>
        <w:rPr>
          <w:rFonts w:cs="宋体"/>
        </w:rPr>
      </w:pPr>
      <w:r>
        <w:rPr>
          <w:rFonts w:hint="eastAsia" w:cs="宋体"/>
        </w:rPr>
        <w:t>总体上允许风景区内第一产业的保留和适度发展，发展产品优质、观赏性好、经济效益高的特色农林渔产品，发展农林牧渔复合结构的生态农业，发展乔灌草结合、常绿落叶阔叶和针业混交的生态林业，发展浅水、深水鱼、虫、藻、草复合结构的生态渔业，鼓励农旅融合发展。</w:t>
      </w:r>
    </w:p>
    <w:p>
      <w:pPr>
        <w:spacing w:before="72" w:after="93" w:afterLines="30"/>
        <w:ind w:firstLine="480"/>
        <w:rPr>
          <w:rFonts w:cs="宋体"/>
        </w:rPr>
      </w:pPr>
      <w:r>
        <w:rPr>
          <w:rFonts w:hint="eastAsia" w:cs="宋体"/>
        </w:rPr>
        <w:t>取缔并禁止采掘业、制造业、污染型加工业在风景区内发展。关闭风景区内的现有采矿企业、乡镇工业企业。二产以无污染或可降解的旅游纪念品、特色农副产品加工为主。</w:t>
      </w:r>
    </w:p>
    <w:p>
      <w:pPr>
        <w:spacing w:before="72" w:after="93" w:afterLines="30"/>
        <w:ind w:firstLine="480"/>
        <w:rPr>
          <w:rFonts w:cs="宋体"/>
        </w:rPr>
      </w:pPr>
      <w:r>
        <w:rPr>
          <w:rFonts w:hint="eastAsia" w:cs="宋体"/>
        </w:rPr>
        <w:t>旅游业应从低附加值的观光型旅游逐步向度假旅游发展，同时开拓生态旅游、旅游购物、修学旅游、会议旅游等专项旅游市场，带动风景区外的周边地区的发展。</w:t>
      </w:r>
    </w:p>
    <w:p>
      <w:pPr>
        <w:spacing w:before="72" w:after="93" w:afterLines="30"/>
        <w:ind w:firstLine="480"/>
        <w:rPr>
          <w:rFonts w:cs="宋体"/>
        </w:rPr>
      </w:pPr>
      <w:r>
        <w:rPr>
          <w:rFonts w:hint="eastAsia" w:cs="宋体"/>
        </w:rPr>
        <w:t>探索旅游经济、生态农业的合理发展途径。生态农业、生态林业、生态渔业示范区可发展成为生态旅游、乡村旅游、科普修学旅游的基地。通过旅游业的龙头地位及其催化作用，促进产业结构的全面调整。</w:t>
      </w:r>
    </w:p>
    <w:p>
      <w:pPr>
        <w:spacing w:before="72" w:after="93" w:afterLines="30"/>
        <w:ind w:firstLine="480"/>
        <w:rPr>
          <w:rFonts w:cs="宋体"/>
        </w:rPr>
      </w:pPr>
      <w:r>
        <w:rPr>
          <w:rFonts w:hint="eastAsia" w:cs="宋体"/>
        </w:rPr>
        <w:t>协调经济发展与风景区保护、建设和管理的关系。风景名胜区的经济发展必须以景源保护为前提和持续发展为根本动力，风景资源的开发利用必须是永续利用，应坚持必要、低度、底调三条原则，即项目功能无可替代、项目规模无可更小、自然美绝对优先，以保护和强化风景本体特征。</w:t>
      </w:r>
    </w:p>
    <w:p>
      <w:pPr>
        <w:pStyle w:val="3"/>
        <w:spacing w:before="312"/>
        <w:rPr>
          <w:b w:val="0"/>
          <w:bCs w:val="0"/>
          <w:color w:val="000000"/>
        </w:rPr>
      </w:pPr>
      <w:bookmarkStart w:id="68" w:name="_Toc176456018"/>
      <w:r>
        <w:rPr>
          <w:rFonts w:hint="eastAsia"/>
          <w:color w:val="000000"/>
        </w:rPr>
        <w:t>四、乡镇发展引导</w:t>
      </w:r>
      <w:bookmarkEnd w:id="68"/>
    </w:p>
    <w:p>
      <w:pPr>
        <w:spacing w:before="72" w:after="93" w:afterLines="30"/>
        <w:ind w:firstLine="480"/>
        <w:rPr>
          <w:rFonts w:cs="宋体"/>
        </w:rPr>
      </w:pPr>
      <w:r>
        <w:rPr>
          <w:rFonts w:hint="eastAsia" w:cs="宋体"/>
        </w:rPr>
        <w:t>风景区内共涉及大峃镇、珊溪镇、玉壶镇、南田镇、黄坦镇、西坑畲族镇、百丈漈镇、巨屿镇、周壤镇、二源镇、铜铃山镇、桂山乡十二个乡镇。各乡镇内的规划与建设，应与风景名胜区总体规划的要求相协调，并根据自身经济发展条件、风景名胜资源保护要求和文成县国土空间规划的指引要求，分乡镇进行发展引导。</w:t>
      </w:r>
    </w:p>
    <w:p>
      <w:pPr>
        <w:topLinePunct/>
        <w:adjustRightInd w:val="0"/>
        <w:snapToGrid w:val="0"/>
        <w:spacing w:before="93"/>
        <w:ind w:firstLine="422"/>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表</w:t>
      </w:r>
      <w:r>
        <w:rPr>
          <w:rFonts w:asciiTheme="minorEastAsia" w:hAnsiTheme="minorEastAsia" w:eastAsiaTheme="minorEastAsia"/>
          <w:b/>
          <w:sz w:val="21"/>
          <w:szCs w:val="21"/>
        </w:rPr>
        <w:t xml:space="preserve">5-5 </w:t>
      </w:r>
      <w:r>
        <w:rPr>
          <w:rFonts w:hint="eastAsia" w:asciiTheme="minorEastAsia" w:hAnsiTheme="minorEastAsia" w:eastAsiaTheme="minorEastAsia"/>
          <w:b/>
          <w:sz w:val="21"/>
          <w:szCs w:val="21"/>
        </w:rPr>
        <w:t>风景区内各乡镇镇区产业发展引导方向</w:t>
      </w:r>
    </w:p>
    <w:tbl>
      <w:tblPr>
        <w:tblStyle w:val="225"/>
        <w:tblW w:w="863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1447"/>
        <w:gridCol w:w="1841"/>
        <w:gridCol w:w="1242"/>
        <w:gridCol w:w="3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994" w:type="dxa"/>
            <w:shd w:val="clear" w:color="auto" w:fill="E2E2E2"/>
            <w:vAlign w:val="center"/>
          </w:tcPr>
          <w:p>
            <w:pPr>
              <w:adjustRightInd w:val="0"/>
              <w:snapToGrid w:val="0"/>
              <w:spacing w:line="240" w:lineRule="auto"/>
              <w:ind w:firstLine="0" w:firstLineChars="0"/>
              <w:jc w:val="center"/>
              <w:rPr>
                <w:rFonts w:ascii="宋体" w:hAnsi="宋体" w:cs="宋体"/>
                <w:sz w:val="18"/>
                <w:szCs w:val="18"/>
              </w:rPr>
            </w:pPr>
            <w:r>
              <w:rPr>
                <w:rFonts w:hint="eastAsia" w:ascii="宋体" w:hAnsi="宋体" w:cs="宋体"/>
                <w:b/>
                <w:bCs/>
                <w:sz w:val="18"/>
                <w:szCs w:val="18"/>
              </w:rPr>
              <w:t>序号</w:t>
            </w:r>
          </w:p>
        </w:tc>
        <w:tc>
          <w:tcPr>
            <w:tcW w:w="1447" w:type="dxa"/>
            <w:shd w:val="clear" w:color="auto" w:fill="E2E2E2"/>
            <w:vAlign w:val="center"/>
          </w:tcPr>
          <w:p>
            <w:pPr>
              <w:adjustRightInd w:val="0"/>
              <w:snapToGrid w:val="0"/>
              <w:spacing w:line="240" w:lineRule="auto"/>
              <w:ind w:firstLine="0" w:firstLineChars="0"/>
              <w:jc w:val="center"/>
              <w:rPr>
                <w:rFonts w:ascii="宋体" w:hAnsi="宋体" w:cs="宋体"/>
                <w:sz w:val="18"/>
                <w:szCs w:val="18"/>
              </w:rPr>
            </w:pPr>
            <w:r>
              <w:rPr>
                <w:rFonts w:hint="eastAsia" w:ascii="宋体" w:hAnsi="宋体" w:cs="宋体"/>
                <w:b/>
                <w:bCs/>
                <w:sz w:val="18"/>
                <w:szCs w:val="18"/>
              </w:rPr>
              <w:t>乡镇名称</w:t>
            </w:r>
          </w:p>
        </w:tc>
        <w:tc>
          <w:tcPr>
            <w:tcW w:w="1841" w:type="dxa"/>
            <w:shd w:val="clear" w:color="auto" w:fill="E2E2E2"/>
            <w:vAlign w:val="center"/>
          </w:tcPr>
          <w:p>
            <w:pPr>
              <w:adjustRightInd w:val="0"/>
              <w:snapToGrid w:val="0"/>
              <w:spacing w:line="240" w:lineRule="auto"/>
              <w:ind w:firstLine="0" w:firstLineChars="0"/>
              <w:jc w:val="center"/>
              <w:rPr>
                <w:rFonts w:ascii="宋体" w:hAnsi="宋体" w:cs="宋体"/>
                <w:sz w:val="18"/>
                <w:szCs w:val="18"/>
              </w:rPr>
            </w:pPr>
            <w:r>
              <w:rPr>
                <w:rFonts w:hint="eastAsia" w:ascii="宋体" w:hAnsi="宋体" w:cs="宋体"/>
                <w:b/>
                <w:bCs/>
                <w:sz w:val="18"/>
                <w:szCs w:val="18"/>
              </w:rPr>
              <w:t>涉及风景区面积（平方公里）</w:t>
            </w:r>
          </w:p>
        </w:tc>
        <w:tc>
          <w:tcPr>
            <w:tcW w:w="1242" w:type="dxa"/>
            <w:shd w:val="clear" w:color="auto" w:fill="E2E2E2"/>
            <w:vAlign w:val="center"/>
          </w:tcPr>
          <w:p>
            <w:pPr>
              <w:adjustRightInd w:val="0"/>
              <w:snapToGrid w:val="0"/>
              <w:spacing w:line="240" w:lineRule="auto"/>
              <w:ind w:firstLine="0" w:firstLineChars="0"/>
              <w:jc w:val="center"/>
              <w:rPr>
                <w:rFonts w:ascii="宋体" w:hAnsi="宋体" w:cs="宋体"/>
                <w:sz w:val="18"/>
                <w:szCs w:val="18"/>
              </w:rPr>
            </w:pPr>
            <w:r>
              <w:rPr>
                <w:rFonts w:hint="eastAsia" w:ascii="宋体" w:hAnsi="宋体" w:cs="宋体"/>
                <w:b/>
                <w:bCs/>
                <w:sz w:val="18"/>
                <w:szCs w:val="18"/>
              </w:rPr>
              <w:t>涉及村庄数量</w:t>
            </w:r>
          </w:p>
        </w:tc>
        <w:tc>
          <w:tcPr>
            <w:tcW w:w="3110" w:type="dxa"/>
            <w:shd w:val="clear" w:color="auto" w:fill="E2E2E2"/>
            <w:vAlign w:val="center"/>
          </w:tcPr>
          <w:p>
            <w:pPr>
              <w:adjustRightInd w:val="0"/>
              <w:snapToGrid w:val="0"/>
              <w:spacing w:line="240" w:lineRule="auto"/>
              <w:ind w:firstLine="0" w:firstLineChars="0"/>
              <w:jc w:val="center"/>
              <w:rPr>
                <w:rFonts w:ascii="宋体" w:hAnsi="宋体" w:cs="宋体"/>
                <w:sz w:val="18"/>
                <w:szCs w:val="18"/>
              </w:rPr>
            </w:pPr>
            <w:r>
              <w:rPr>
                <w:rFonts w:hint="eastAsia" w:ascii="宋体" w:hAnsi="宋体" w:cs="宋体"/>
                <w:b/>
                <w:bCs/>
                <w:sz w:val="18"/>
                <w:szCs w:val="18"/>
              </w:rPr>
              <w:t>发展定位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 w:hRule="atLeast"/>
          <w:jc w:val="center"/>
        </w:trPr>
        <w:tc>
          <w:tcPr>
            <w:tcW w:w="994" w:type="dxa"/>
            <w:vAlign w:val="center"/>
          </w:tcPr>
          <w:p>
            <w:pPr>
              <w:adjustRightInd w:val="0"/>
              <w:snapToGrid w:val="0"/>
              <w:spacing w:line="240" w:lineRule="auto"/>
              <w:ind w:firstLine="0" w:firstLineChars="0"/>
              <w:jc w:val="center"/>
              <w:rPr>
                <w:rFonts w:ascii="宋体" w:hAnsi="宋体" w:cs="宋体"/>
                <w:sz w:val="18"/>
                <w:szCs w:val="18"/>
              </w:rPr>
            </w:pPr>
            <w:r>
              <w:rPr>
                <w:rFonts w:hint="eastAsia" w:ascii="宋体" w:hAnsi="宋体" w:cs="宋体"/>
                <w:sz w:val="18"/>
                <w:szCs w:val="18"/>
              </w:rPr>
              <w:t>1</w:t>
            </w:r>
          </w:p>
        </w:tc>
        <w:tc>
          <w:tcPr>
            <w:tcW w:w="1447" w:type="dxa"/>
            <w:vAlign w:val="center"/>
          </w:tcPr>
          <w:p>
            <w:pPr>
              <w:adjustRightInd w:val="0"/>
              <w:snapToGrid w:val="0"/>
              <w:spacing w:line="240" w:lineRule="auto"/>
              <w:ind w:firstLine="0" w:firstLineChars="0"/>
              <w:jc w:val="center"/>
              <w:rPr>
                <w:rFonts w:ascii="宋体" w:hAnsi="宋体" w:cs="宋体"/>
                <w:sz w:val="18"/>
                <w:szCs w:val="18"/>
              </w:rPr>
            </w:pPr>
            <w:r>
              <w:rPr>
                <w:rFonts w:hint="eastAsia" w:ascii="宋体" w:hAnsi="宋体" w:cs="宋体"/>
                <w:sz w:val="18"/>
                <w:szCs w:val="18"/>
              </w:rPr>
              <w:t>大峃镇</w:t>
            </w:r>
          </w:p>
        </w:tc>
        <w:tc>
          <w:tcPr>
            <w:tcW w:w="1841" w:type="dxa"/>
            <w:vAlign w:val="center"/>
          </w:tcPr>
          <w:p>
            <w:pPr>
              <w:adjustRightInd w:val="0"/>
              <w:snapToGrid w:val="0"/>
              <w:spacing w:line="240" w:lineRule="auto"/>
              <w:ind w:firstLine="0" w:firstLineChars="0"/>
              <w:jc w:val="center"/>
              <w:rPr>
                <w:rFonts w:ascii="宋体" w:hAnsi="宋体" w:cs="宋体"/>
                <w:sz w:val="18"/>
                <w:szCs w:val="18"/>
              </w:rPr>
            </w:pPr>
            <w:r>
              <w:rPr>
                <w:rFonts w:ascii="宋体" w:hAnsi="宋体" w:cs="宋体"/>
                <w:sz w:val="18"/>
                <w:szCs w:val="18"/>
              </w:rPr>
              <w:t>1.64</w:t>
            </w:r>
          </w:p>
        </w:tc>
        <w:tc>
          <w:tcPr>
            <w:tcW w:w="1242" w:type="dxa"/>
            <w:vAlign w:val="center"/>
          </w:tcPr>
          <w:p>
            <w:pPr>
              <w:adjustRightInd w:val="0"/>
              <w:snapToGrid w:val="0"/>
              <w:spacing w:line="240" w:lineRule="auto"/>
              <w:ind w:firstLine="0" w:firstLineChars="0"/>
              <w:jc w:val="center"/>
              <w:rPr>
                <w:rFonts w:ascii="宋体" w:hAnsi="宋体" w:cs="宋体"/>
                <w:sz w:val="18"/>
                <w:szCs w:val="18"/>
              </w:rPr>
            </w:pPr>
            <w:r>
              <w:rPr>
                <w:rFonts w:ascii="宋体" w:hAnsi="宋体" w:cs="宋体"/>
                <w:sz w:val="18"/>
                <w:szCs w:val="18"/>
              </w:rPr>
              <w:t>1</w:t>
            </w:r>
          </w:p>
        </w:tc>
        <w:tc>
          <w:tcPr>
            <w:tcW w:w="3110" w:type="dxa"/>
            <w:vAlign w:val="center"/>
          </w:tcPr>
          <w:p>
            <w:pPr>
              <w:adjustRightInd w:val="0"/>
              <w:snapToGrid w:val="0"/>
              <w:spacing w:line="240" w:lineRule="auto"/>
              <w:ind w:firstLine="0" w:firstLineChars="0"/>
              <w:jc w:val="center"/>
              <w:rPr>
                <w:rFonts w:ascii="宋体" w:hAnsi="宋体" w:cs="宋体"/>
                <w:sz w:val="18"/>
                <w:szCs w:val="18"/>
              </w:rPr>
            </w:pPr>
            <w:r>
              <w:rPr>
                <w:rFonts w:hint="eastAsia" w:ascii="宋体" w:hAnsi="宋体" w:cs="宋体"/>
                <w:sz w:val="18"/>
                <w:szCs w:val="18"/>
              </w:rPr>
              <w:t>山水侨城、服务中心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 w:hRule="atLeast"/>
          <w:jc w:val="center"/>
        </w:trPr>
        <w:tc>
          <w:tcPr>
            <w:tcW w:w="994" w:type="dxa"/>
            <w:vAlign w:val="center"/>
          </w:tcPr>
          <w:p>
            <w:pPr>
              <w:adjustRightInd w:val="0"/>
              <w:snapToGrid w:val="0"/>
              <w:spacing w:line="240" w:lineRule="auto"/>
              <w:ind w:firstLine="0" w:firstLineChars="0"/>
              <w:jc w:val="center"/>
              <w:rPr>
                <w:rFonts w:ascii="宋体" w:hAnsi="宋体" w:cs="宋体"/>
                <w:sz w:val="18"/>
                <w:szCs w:val="18"/>
              </w:rPr>
            </w:pPr>
            <w:r>
              <w:rPr>
                <w:rFonts w:hint="eastAsia" w:ascii="宋体" w:hAnsi="宋体" w:cs="宋体"/>
                <w:sz w:val="18"/>
                <w:szCs w:val="18"/>
              </w:rPr>
              <w:t>2</w:t>
            </w:r>
          </w:p>
        </w:tc>
        <w:tc>
          <w:tcPr>
            <w:tcW w:w="1447" w:type="dxa"/>
            <w:vAlign w:val="center"/>
          </w:tcPr>
          <w:p>
            <w:pPr>
              <w:adjustRightInd w:val="0"/>
              <w:snapToGrid w:val="0"/>
              <w:spacing w:line="240" w:lineRule="auto"/>
              <w:ind w:firstLine="0" w:firstLineChars="0"/>
              <w:jc w:val="center"/>
              <w:rPr>
                <w:rFonts w:ascii="宋体" w:hAnsi="宋体" w:cs="宋体"/>
                <w:sz w:val="18"/>
                <w:szCs w:val="18"/>
              </w:rPr>
            </w:pPr>
            <w:r>
              <w:rPr>
                <w:rFonts w:hint="eastAsia" w:ascii="宋体" w:hAnsi="宋体" w:cs="宋体"/>
                <w:sz w:val="18"/>
                <w:szCs w:val="18"/>
              </w:rPr>
              <w:t>珊溪镇</w:t>
            </w:r>
          </w:p>
        </w:tc>
        <w:tc>
          <w:tcPr>
            <w:tcW w:w="1841" w:type="dxa"/>
            <w:vAlign w:val="center"/>
          </w:tcPr>
          <w:p>
            <w:pPr>
              <w:adjustRightInd w:val="0"/>
              <w:snapToGrid w:val="0"/>
              <w:spacing w:line="240" w:lineRule="auto"/>
              <w:ind w:firstLine="0" w:firstLineChars="0"/>
              <w:jc w:val="center"/>
              <w:rPr>
                <w:rFonts w:ascii="宋体" w:hAnsi="宋体" w:cs="宋体"/>
                <w:sz w:val="18"/>
                <w:szCs w:val="18"/>
              </w:rPr>
            </w:pPr>
            <w:r>
              <w:rPr>
                <w:rFonts w:ascii="宋体" w:hAnsi="宋体" w:cs="宋体"/>
                <w:sz w:val="18"/>
                <w:szCs w:val="18"/>
              </w:rPr>
              <w:t>70.54</w:t>
            </w:r>
          </w:p>
        </w:tc>
        <w:tc>
          <w:tcPr>
            <w:tcW w:w="1242" w:type="dxa"/>
            <w:vAlign w:val="center"/>
          </w:tcPr>
          <w:p>
            <w:pPr>
              <w:adjustRightInd w:val="0"/>
              <w:snapToGrid w:val="0"/>
              <w:spacing w:line="240" w:lineRule="auto"/>
              <w:ind w:firstLine="0" w:firstLineChars="0"/>
              <w:jc w:val="center"/>
              <w:rPr>
                <w:rFonts w:ascii="宋体" w:hAnsi="宋体" w:cs="宋体"/>
                <w:sz w:val="18"/>
                <w:szCs w:val="18"/>
              </w:rPr>
            </w:pPr>
            <w:r>
              <w:rPr>
                <w:rFonts w:ascii="宋体" w:hAnsi="宋体" w:cs="宋体"/>
                <w:sz w:val="18"/>
                <w:szCs w:val="18"/>
              </w:rPr>
              <w:t>15</w:t>
            </w:r>
          </w:p>
        </w:tc>
        <w:tc>
          <w:tcPr>
            <w:tcW w:w="3110" w:type="dxa"/>
            <w:vAlign w:val="center"/>
          </w:tcPr>
          <w:p>
            <w:pPr>
              <w:adjustRightInd w:val="0"/>
              <w:snapToGrid w:val="0"/>
              <w:spacing w:line="240" w:lineRule="auto"/>
              <w:ind w:firstLine="0" w:firstLineChars="0"/>
              <w:jc w:val="center"/>
              <w:rPr>
                <w:rFonts w:ascii="宋体" w:hAnsi="宋体" w:cs="宋体"/>
                <w:sz w:val="18"/>
                <w:szCs w:val="18"/>
              </w:rPr>
            </w:pPr>
            <w:r>
              <w:rPr>
                <w:rFonts w:hint="eastAsia" w:ascii="宋体" w:hAnsi="宋体" w:cs="宋体"/>
                <w:sz w:val="18"/>
                <w:szCs w:val="18"/>
              </w:rPr>
              <w:t>悦享云江、灵秀珊溪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994" w:type="dxa"/>
            <w:vAlign w:val="center"/>
          </w:tcPr>
          <w:p>
            <w:pPr>
              <w:adjustRightInd w:val="0"/>
              <w:snapToGrid w:val="0"/>
              <w:spacing w:line="240" w:lineRule="auto"/>
              <w:ind w:firstLine="0" w:firstLineChars="0"/>
              <w:jc w:val="center"/>
              <w:rPr>
                <w:rFonts w:ascii="宋体" w:hAnsi="宋体" w:cs="宋体"/>
                <w:sz w:val="18"/>
                <w:szCs w:val="18"/>
              </w:rPr>
            </w:pPr>
            <w:r>
              <w:rPr>
                <w:rFonts w:hint="eastAsia" w:ascii="宋体" w:hAnsi="宋体" w:cs="宋体"/>
                <w:sz w:val="18"/>
                <w:szCs w:val="18"/>
              </w:rPr>
              <w:t>3</w:t>
            </w:r>
          </w:p>
        </w:tc>
        <w:tc>
          <w:tcPr>
            <w:tcW w:w="1447" w:type="dxa"/>
            <w:vAlign w:val="center"/>
          </w:tcPr>
          <w:p>
            <w:pPr>
              <w:adjustRightInd w:val="0"/>
              <w:snapToGrid w:val="0"/>
              <w:spacing w:line="240" w:lineRule="auto"/>
              <w:ind w:firstLine="0" w:firstLineChars="0"/>
              <w:jc w:val="center"/>
              <w:rPr>
                <w:rFonts w:ascii="宋体" w:hAnsi="宋体" w:cs="宋体"/>
                <w:sz w:val="18"/>
                <w:szCs w:val="18"/>
              </w:rPr>
            </w:pPr>
            <w:r>
              <w:rPr>
                <w:rFonts w:hint="eastAsia" w:ascii="宋体" w:hAnsi="宋体" w:cs="宋体"/>
                <w:sz w:val="18"/>
                <w:szCs w:val="18"/>
              </w:rPr>
              <w:t>玉壶镇</w:t>
            </w:r>
          </w:p>
        </w:tc>
        <w:tc>
          <w:tcPr>
            <w:tcW w:w="1841" w:type="dxa"/>
            <w:vAlign w:val="center"/>
          </w:tcPr>
          <w:p>
            <w:pPr>
              <w:adjustRightInd w:val="0"/>
              <w:snapToGrid w:val="0"/>
              <w:spacing w:line="240" w:lineRule="auto"/>
              <w:ind w:firstLine="0" w:firstLineChars="0"/>
              <w:jc w:val="center"/>
              <w:rPr>
                <w:rFonts w:ascii="宋体" w:hAnsi="宋体" w:cs="宋体"/>
                <w:sz w:val="18"/>
                <w:szCs w:val="18"/>
              </w:rPr>
            </w:pPr>
            <w:r>
              <w:rPr>
                <w:rFonts w:ascii="宋体" w:hAnsi="宋体" w:cs="宋体"/>
                <w:sz w:val="18"/>
                <w:szCs w:val="18"/>
              </w:rPr>
              <w:t>73.86</w:t>
            </w:r>
          </w:p>
        </w:tc>
        <w:tc>
          <w:tcPr>
            <w:tcW w:w="1242" w:type="dxa"/>
            <w:vAlign w:val="center"/>
          </w:tcPr>
          <w:p>
            <w:pPr>
              <w:adjustRightInd w:val="0"/>
              <w:snapToGrid w:val="0"/>
              <w:spacing w:line="240" w:lineRule="auto"/>
              <w:ind w:firstLine="0" w:firstLineChars="0"/>
              <w:jc w:val="center"/>
              <w:rPr>
                <w:rFonts w:ascii="宋体" w:hAnsi="宋体" w:cs="宋体"/>
                <w:sz w:val="18"/>
                <w:szCs w:val="18"/>
              </w:rPr>
            </w:pPr>
            <w:r>
              <w:rPr>
                <w:rFonts w:ascii="宋体" w:hAnsi="宋体" w:cs="宋体"/>
                <w:sz w:val="18"/>
                <w:szCs w:val="18"/>
              </w:rPr>
              <w:t>16</w:t>
            </w:r>
          </w:p>
        </w:tc>
        <w:tc>
          <w:tcPr>
            <w:tcW w:w="3110" w:type="dxa"/>
            <w:vAlign w:val="center"/>
          </w:tcPr>
          <w:p>
            <w:pPr>
              <w:adjustRightInd w:val="0"/>
              <w:snapToGrid w:val="0"/>
              <w:spacing w:line="240" w:lineRule="auto"/>
              <w:ind w:firstLine="0" w:firstLineChars="0"/>
              <w:jc w:val="center"/>
              <w:rPr>
                <w:rFonts w:ascii="宋体" w:hAnsi="宋体" w:cs="宋体"/>
                <w:sz w:val="18"/>
                <w:szCs w:val="18"/>
              </w:rPr>
            </w:pPr>
            <w:r>
              <w:rPr>
                <w:rFonts w:hint="eastAsia" w:ascii="宋体" w:hAnsi="宋体" w:cs="宋体"/>
                <w:sz w:val="18"/>
                <w:szCs w:val="18"/>
              </w:rPr>
              <w:t>侨韵玉壶、国际慢城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jc w:val="center"/>
        </w:trPr>
        <w:tc>
          <w:tcPr>
            <w:tcW w:w="994" w:type="dxa"/>
            <w:vAlign w:val="center"/>
          </w:tcPr>
          <w:p>
            <w:pPr>
              <w:adjustRightInd w:val="0"/>
              <w:snapToGrid w:val="0"/>
              <w:spacing w:line="240" w:lineRule="auto"/>
              <w:ind w:firstLine="0" w:firstLineChars="0"/>
              <w:jc w:val="center"/>
              <w:rPr>
                <w:rFonts w:ascii="宋体" w:hAnsi="宋体" w:cs="宋体"/>
                <w:sz w:val="18"/>
                <w:szCs w:val="18"/>
              </w:rPr>
            </w:pPr>
            <w:r>
              <w:rPr>
                <w:rFonts w:hint="eastAsia" w:ascii="宋体" w:hAnsi="宋体" w:cs="宋体"/>
                <w:sz w:val="18"/>
                <w:szCs w:val="18"/>
              </w:rPr>
              <w:t>4</w:t>
            </w:r>
          </w:p>
        </w:tc>
        <w:tc>
          <w:tcPr>
            <w:tcW w:w="1447" w:type="dxa"/>
            <w:vAlign w:val="center"/>
          </w:tcPr>
          <w:p>
            <w:pPr>
              <w:adjustRightInd w:val="0"/>
              <w:snapToGrid w:val="0"/>
              <w:spacing w:line="240" w:lineRule="auto"/>
              <w:ind w:firstLine="0" w:firstLineChars="0"/>
              <w:jc w:val="center"/>
              <w:rPr>
                <w:rFonts w:ascii="宋体" w:hAnsi="宋体" w:cs="宋体"/>
                <w:sz w:val="18"/>
                <w:szCs w:val="18"/>
              </w:rPr>
            </w:pPr>
            <w:r>
              <w:rPr>
                <w:rFonts w:hint="eastAsia" w:ascii="宋体" w:hAnsi="宋体" w:cs="宋体"/>
                <w:sz w:val="18"/>
                <w:szCs w:val="18"/>
              </w:rPr>
              <w:t>南田镇</w:t>
            </w:r>
          </w:p>
        </w:tc>
        <w:tc>
          <w:tcPr>
            <w:tcW w:w="1841" w:type="dxa"/>
            <w:vAlign w:val="center"/>
          </w:tcPr>
          <w:p>
            <w:pPr>
              <w:adjustRightInd w:val="0"/>
              <w:snapToGrid w:val="0"/>
              <w:spacing w:line="240" w:lineRule="auto"/>
              <w:ind w:firstLine="0" w:firstLineChars="0"/>
              <w:jc w:val="center"/>
              <w:rPr>
                <w:rFonts w:ascii="宋体" w:hAnsi="宋体" w:cs="宋体"/>
                <w:sz w:val="18"/>
                <w:szCs w:val="18"/>
              </w:rPr>
            </w:pPr>
            <w:r>
              <w:rPr>
                <w:rFonts w:ascii="宋体" w:hAnsi="宋体" w:cs="宋体"/>
                <w:sz w:val="18"/>
                <w:szCs w:val="18"/>
              </w:rPr>
              <w:t>124.64</w:t>
            </w:r>
          </w:p>
        </w:tc>
        <w:tc>
          <w:tcPr>
            <w:tcW w:w="1242" w:type="dxa"/>
            <w:vAlign w:val="center"/>
          </w:tcPr>
          <w:p>
            <w:pPr>
              <w:adjustRightInd w:val="0"/>
              <w:snapToGrid w:val="0"/>
              <w:spacing w:line="240" w:lineRule="auto"/>
              <w:ind w:firstLine="0" w:firstLineChars="0"/>
              <w:jc w:val="center"/>
              <w:rPr>
                <w:rFonts w:ascii="宋体" w:hAnsi="宋体" w:cs="宋体"/>
                <w:sz w:val="18"/>
                <w:szCs w:val="18"/>
              </w:rPr>
            </w:pPr>
            <w:r>
              <w:rPr>
                <w:rFonts w:ascii="宋体" w:hAnsi="宋体" w:cs="宋体"/>
                <w:sz w:val="18"/>
                <w:szCs w:val="18"/>
              </w:rPr>
              <w:t>17</w:t>
            </w:r>
          </w:p>
        </w:tc>
        <w:tc>
          <w:tcPr>
            <w:tcW w:w="3110" w:type="dxa"/>
            <w:vAlign w:val="center"/>
          </w:tcPr>
          <w:p>
            <w:pPr>
              <w:adjustRightInd w:val="0"/>
              <w:snapToGrid w:val="0"/>
              <w:spacing w:line="240" w:lineRule="auto"/>
              <w:ind w:firstLine="0" w:firstLineChars="0"/>
              <w:jc w:val="center"/>
              <w:rPr>
                <w:rFonts w:ascii="宋体" w:hAnsi="宋体" w:cs="宋体"/>
                <w:sz w:val="18"/>
                <w:szCs w:val="18"/>
              </w:rPr>
            </w:pPr>
            <w:r>
              <w:rPr>
                <w:rFonts w:hint="eastAsia" w:ascii="宋体" w:hAnsi="宋体" w:cs="宋体"/>
                <w:sz w:val="18"/>
                <w:szCs w:val="18"/>
              </w:rPr>
              <w:t>伯温故里、福地南田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 w:hRule="atLeast"/>
          <w:jc w:val="center"/>
        </w:trPr>
        <w:tc>
          <w:tcPr>
            <w:tcW w:w="994" w:type="dxa"/>
            <w:vAlign w:val="center"/>
          </w:tcPr>
          <w:p>
            <w:pPr>
              <w:adjustRightInd w:val="0"/>
              <w:snapToGrid w:val="0"/>
              <w:spacing w:line="240" w:lineRule="auto"/>
              <w:ind w:firstLine="0" w:firstLineChars="0"/>
              <w:jc w:val="center"/>
              <w:rPr>
                <w:rFonts w:ascii="宋体" w:hAnsi="宋体" w:cs="宋体"/>
                <w:sz w:val="18"/>
                <w:szCs w:val="18"/>
              </w:rPr>
            </w:pPr>
            <w:r>
              <w:rPr>
                <w:rFonts w:hint="eastAsia" w:ascii="宋体" w:hAnsi="宋体" w:cs="宋体"/>
                <w:sz w:val="18"/>
                <w:szCs w:val="18"/>
              </w:rPr>
              <w:t>5</w:t>
            </w:r>
          </w:p>
        </w:tc>
        <w:tc>
          <w:tcPr>
            <w:tcW w:w="1447" w:type="dxa"/>
            <w:vAlign w:val="center"/>
          </w:tcPr>
          <w:p>
            <w:pPr>
              <w:adjustRightInd w:val="0"/>
              <w:snapToGrid w:val="0"/>
              <w:spacing w:line="240" w:lineRule="auto"/>
              <w:ind w:firstLine="0" w:firstLineChars="0"/>
              <w:jc w:val="center"/>
              <w:rPr>
                <w:rFonts w:ascii="宋体" w:hAnsi="宋体" w:cs="宋体"/>
                <w:sz w:val="18"/>
                <w:szCs w:val="18"/>
              </w:rPr>
            </w:pPr>
            <w:r>
              <w:rPr>
                <w:rFonts w:hint="eastAsia" w:ascii="宋体" w:hAnsi="宋体" w:cs="宋体"/>
                <w:sz w:val="18"/>
                <w:szCs w:val="18"/>
              </w:rPr>
              <w:t>黄坦镇</w:t>
            </w:r>
          </w:p>
        </w:tc>
        <w:tc>
          <w:tcPr>
            <w:tcW w:w="1841" w:type="dxa"/>
            <w:vAlign w:val="center"/>
          </w:tcPr>
          <w:p>
            <w:pPr>
              <w:adjustRightInd w:val="0"/>
              <w:snapToGrid w:val="0"/>
              <w:spacing w:line="240" w:lineRule="auto"/>
              <w:ind w:firstLine="0" w:firstLineChars="0"/>
              <w:jc w:val="center"/>
              <w:rPr>
                <w:rFonts w:ascii="宋体" w:hAnsi="宋体" w:cs="宋体"/>
                <w:sz w:val="18"/>
                <w:szCs w:val="18"/>
              </w:rPr>
            </w:pPr>
            <w:r>
              <w:rPr>
                <w:rFonts w:ascii="宋体" w:hAnsi="宋体" w:cs="宋体"/>
                <w:sz w:val="18"/>
                <w:szCs w:val="18"/>
              </w:rPr>
              <w:t>98.77</w:t>
            </w:r>
          </w:p>
        </w:tc>
        <w:tc>
          <w:tcPr>
            <w:tcW w:w="1242" w:type="dxa"/>
            <w:vAlign w:val="center"/>
          </w:tcPr>
          <w:p>
            <w:pPr>
              <w:adjustRightInd w:val="0"/>
              <w:snapToGrid w:val="0"/>
              <w:spacing w:line="240" w:lineRule="auto"/>
              <w:ind w:firstLine="0" w:firstLineChars="0"/>
              <w:jc w:val="center"/>
              <w:rPr>
                <w:rFonts w:ascii="宋体" w:hAnsi="宋体" w:cs="宋体"/>
                <w:sz w:val="18"/>
                <w:szCs w:val="18"/>
              </w:rPr>
            </w:pPr>
            <w:r>
              <w:rPr>
                <w:rFonts w:ascii="宋体" w:hAnsi="宋体" w:cs="宋体"/>
                <w:sz w:val="18"/>
                <w:szCs w:val="18"/>
              </w:rPr>
              <w:t>7</w:t>
            </w:r>
          </w:p>
        </w:tc>
        <w:tc>
          <w:tcPr>
            <w:tcW w:w="3110" w:type="dxa"/>
            <w:vAlign w:val="center"/>
          </w:tcPr>
          <w:p>
            <w:pPr>
              <w:adjustRightInd w:val="0"/>
              <w:snapToGrid w:val="0"/>
              <w:spacing w:line="240" w:lineRule="auto"/>
              <w:ind w:firstLine="0" w:firstLineChars="0"/>
              <w:jc w:val="center"/>
              <w:rPr>
                <w:rFonts w:ascii="宋体" w:hAnsi="宋体" w:cs="宋体"/>
                <w:sz w:val="18"/>
                <w:szCs w:val="18"/>
              </w:rPr>
            </w:pPr>
            <w:r>
              <w:rPr>
                <w:rFonts w:hint="eastAsia" w:ascii="宋体" w:hAnsi="宋体" w:cs="宋体"/>
                <w:sz w:val="18"/>
                <w:szCs w:val="18"/>
              </w:rPr>
              <w:t>湖光秘境、智造新城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 w:hRule="atLeast"/>
          <w:jc w:val="center"/>
        </w:trPr>
        <w:tc>
          <w:tcPr>
            <w:tcW w:w="994" w:type="dxa"/>
            <w:vAlign w:val="center"/>
          </w:tcPr>
          <w:p>
            <w:pPr>
              <w:adjustRightInd w:val="0"/>
              <w:snapToGrid w:val="0"/>
              <w:spacing w:line="240" w:lineRule="auto"/>
              <w:ind w:firstLine="0" w:firstLineChars="0"/>
              <w:jc w:val="center"/>
              <w:rPr>
                <w:rFonts w:ascii="宋体" w:hAnsi="宋体" w:cs="宋体"/>
                <w:sz w:val="18"/>
                <w:szCs w:val="18"/>
              </w:rPr>
            </w:pPr>
            <w:r>
              <w:rPr>
                <w:rFonts w:hint="eastAsia" w:ascii="宋体" w:hAnsi="宋体" w:cs="宋体"/>
                <w:sz w:val="18"/>
                <w:szCs w:val="18"/>
              </w:rPr>
              <w:t>6</w:t>
            </w:r>
          </w:p>
        </w:tc>
        <w:tc>
          <w:tcPr>
            <w:tcW w:w="1447" w:type="dxa"/>
            <w:vAlign w:val="center"/>
          </w:tcPr>
          <w:p>
            <w:pPr>
              <w:adjustRightInd w:val="0"/>
              <w:snapToGrid w:val="0"/>
              <w:spacing w:line="240" w:lineRule="auto"/>
              <w:ind w:firstLine="0" w:firstLineChars="0"/>
              <w:jc w:val="center"/>
              <w:rPr>
                <w:rFonts w:ascii="宋体" w:hAnsi="宋体" w:cs="宋体"/>
                <w:sz w:val="18"/>
                <w:szCs w:val="18"/>
              </w:rPr>
            </w:pPr>
            <w:r>
              <w:rPr>
                <w:rFonts w:hint="eastAsia" w:ascii="宋体" w:hAnsi="宋体" w:cs="宋体"/>
                <w:sz w:val="18"/>
                <w:szCs w:val="18"/>
              </w:rPr>
              <w:t>西坑畲族镇</w:t>
            </w:r>
          </w:p>
        </w:tc>
        <w:tc>
          <w:tcPr>
            <w:tcW w:w="1841" w:type="dxa"/>
            <w:vAlign w:val="center"/>
          </w:tcPr>
          <w:p>
            <w:pPr>
              <w:adjustRightInd w:val="0"/>
              <w:snapToGrid w:val="0"/>
              <w:spacing w:line="240" w:lineRule="auto"/>
              <w:ind w:firstLine="0" w:firstLineChars="0"/>
              <w:jc w:val="center"/>
              <w:rPr>
                <w:rFonts w:ascii="宋体" w:hAnsi="宋体" w:cs="宋体"/>
                <w:sz w:val="18"/>
                <w:szCs w:val="18"/>
              </w:rPr>
            </w:pPr>
            <w:r>
              <w:rPr>
                <w:rFonts w:ascii="宋体" w:hAnsi="宋体" w:cs="宋体"/>
                <w:sz w:val="18"/>
                <w:szCs w:val="18"/>
              </w:rPr>
              <w:t>9.31</w:t>
            </w:r>
          </w:p>
        </w:tc>
        <w:tc>
          <w:tcPr>
            <w:tcW w:w="1242" w:type="dxa"/>
            <w:vAlign w:val="center"/>
          </w:tcPr>
          <w:p>
            <w:pPr>
              <w:adjustRightInd w:val="0"/>
              <w:snapToGrid w:val="0"/>
              <w:spacing w:line="240" w:lineRule="auto"/>
              <w:ind w:firstLine="0" w:firstLineChars="0"/>
              <w:jc w:val="center"/>
              <w:rPr>
                <w:rFonts w:ascii="宋体" w:hAnsi="宋体" w:cs="宋体"/>
                <w:sz w:val="18"/>
                <w:szCs w:val="18"/>
              </w:rPr>
            </w:pPr>
            <w:r>
              <w:rPr>
                <w:rFonts w:ascii="宋体" w:hAnsi="宋体" w:cs="宋体"/>
                <w:sz w:val="18"/>
                <w:szCs w:val="18"/>
              </w:rPr>
              <w:t>1</w:t>
            </w:r>
          </w:p>
        </w:tc>
        <w:tc>
          <w:tcPr>
            <w:tcW w:w="3110" w:type="dxa"/>
            <w:vAlign w:val="center"/>
          </w:tcPr>
          <w:p>
            <w:pPr>
              <w:adjustRightInd w:val="0"/>
              <w:snapToGrid w:val="0"/>
              <w:spacing w:line="240" w:lineRule="auto"/>
              <w:ind w:firstLine="0" w:firstLineChars="0"/>
              <w:jc w:val="center"/>
              <w:rPr>
                <w:rFonts w:ascii="宋体" w:hAnsi="宋体" w:cs="宋体"/>
                <w:sz w:val="18"/>
                <w:szCs w:val="18"/>
              </w:rPr>
            </w:pPr>
            <w:r>
              <w:rPr>
                <w:rFonts w:hint="eastAsia" w:ascii="宋体" w:hAnsi="宋体" w:cs="宋体"/>
                <w:sz w:val="18"/>
                <w:szCs w:val="18"/>
              </w:rPr>
              <w:t>畲乡禅韵、风情小镇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 w:hRule="atLeast"/>
          <w:jc w:val="center"/>
        </w:trPr>
        <w:tc>
          <w:tcPr>
            <w:tcW w:w="994" w:type="dxa"/>
            <w:vAlign w:val="center"/>
          </w:tcPr>
          <w:p>
            <w:pPr>
              <w:adjustRightInd w:val="0"/>
              <w:snapToGrid w:val="0"/>
              <w:spacing w:line="240" w:lineRule="auto"/>
              <w:ind w:firstLine="0" w:firstLineChars="0"/>
              <w:jc w:val="center"/>
              <w:rPr>
                <w:rFonts w:ascii="宋体" w:hAnsi="宋体" w:cs="宋体"/>
                <w:sz w:val="18"/>
                <w:szCs w:val="18"/>
              </w:rPr>
            </w:pPr>
            <w:r>
              <w:rPr>
                <w:rFonts w:hint="eastAsia" w:ascii="宋体" w:hAnsi="宋体" w:cs="宋体"/>
                <w:sz w:val="18"/>
                <w:szCs w:val="18"/>
              </w:rPr>
              <w:t>7</w:t>
            </w:r>
          </w:p>
        </w:tc>
        <w:tc>
          <w:tcPr>
            <w:tcW w:w="1447" w:type="dxa"/>
            <w:vAlign w:val="center"/>
          </w:tcPr>
          <w:p>
            <w:pPr>
              <w:adjustRightInd w:val="0"/>
              <w:snapToGrid w:val="0"/>
              <w:spacing w:line="240" w:lineRule="auto"/>
              <w:ind w:firstLine="0" w:firstLineChars="0"/>
              <w:jc w:val="center"/>
              <w:rPr>
                <w:rFonts w:ascii="宋体" w:hAnsi="宋体" w:cs="宋体"/>
                <w:sz w:val="18"/>
                <w:szCs w:val="18"/>
              </w:rPr>
            </w:pPr>
            <w:r>
              <w:rPr>
                <w:rFonts w:hint="eastAsia" w:ascii="宋体" w:hAnsi="宋体" w:cs="宋体"/>
                <w:sz w:val="18"/>
                <w:szCs w:val="18"/>
              </w:rPr>
              <w:t>百丈漈镇</w:t>
            </w:r>
          </w:p>
        </w:tc>
        <w:tc>
          <w:tcPr>
            <w:tcW w:w="1841" w:type="dxa"/>
            <w:vAlign w:val="center"/>
          </w:tcPr>
          <w:p>
            <w:pPr>
              <w:adjustRightInd w:val="0"/>
              <w:snapToGrid w:val="0"/>
              <w:spacing w:line="240" w:lineRule="auto"/>
              <w:ind w:firstLine="0" w:firstLineChars="0"/>
              <w:jc w:val="center"/>
              <w:rPr>
                <w:rFonts w:ascii="宋体" w:hAnsi="宋体" w:cs="宋体"/>
                <w:sz w:val="18"/>
                <w:szCs w:val="18"/>
              </w:rPr>
            </w:pPr>
            <w:r>
              <w:rPr>
                <w:rFonts w:ascii="宋体" w:hAnsi="宋体" w:cs="宋体"/>
                <w:sz w:val="18"/>
                <w:szCs w:val="18"/>
              </w:rPr>
              <w:t>7.78</w:t>
            </w:r>
          </w:p>
        </w:tc>
        <w:tc>
          <w:tcPr>
            <w:tcW w:w="1242" w:type="dxa"/>
            <w:vAlign w:val="center"/>
          </w:tcPr>
          <w:p>
            <w:pPr>
              <w:adjustRightInd w:val="0"/>
              <w:snapToGrid w:val="0"/>
              <w:spacing w:line="240" w:lineRule="auto"/>
              <w:ind w:firstLine="0" w:firstLineChars="0"/>
              <w:jc w:val="center"/>
              <w:rPr>
                <w:rFonts w:ascii="宋体" w:hAnsi="宋体" w:cs="宋体"/>
                <w:sz w:val="18"/>
                <w:szCs w:val="18"/>
              </w:rPr>
            </w:pPr>
            <w:r>
              <w:rPr>
                <w:rFonts w:ascii="宋体" w:hAnsi="宋体" w:cs="宋体"/>
                <w:sz w:val="18"/>
                <w:szCs w:val="18"/>
              </w:rPr>
              <w:t>3</w:t>
            </w:r>
          </w:p>
        </w:tc>
        <w:tc>
          <w:tcPr>
            <w:tcW w:w="3110" w:type="dxa"/>
            <w:vAlign w:val="center"/>
          </w:tcPr>
          <w:p>
            <w:pPr>
              <w:adjustRightInd w:val="0"/>
              <w:snapToGrid w:val="0"/>
              <w:spacing w:line="240" w:lineRule="auto"/>
              <w:ind w:firstLine="0" w:firstLineChars="0"/>
              <w:jc w:val="center"/>
              <w:rPr>
                <w:rFonts w:ascii="宋体" w:hAnsi="宋体" w:cs="宋体"/>
                <w:sz w:val="18"/>
                <w:szCs w:val="18"/>
              </w:rPr>
            </w:pPr>
            <w:r>
              <w:rPr>
                <w:rFonts w:hint="eastAsia" w:ascii="宋体" w:hAnsi="宋体" w:cs="宋体"/>
                <w:sz w:val="18"/>
                <w:szCs w:val="18"/>
              </w:rPr>
              <w:t>高山飞瀑、悦动小镇、航空小镇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 w:hRule="atLeast"/>
          <w:jc w:val="center"/>
        </w:trPr>
        <w:tc>
          <w:tcPr>
            <w:tcW w:w="994" w:type="dxa"/>
            <w:vAlign w:val="center"/>
          </w:tcPr>
          <w:p>
            <w:pPr>
              <w:adjustRightInd w:val="0"/>
              <w:snapToGrid w:val="0"/>
              <w:spacing w:line="240" w:lineRule="auto"/>
              <w:ind w:firstLine="0" w:firstLineChars="0"/>
              <w:jc w:val="center"/>
              <w:rPr>
                <w:rFonts w:ascii="宋体" w:hAnsi="宋体" w:cs="宋体"/>
                <w:sz w:val="18"/>
                <w:szCs w:val="18"/>
              </w:rPr>
            </w:pPr>
            <w:r>
              <w:rPr>
                <w:rFonts w:hint="eastAsia" w:ascii="宋体" w:hAnsi="宋体" w:cs="宋体"/>
                <w:sz w:val="18"/>
                <w:szCs w:val="18"/>
              </w:rPr>
              <w:t>8</w:t>
            </w:r>
          </w:p>
        </w:tc>
        <w:tc>
          <w:tcPr>
            <w:tcW w:w="1447" w:type="dxa"/>
            <w:vAlign w:val="center"/>
          </w:tcPr>
          <w:p>
            <w:pPr>
              <w:adjustRightInd w:val="0"/>
              <w:snapToGrid w:val="0"/>
              <w:spacing w:line="240" w:lineRule="auto"/>
              <w:ind w:firstLine="0" w:firstLineChars="0"/>
              <w:jc w:val="center"/>
              <w:rPr>
                <w:rFonts w:ascii="宋体" w:hAnsi="宋体" w:cs="宋体"/>
                <w:sz w:val="18"/>
                <w:szCs w:val="18"/>
              </w:rPr>
            </w:pPr>
            <w:r>
              <w:rPr>
                <w:rFonts w:hint="eastAsia" w:ascii="宋体" w:hAnsi="宋体" w:cs="宋体"/>
                <w:sz w:val="18"/>
                <w:szCs w:val="18"/>
              </w:rPr>
              <w:t>巨屿镇</w:t>
            </w:r>
          </w:p>
        </w:tc>
        <w:tc>
          <w:tcPr>
            <w:tcW w:w="1841" w:type="dxa"/>
            <w:vAlign w:val="center"/>
          </w:tcPr>
          <w:p>
            <w:pPr>
              <w:adjustRightInd w:val="0"/>
              <w:snapToGrid w:val="0"/>
              <w:spacing w:line="240" w:lineRule="auto"/>
              <w:ind w:firstLine="0" w:firstLineChars="0"/>
              <w:jc w:val="center"/>
              <w:rPr>
                <w:rFonts w:ascii="宋体" w:hAnsi="宋体" w:cs="宋体"/>
                <w:sz w:val="18"/>
                <w:szCs w:val="18"/>
              </w:rPr>
            </w:pPr>
            <w:r>
              <w:rPr>
                <w:rFonts w:ascii="宋体" w:hAnsi="宋体" w:cs="宋体"/>
                <w:sz w:val="18"/>
                <w:szCs w:val="18"/>
              </w:rPr>
              <w:t>4.01</w:t>
            </w:r>
          </w:p>
        </w:tc>
        <w:tc>
          <w:tcPr>
            <w:tcW w:w="1242" w:type="dxa"/>
            <w:vAlign w:val="center"/>
          </w:tcPr>
          <w:p>
            <w:pPr>
              <w:adjustRightInd w:val="0"/>
              <w:snapToGrid w:val="0"/>
              <w:spacing w:line="240" w:lineRule="auto"/>
              <w:ind w:firstLine="0" w:firstLineChars="0"/>
              <w:jc w:val="center"/>
              <w:rPr>
                <w:rFonts w:ascii="宋体" w:hAnsi="宋体" w:cs="宋体"/>
                <w:sz w:val="18"/>
                <w:szCs w:val="18"/>
              </w:rPr>
            </w:pPr>
            <w:r>
              <w:rPr>
                <w:rFonts w:ascii="宋体" w:hAnsi="宋体" w:cs="宋体"/>
                <w:sz w:val="18"/>
                <w:szCs w:val="18"/>
              </w:rPr>
              <w:t>2</w:t>
            </w:r>
          </w:p>
        </w:tc>
        <w:tc>
          <w:tcPr>
            <w:tcW w:w="3110" w:type="dxa"/>
            <w:vAlign w:val="center"/>
          </w:tcPr>
          <w:p>
            <w:pPr>
              <w:adjustRightInd w:val="0"/>
              <w:snapToGrid w:val="0"/>
              <w:spacing w:line="240" w:lineRule="auto"/>
              <w:ind w:firstLine="0" w:firstLineChars="0"/>
              <w:jc w:val="center"/>
              <w:rPr>
                <w:rFonts w:ascii="宋体" w:hAnsi="宋体" w:cs="宋体"/>
                <w:sz w:val="18"/>
                <w:szCs w:val="18"/>
              </w:rPr>
            </w:pPr>
            <w:r>
              <w:rPr>
                <w:rFonts w:hint="eastAsia" w:ascii="宋体" w:hAnsi="宋体" w:cs="宋体"/>
                <w:sz w:val="18"/>
                <w:szCs w:val="18"/>
              </w:rPr>
              <w:t>艺术旅居、休闲巨屿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 w:hRule="atLeast"/>
          <w:jc w:val="center"/>
        </w:trPr>
        <w:tc>
          <w:tcPr>
            <w:tcW w:w="994" w:type="dxa"/>
            <w:vAlign w:val="center"/>
          </w:tcPr>
          <w:p>
            <w:pPr>
              <w:adjustRightInd w:val="0"/>
              <w:snapToGrid w:val="0"/>
              <w:spacing w:line="240" w:lineRule="auto"/>
              <w:ind w:firstLine="0" w:firstLineChars="0"/>
              <w:jc w:val="center"/>
              <w:rPr>
                <w:rFonts w:ascii="宋体" w:hAnsi="宋体" w:cs="宋体"/>
                <w:sz w:val="18"/>
                <w:szCs w:val="18"/>
              </w:rPr>
            </w:pPr>
            <w:r>
              <w:rPr>
                <w:rFonts w:hint="eastAsia" w:ascii="宋体" w:hAnsi="宋体" w:cs="宋体"/>
                <w:sz w:val="18"/>
                <w:szCs w:val="18"/>
              </w:rPr>
              <w:t>9</w:t>
            </w:r>
          </w:p>
        </w:tc>
        <w:tc>
          <w:tcPr>
            <w:tcW w:w="1447" w:type="dxa"/>
            <w:vAlign w:val="center"/>
          </w:tcPr>
          <w:p>
            <w:pPr>
              <w:adjustRightInd w:val="0"/>
              <w:snapToGrid w:val="0"/>
              <w:spacing w:line="240" w:lineRule="auto"/>
              <w:ind w:firstLine="0" w:firstLineChars="0"/>
              <w:jc w:val="center"/>
              <w:rPr>
                <w:rFonts w:ascii="宋体" w:hAnsi="宋体" w:cs="宋体"/>
                <w:sz w:val="18"/>
                <w:szCs w:val="18"/>
              </w:rPr>
            </w:pPr>
            <w:r>
              <w:rPr>
                <w:rFonts w:hint="eastAsia" w:ascii="宋体" w:hAnsi="宋体" w:cs="宋体"/>
                <w:sz w:val="18"/>
                <w:szCs w:val="18"/>
              </w:rPr>
              <w:t>周壤镇</w:t>
            </w:r>
          </w:p>
        </w:tc>
        <w:tc>
          <w:tcPr>
            <w:tcW w:w="1841" w:type="dxa"/>
            <w:vAlign w:val="center"/>
          </w:tcPr>
          <w:p>
            <w:pPr>
              <w:adjustRightInd w:val="0"/>
              <w:snapToGrid w:val="0"/>
              <w:spacing w:line="240" w:lineRule="auto"/>
              <w:ind w:firstLine="0" w:firstLineChars="0"/>
              <w:jc w:val="center"/>
              <w:rPr>
                <w:rFonts w:ascii="宋体" w:hAnsi="宋体" w:cs="宋体"/>
                <w:sz w:val="18"/>
                <w:szCs w:val="18"/>
              </w:rPr>
            </w:pPr>
            <w:r>
              <w:rPr>
                <w:rFonts w:ascii="宋体" w:hAnsi="宋体" w:cs="宋体"/>
                <w:sz w:val="18"/>
                <w:szCs w:val="18"/>
              </w:rPr>
              <w:t>0.08</w:t>
            </w:r>
          </w:p>
        </w:tc>
        <w:tc>
          <w:tcPr>
            <w:tcW w:w="1242" w:type="dxa"/>
            <w:vAlign w:val="center"/>
          </w:tcPr>
          <w:p>
            <w:pPr>
              <w:adjustRightInd w:val="0"/>
              <w:snapToGrid w:val="0"/>
              <w:spacing w:line="240" w:lineRule="auto"/>
              <w:ind w:firstLine="0" w:firstLineChars="0"/>
              <w:jc w:val="center"/>
              <w:rPr>
                <w:rFonts w:ascii="宋体" w:hAnsi="宋体" w:cs="宋体"/>
                <w:sz w:val="18"/>
                <w:szCs w:val="18"/>
              </w:rPr>
            </w:pPr>
            <w:r>
              <w:rPr>
                <w:rFonts w:ascii="宋体" w:hAnsi="宋体" w:cs="宋体"/>
                <w:sz w:val="18"/>
                <w:szCs w:val="18"/>
              </w:rPr>
              <w:t>1</w:t>
            </w:r>
          </w:p>
        </w:tc>
        <w:tc>
          <w:tcPr>
            <w:tcW w:w="3110" w:type="dxa"/>
            <w:vAlign w:val="center"/>
          </w:tcPr>
          <w:p>
            <w:pPr>
              <w:adjustRightInd w:val="0"/>
              <w:snapToGrid w:val="0"/>
              <w:spacing w:line="240" w:lineRule="auto"/>
              <w:ind w:firstLine="0" w:firstLineChars="0"/>
              <w:jc w:val="center"/>
              <w:rPr>
                <w:rFonts w:ascii="宋体" w:hAnsi="宋体" w:cs="宋体"/>
                <w:sz w:val="18"/>
                <w:szCs w:val="18"/>
              </w:rPr>
            </w:pPr>
            <w:r>
              <w:rPr>
                <w:rFonts w:hint="eastAsia" w:ascii="宋体" w:hAnsi="宋体" w:cs="宋体"/>
                <w:sz w:val="18"/>
                <w:szCs w:val="18"/>
              </w:rPr>
              <w:t>孝廉侨乡、幸福周壤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 w:hRule="atLeast"/>
          <w:jc w:val="center"/>
        </w:trPr>
        <w:tc>
          <w:tcPr>
            <w:tcW w:w="994" w:type="dxa"/>
            <w:vAlign w:val="center"/>
          </w:tcPr>
          <w:p>
            <w:pPr>
              <w:adjustRightInd w:val="0"/>
              <w:snapToGrid w:val="0"/>
              <w:spacing w:line="240" w:lineRule="auto"/>
              <w:ind w:firstLine="0" w:firstLineChars="0"/>
              <w:jc w:val="center"/>
              <w:rPr>
                <w:rFonts w:ascii="宋体" w:hAnsi="宋体" w:cs="宋体"/>
                <w:sz w:val="18"/>
                <w:szCs w:val="18"/>
              </w:rPr>
            </w:pPr>
            <w:r>
              <w:rPr>
                <w:rFonts w:hint="eastAsia" w:ascii="宋体" w:hAnsi="宋体" w:cs="宋体"/>
                <w:sz w:val="18"/>
                <w:szCs w:val="18"/>
              </w:rPr>
              <w:t>10</w:t>
            </w:r>
          </w:p>
        </w:tc>
        <w:tc>
          <w:tcPr>
            <w:tcW w:w="1447" w:type="dxa"/>
            <w:vAlign w:val="center"/>
          </w:tcPr>
          <w:p>
            <w:pPr>
              <w:adjustRightInd w:val="0"/>
              <w:snapToGrid w:val="0"/>
              <w:spacing w:line="240" w:lineRule="auto"/>
              <w:ind w:firstLine="0" w:firstLineChars="0"/>
              <w:jc w:val="center"/>
              <w:rPr>
                <w:rFonts w:ascii="宋体" w:hAnsi="宋体" w:cs="宋体"/>
                <w:sz w:val="18"/>
                <w:szCs w:val="18"/>
              </w:rPr>
            </w:pPr>
            <w:r>
              <w:rPr>
                <w:rFonts w:hint="eastAsia" w:ascii="宋体" w:hAnsi="宋体" w:cs="宋体"/>
                <w:sz w:val="18"/>
                <w:szCs w:val="18"/>
              </w:rPr>
              <w:t>二源镇</w:t>
            </w:r>
          </w:p>
        </w:tc>
        <w:tc>
          <w:tcPr>
            <w:tcW w:w="1841" w:type="dxa"/>
            <w:vAlign w:val="center"/>
          </w:tcPr>
          <w:p>
            <w:pPr>
              <w:adjustRightInd w:val="0"/>
              <w:snapToGrid w:val="0"/>
              <w:spacing w:line="240" w:lineRule="auto"/>
              <w:ind w:firstLine="0" w:firstLineChars="0"/>
              <w:jc w:val="center"/>
              <w:rPr>
                <w:rFonts w:ascii="宋体" w:hAnsi="宋体" w:cs="宋体"/>
                <w:sz w:val="18"/>
                <w:szCs w:val="18"/>
              </w:rPr>
            </w:pPr>
            <w:r>
              <w:rPr>
                <w:rFonts w:ascii="宋体" w:hAnsi="宋体" w:cs="宋体"/>
                <w:sz w:val="18"/>
                <w:szCs w:val="18"/>
              </w:rPr>
              <w:t>29.53</w:t>
            </w:r>
          </w:p>
        </w:tc>
        <w:tc>
          <w:tcPr>
            <w:tcW w:w="1242" w:type="dxa"/>
            <w:vAlign w:val="center"/>
          </w:tcPr>
          <w:p>
            <w:pPr>
              <w:adjustRightInd w:val="0"/>
              <w:snapToGrid w:val="0"/>
              <w:spacing w:line="240" w:lineRule="auto"/>
              <w:ind w:firstLine="0" w:firstLineChars="0"/>
              <w:jc w:val="center"/>
              <w:rPr>
                <w:rFonts w:ascii="宋体" w:hAnsi="宋体" w:cs="宋体"/>
                <w:sz w:val="18"/>
                <w:szCs w:val="18"/>
              </w:rPr>
            </w:pPr>
            <w:r>
              <w:rPr>
                <w:rFonts w:ascii="宋体" w:hAnsi="宋体" w:cs="宋体"/>
                <w:sz w:val="18"/>
                <w:szCs w:val="18"/>
              </w:rPr>
              <w:t>9</w:t>
            </w:r>
          </w:p>
        </w:tc>
        <w:tc>
          <w:tcPr>
            <w:tcW w:w="3110" w:type="dxa"/>
            <w:vAlign w:val="center"/>
          </w:tcPr>
          <w:p>
            <w:pPr>
              <w:adjustRightInd w:val="0"/>
              <w:snapToGrid w:val="0"/>
              <w:spacing w:line="240" w:lineRule="auto"/>
              <w:ind w:firstLine="0" w:firstLineChars="0"/>
              <w:jc w:val="center"/>
              <w:rPr>
                <w:rFonts w:ascii="宋体" w:hAnsi="宋体" w:cs="宋体"/>
                <w:sz w:val="18"/>
                <w:szCs w:val="18"/>
              </w:rPr>
            </w:pPr>
            <w:r>
              <w:rPr>
                <w:rFonts w:hint="eastAsia" w:ascii="宋体" w:hAnsi="宋体" w:cs="宋体"/>
                <w:sz w:val="18"/>
                <w:szCs w:val="18"/>
              </w:rPr>
              <w:t>云上农开、诗画田园、九峰揽胜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 w:hRule="atLeast"/>
          <w:jc w:val="center"/>
        </w:trPr>
        <w:tc>
          <w:tcPr>
            <w:tcW w:w="994" w:type="dxa"/>
            <w:vAlign w:val="center"/>
          </w:tcPr>
          <w:p>
            <w:pPr>
              <w:adjustRightInd w:val="0"/>
              <w:snapToGrid w:val="0"/>
              <w:spacing w:line="240" w:lineRule="auto"/>
              <w:ind w:firstLine="0" w:firstLineChars="0"/>
              <w:jc w:val="center"/>
              <w:rPr>
                <w:rFonts w:ascii="宋体" w:hAnsi="宋体" w:cs="宋体"/>
                <w:sz w:val="18"/>
                <w:szCs w:val="18"/>
              </w:rPr>
            </w:pPr>
            <w:r>
              <w:rPr>
                <w:rFonts w:hint="eastAsia" w:ascii="宋体" w:hAnsi="宋体" w:cs="宋体"/>
                <w:sz w:val="18"/>
                <w:szCs w:val="18"/>
              </w:rPr>
              <w:t>11</w:t>
            </w:r>
          </w:p>
        </w:tc>
        <w:tc>
          <w:tcPr>
            <w:tcW w:w="1447" w:type="dxa"/>
            <w:vAlign w:val="center"/>
          </w:tcPr>
          <w:p>
            <w:pPr>
              <w:adjustRightInd w:val="0"/>
              <w:snapToGrid w:val="0"/>
              <w:spacing w:line="240" w:lineRule="auto"/>
              <w:ind w:firstLine="0" w:firstLineChars="0"/>
              <w:jc w:val="center"/>
              <w:rPr>
                <w:rFonts w:ascii="宋体" w:hAnsi="宋体" w:cs="宋体"/>
                <w:sz w:val="18"/>
                <w:szCs w:val="18"/>
              </w:rPr>
            </w:pPr>
            <w:r>
              <w:rPr>
                <w:rFonts w:hint="eastAsia" w:ascii="宋体" w:hAnsi="宋体" w:cs="宋体"/>
                <w:sz w:val="18"/>
                <w:szCs w:val="18"/>
              </w:rPr>
              <w:t>铜铃山镇</w:t>
            </w:r>
          </w:p>
        </w:tc>
        <w:tc>
          <w:tcPr>
            <w:tcW w:w="1841" w:type="dxa"/>
            <w:vAlign w:val="center"/>
          </w:tcPr>
          <w:p>
            <w:pPr>
              <w:adjustRightInd w:val="0"/>
              <w:snapToGrid w:val="0"/>
              <w:spacing w:line="240" w:lineRule="auto"/>
              <w:ind w:firstLine="0" w:firstLineChars="0"/>
              <w:jc w:val="center"/>
              <w:rPr>
                <w:rFonts w:ascii="宋体" w:hAnsi="宋体" w:cs="宋体"/>
                <w:sz w:val="18"/>
                <w:szCs w:val="18"/>
              </w:rPr>
            </w:pPr>
            <w:r>
              <w:rPr>
                <w:rFonts w:ascii="宋体" w:hAnsi="宋体" w:cs="宋体"/>
                <w:sz w:val="18"/>
                <w:szCs w:val="18"/>
              </w:rPr>
              <w:t>105.97</w:t>
            </w:r>
          </w:p>
        </w:tc>
        <w:tc>
          <w:tcPr>
            <w:tcW w:w="1242" w:type="dxa"/>
            <w:vAlign w:val="center"/>
          </w:tcPr>
          <w:p>
            <w:pPr>
              <w:adjustRightInd w:val="0"/>
              <w:snapToGrid w:val="0"/>
              <w:spacing w:line="240" w:lineRule="auto"/>
              <w:ind w:firstLine="0" w:firstLineChars="0"/>
              <w:jc w:val="center"/>
              <w:rPr>
                <w:rFonts w:ascii="宋体" w:hAnsi="宋体" w:cs="宋体"/>
                <w:sz w:val="18"/>
                <w:szCs w:val="18"/>
              </w:rPr>
            </w:pPr>
            <w:r>
              <w:rPr>
                <w:rFonts w:ascii="宋体" w:hAnsi="宋体" w:cs="宋体"/>
                <w:sz w:val="18"/>
                <w:szCs w:val="18"/>
              </w:rPr>
              <w:t>10</w:t>
            </w:r>
          </w:p>
        </w:tc>
        <w:tc>
          <w:tcPr>
            <w:tcW w:w="3110" w:type="dxa"/>
            <w:vAlign w:val="center"/>
          </w:tcPr>
          <w:p>
            <w:pPr>
              <w:adjustRightInd w:val="0"/>
              <w:snapToGrid w:val="0"/>
              <w:spacing w:line="240" w:lineRule="auto"/>
              <w:ind w:firstLine="0" w:firstLineChars="0"/>
              <w:jc w:val="center"/>
              <w:rPr>
                <w:rFonts w:ascii="宋体" w:hAnsi="宋体" w:cs="宋体"/>
                <w:sz w:val="18"/>
                <w:szCs w:val="18"/>
              </w:rPr>
            </w:pPr>
            <w:r>
              <w:rPr>
                <w:rFonts w:hint="eastAsia" w:ascii="宋体" w:hAnsi="宋体" w:cs="宋体"/>
                <w:sz w:val="18"/>
                <w:szCs w:val="18"/>
              </w:rPr>
              <w:t>云上氧吧、铜画森铃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 w:hRule="atLeast"/>
          <w:jc w:val="center"/>
        </w:trPr>
        <w:tc>
          <w:tcPr>
            <w:tcW w:w="994" w:type="dxa"/>
            <w:vAlign w:val="center"/>
          </w:tcPr>
          <w:p>
            <w:pPr>
              <w:adjustRightInd w:val="0"/>
              <w:snapToGrid w:val="0"/>
              <w:spacing w:line="240" w:lineRule="auto"/>
              <w:ind w:firstLine="0" w:firstLineChars="0"/>
              <w:jc w:val="center"/>
              <w:rPr>
                <w:rFonts w:ascii="宋体" w:hAnsi="宋体" w:cs="宋体"/>
                <w:sz w:val="18"/>
                <w:szCs w:val="18"/>
              </w:rPr>
            </w:pPr>
            <w:r>
              <w:rPr>
                <w:rFonts w:hint="eastAsia" w:ascii="宋体" w:hAnsi="宋体" w:cs="宋体"/>
                <w:sz w:val="18"/>
                <w:szCs w:val="18"/>
              </w:rPr>
              <w:t>12</w:t>
            </w:r>
          </w:p>
        </w:tc>
        <w:tc>
          <w:tcPr>
            <w:tcW w:w="1447" w:type="dxa"/>
            <w:vAlign w:val="center"/>
          </w:tcPr>
          <w:p>
            <w:pPr>
              <w:adjustRightInd w:val="0"/>
              <w:snapToGrid w:val="0"/>
              <w:spacing w:line="240" w:lineRule="auto"/>
              <w:ind w:firstLine="0" w:firstLineChars="0"/>
              <w:jc w:val="center"/>
              <w:rPr>
                <w:rFonts w:ascii="宋体" w:hAnsi="宋体" w:cs="宋体"/>
                <w:sz w:val="18"/>
                <w:szCs w:val="18"/>
              </w:rPr>
            </w:pPr>
            <w:r>
              <w:rPr>
                <w:rFonts w:hint="eastAsia" w:ascii="宋体" w:hAnsi="宋体" w:cs="宋体"/>
                <w:sz w:val="18"/>
                <w:szCs w:val="18"/>
              </w:rPr>
              <w:t>桂山乡</w:t>
            </w:r>
          </w:p>
        </w:tc>
        <w:tc>
          <w:tcPr>
            <w:tcW w:w="1841" w:type="dxa"/>
            <w:vAlign w:val="center"/>
          </w:tcPr>
          <w:p>
            <w:pPr>
              <w:adjustRightInd w:val="0"/>
              <w:snapToGrid w:val="0"/>
              <w:spacing w:line="240" w:lineRule="auto"/>
              <w:ind w:firstLine="0" w:firstLineChars="0"/>
              <w:jc w:val="center"/>
              <w:rPr>
                <w:rFonts w:ascii="宋体" w:hAnsi="宋体" w:cs="宋体"/>
                <w:sz w:val="18"/>
                <w:szCs w:val="18"/>
              </w:rPr>
            </w:pPr>
            <w:r>
              <w:rPr>
                <w:rFonts w:ascii="宋体" w:hAnsi="宋体" w:cs="宋体"/>
                <w:sz w:val="18"/>
                <w:szCs w:val="18"/>
              </w:rPr>
              <w:t>5.61</w:t>
            </w:r>
          </w:p>
        </w:tc>
        <w:tc>
          <w:tcPr>
            <w:tcW w:w="1242" w:type="dxa"/>
            <w:vAlign w:val="center"/>
          </w:tcPr>
          <w:p>
            <w:pPr>
              <w:adjustRightInd w:val="0"/>
              <w:snapToGrid w:val="0"/>
              <w:spacing w:line="240" w:lineRule="auto"/>
              <w:ind w:firstLine="0" w:firstLineChars="0"/>
              <w:jc w:val="center"/>
              <w:rPr>
                <w:rFonts w:ascii="宋体" w:hAnsi="宋体" w:cs="宋体"/>
                <w:sz w:val="18"/>
                <w:szCs w:val="18"/>
              </w:rPr>
            </w:pPr>
            <w:r>
              <w:rPr>
                <w:rFonts w:ascii="宋体" w:hAnsi="宋体" w:cs="宋体"/>
                <w:sz w:val="18"/>
                <w:szCs w:val="18"/>
              </w:rPr>
              <w:t>1</w:t>
            </w:r>
          </w:p>
        </w:tc>
        <w:tc>
          <w:tcPr>
            <w:tcW w:w="3110" w:type="dxa"/>
            <w:vAlign w:val="center"/>
          </w:tcPr>
          <w:p>
            <w:pPr>
              <w:adjustRightInd w:val="0"/>
              <w:snapToGrid w:val="0"/>
              <w:spacing w:line="240" w:lineRule="auto"/>
              <w:ind w:firstLine="0" w:firstLineChars="0"/>
              <w:jc w:val="center"/>
              <w:rPr>
                <w:rFonts w:ascii="宋体" w:hAnsi="宋体" w:cs="宋体"/>
                <w:sz w:val="18"/>
                <w:szCs w:val="18"/>
              </w:rPr>
            </w:pPr>
            <w:r>
              <w:rPr>
                <w:rFonts w:hint="eastAsia" w:ascii="宋体" w:hAnsi="宋体" w:cs="宋体"/>
                <w:sz w:val="18"/>
                <w:szCs w:val="18"/>
              </w:rPr>
              <w:t>稻香竹海、鳌源桂山</w:t>
            </w:r>
          </w:p>
        </w:tc>
      </w:tr>
    </w:tbl>
    <w:p>
      <w:pPr>
        <w:keepNext/>
        <w:keepLines/>
        <w:spacing w:before="156" w:beforeLines="50"/>
        <w:ind w:left="142" w:firstLine="361" w:firstLineChars="150"/>
        <w:outlineLvl w:val="2"/>
        <w:rPr>
          <w:rFonts w:ascii="宋体" w:hAnsi="宋体" w:cs="宋体"/>
          <w:b/>
          <w:kern w:val="0"/>
        </w:rPr>
      </w:pPr>
      <w:r>
        <w:rPr>
          <w:rFonts w:hint="eastAsia" w:ascii="宋体" w:hAnsi="宋体" w:cs="宋体"/>
          <w:b/>
          <w:kern w:val="0"/>
        </w:rPr>
        <w:t>1、大峃镇</w:t>
      </w:r>
    </w:p>
    <w:p>
      <w:pPr>
        <w:spacing w:before="72" w:after="93" w:afterLines="30"/>
        <w:ind w:firstLine="480"/>
        <w:rPr>
          <w:rFonts w:cs="宋体"/>
        </w:rPr>
      </w:pPr>
      <w:r>
        <w:rPr>
          <w:rFonts w:hint="eastAsia" w:cs="宋体"/>
        </w:rPr>
        <w:t>发展定位：山水侨城、服务中心</w:t>
      </w:r>
    </w:p>
    <w:p>
      <w:pPr>
        <w:spacing w:before="72" w:after="93" w:afterLines="30"/>
        <w:ind w:firstLine="480"/>
        <w:rPr>
          <w:rFonts w:cs="宋体"/>
        </w:rPr>
      </w:pPr>
      <w:r>
        <w:rPr>
          <w:rFonts w:hint="eastAsia" w:cs="宋体"/>
        </w:rPr>
        <w:t>大峃镇规划为旅游城，未来随着青文高速、温武吉铁路的建设，大峃镇将有3个互通及一处高铁站，将承担全域景区的旅游集散、服务设施配套等综合旅游服务功能，也是整个风景区的门户区域。未来通过大会岭红枫古道沿线资源的整合提升，串联大峃镇-百丈漈景区，以侨乡文化为载体，建设侨城旅游乐园、跨境侨商产业区等，将大峃镇打造成集观光、休闲、度假、娱乐、购物为一体的综合性旅游服务中心、山水生态生活新城镇和归侨创新创业新基地。</w:t>
      </w:r>
      <w:r>
        <w:rPr>
          <w:rFonts w:cs="宋体"/>
        </w:rPr>
        <w:t xml:space="preserve"> </w:t>
      </w:r>
    </w:p>
    <w:p>
      <w:pPr>
        <w:keepNext/>
        <w:keepLines/>
        <w:spacing w:before="156" w:beforeLines="50"/>
        <w:ind w:left="142" w:firstLine="361" w:firstLineChars="150"/>
        <w:outlineLvl w:val="2"/>
        <w:rPr>
          <w:rFonts w:ascii="宋体" w:hAnsi="宋体" w:cs="宋体"/>
          <w:b/>
          <w:kern w:val="0"/>
        </w:rPr>
      </w:pPr>
      <w:r>
        <w:rPr>
          <w:rFonts w:hint="eastAsia" w:ascii="宋体" w:hAnsi="宋体" w:cs="宋体"/>
          <w:b/>
          <w:kern w:val="0"/>
        </w:rPr>
        <w:t>2、珊溪镇</w:t>
      </w:r>
    </w:p>
    <w:p>
      <w:pPr>
        <w:spacing w:before="72" w:after="93" w:afterLines="30"/>
        <w:ind w:firstLine="480"/>
        <w:rPr>
          <w:rFonts w:cs="宋体"/>
        </w:rPr>
      </w:pPr>
      <w:r>
        <w:rPr>
          <w:rFonts w:hint="eastAsia" w:cs="宋体"/>
        </w:rPr>
        <w:t>发展定位：悦享云江、灵秀珊溪</w:t>
      </w:r>
    </w:p>
    <w:p>
      <w:pPr>
        <w:spacing w:before="72" w:after="93" w:afterLines="30"/>
        <w:ind w:firstLine="480"/>
        <w:rPr>
          <w:rFonts w:cs="宋体"/>
        </w:rPr>
      </w:pPr>
      <w:r>
        <w:rPr>
          <w:rFonts w:hint="eastAsia" w:cs="宋体"/>
        </w:rPr>
        <w:t>珊溪镇位于文成县东南部，是国家重点工程珊溪水库所在地，是文成县“南大门”和文平泰县际商贸流通枢纽、旅游集散枢纽、公共服务枢纽。规划充分发挥其独特的区位交通优势和“水经济”特色，推动珊溪镇重振云江繁华，规划按照“全域景区化”思路，深入挖掘水文化、红色文化、孝文化、农耕文化资源，着力打造云江秀水带、农旅融合区、森林康养区、生态保育区等“一带三区”。依托龙丽温珊溪高速口枢纽、</w:t>
      </w:r>
      <w:r>
        <w:rPr>
          <w:rFonts w:cs="宋体"/>
        </w:rPr>
        <w:t>S219</w:t>
      </w:r>
      <w:r>
        <w:rPr>
          <w:rFonts w:hint="eastAsia" w:cs="宋体"/>
        </w:rPr>
        <w:t>、</w:t>
      </w:r>
      <w:r>
        <w:rPr>
          <w:rFonts w:cs="宋体"/>
        </w:rPr>
        <w:t>S220</w:t>
      </w:r>
      <w:r>
        <w:rPr>
          <w:rFonts w:hint="eastAsia" w:cs="宋体"/>
        </w:rPr>
        <w:t>区位优势，强化旅客集散平台建设，完善相关配套服务功能，谋划环湖文旅振兴、福首源流域精品旅游带、云江文旅旅游集散中心等项目，打造集红色研学、休闲康养、农旅融合等宜业宜居宜游的县域副中心镇。</w:t>
      </w:r>
    </w:p>
    <w:p>
      <w:pPr>
        <w:keepNext/>
        <w:keepLines/>
        <w:spacing w:before="156" w:beforeLines="50"/>
        <w:ind w:left="142" w:firstLine="361" w:firstLineChars="150"/>
        <w:outlineLvl w:val="2"/>
        <w:rPr>
          <w:rFonts w:ascii="宋体" w:hAnsi="宋体" w:cs="宋体"/>
          <w:b/>
          <w:kern w:val="0"/>
        </w:rPr>
      </w:pPr>
      <w:r>
        <w:rPr>
          <w:rFonts w:hint="eastAsia" w:ascii="宋体" w:hAnsi="宋体" w:cs="宋体"/>
          <w:b/>
          <w:kern w:val="0"/>
        </w:rPr>
        <w:t>3、玉壶镇</w:t>
      </w:r>
    </w:p>
    <w:p>
      <w:pPr>
        <w:spacing w:before="72" w:after="93" w:afterLines="30"/>
        <w:ind w:firstLine="480"/>
        <w:rPr>
          <w:rFonts w:cs="宋体"/>
        </w:rPr>
      </w:pPr>
      <w:r>
        <w:rPr>
          <w:rFonts w:hint="eastAsia" w:cs="宋体"/>
        </w:rPr>
        <w:t>发展定位：侨韵玉壶、国际慢城</w:t>
      </w:r>
    </w:p>
    <w:p>
      <w:pPr>
        <w:spacing w:before="72" w:after="93" w:afterLines="30"/>
        <w:ind w:firstLine="480"/>
        <w:rPr>
          <w:rFonts w:cs="宋体"/>
        </w:rPr>
      </w:pPr>
      <w:r>
        <w:rPr>
          <w:rFonts w:hint="eastAsia" w:cs="宋体"/>
        </w:rPr>
        <w:t>玉壶镇是浙江省首个国际慢城，规划紧紧围绕五个“山水侨城”和“五侨聚力”的发展目标，打造更具辨识度的“山水侨城”玉壶样板。重点聚焦红酒、西餐文化体验，侨情、侨史展示平台，侨一代特色康养、华二代特色教育服务等，着力规划打造慢城风情体验区、侨韵文化展示区、为侨服务示范区等三个区，加快建设“与侨共融”回归体系。同时，规划基于文青高速在玉壶镇区设出入口，对内将以“侨场景”为核心串联全域节点，打造集田园风光体验、侨史见学、西餐打卡、革命教育为位一体的特色研学路线。对外，将加强与中心城区甚至上海、杭州、温州、青田的区域联系，依托青文高速、青文泰公路打造侨韵山水风情带，并与周壤镇进行抱团发展，共同做强做特侨乡文旅产业。</w:t>
      </w:r>
    </w:p>
    <w:p>
      <w:pPr>
        <w:keepNext/>
        <w:keepLines/>
        <w:spacing w:before="156" w:beforeLines="50"/>
        <w:ind w:left="142" w:firstLine="361" w:firstLineChars="150"/>
        <w:outlineLvl w:val="2"/>
        <w:rPr>
          <w:rFonts w:ascii="宋体" w:hAnsi="宋体" w:cs="宋体"/>
          <w:b/>
          <w:kern w:val="0"/>
        </w:rPr>
      </w:pPr>
      <w:r>
        <w:rPr>
          <w:rFonts w:hint="eastAsia" w:ascii="宋体" w:hAnsi="宋体" w:cs="宋体"/>
          <w:b/>
          <w:kern w:val="0"/>
        </w:rPr>
        <w:t>4、南田镇</w:t>
      </w:r>
    </w:p>
    <w:p>
      <w:pPr>
        <w:spacing w:before="72" w:after="93" w:afterLines="30"/>
        <w:ind w:firstLine="480"/>
        <w:rPr>
          <w:rFonts w:cs="宋体"/>
        </w:rPr>
      </w:pPr>
      <w:r>
        <w:rPr>
          <w:rFonts w:hint="eastAsia" w:cs="宋体"/>
        </w:rPr>
        <w:t>发展定位：伯温故里、福地南田</w:t>
      </w:r>
    </w:p>
    <w:p>
      <w:pPr>
        <w:spacing w:before="72" w:after="93" w:afterLines="30"/>
        <w:ind w:firstLine="480"/>
        <w:rPr>
          <w:rFonts w:cs="宋体"/>
        </w:rPr>
      </w:pPr>
      <w:r>
        <w:rPr>
          <w:rFonts w:hint="eastAsia" w:cs="宋体"/>
        </w:rPr>
        <w:t>南田镇规划以伯温文化为核心，集文化体验、研学教育、休闲度假于一体的文旅融合特色镇。聚焦南田伯温文化挖掘，做好刘伯温文化战略研究，做实做强福地南田品牌。以刘伯温故里景区综合改造提升工程建设为契机，串联刘基文化产业园、刘基庙、武阳村等分散文旅资源连线成片，提升南田镇旅游发展核心竞争力。持续开展南田“太公祭”“伯温传说”“伯温家宴”等民俗活动，提升其影响力，打造福地南田品牌，持续推进扶持武阳等特色旅游村的</w:t>
      </w:r>
      <w:r>
        <w:rPr>
          <w:rFonts w:cs="宋体"/>
        </w:rPr>
        <w:t>“</w:t>
      </w:r>
      <w:r>
        <w:rPr>
          <w:rFonts w:hint="eastAsia" w:cs="宋体"/>
        </w:rPr>
        <w:t>侨家乐</w:t>
      </w:r>
      <w:r>
        <w:rPr>
          <w:rFonts w:cs="宋体"/>
        </w:rPr>
        <w:t>”</w:t>
      </w:r>
      <w:r>
        <w:rPr>
          <w:rFonts w:hint="eastAsia" w:cs="宋体"/>
        </w:rPr>
        <w:t>民宿发展，形成民宿产业品牌。</w:t>
      </w:r>
    </w:p>
    <w:p>
      <w:pPr>
        <w:keepNext/>
        <w:keepLines/>
        <w:spacing w:before="156" w:beforeLines="50"/>
        <w:ind w:left="142" w:firstLine="361" w:firstLineChars="150"/>
        <w:outlineLvl w:val="2"/>
        <w:rPr>
          <w:rFonts w:ascii="宋体" w:hAnsi="宋体" w:cs="宋体"/>
          <w:b/>
          <w:kern w:val="0"/>
        </w:rPr>
      </w:pPr>
      <w:r>
        <w:rPr>
          <w:rFonts w:hint="eastAsia" w:ascii="宋体" w:hAnsi="宋体" w:cs="宋体"/>
          <w:b/>
          <w:kern w:val="0"/>
        </w:rPr>
        <w:t>5、黄坦镇</w:t>
      </w:r>
    </w:p>
    <w:p>
      <w:pPr>
        <w:spacing w:before="72" w:after="93" w:afterLines="30"/>
        <w:ind w:firstLine="480"/>
        <w:rPr>
          <w:rFonts w:cs="宋体"/>
        </w:rPr>
      </w:pPr>
      <w:r>
        <w:rPr>
          <w:rFonts w:hint="eastAsia" w:cs="宋体"/>
        </w:rPr>
        <w:t>发展定位：湖光秘境、智造新城</w:t>
      </w:r>
    </w:p>
    <w:p>
      <w:pPr>
        <w:spacing w:before="72" w:after="93" w:afterLines="30"/>
        <w:ind w:firstLine="480"/>
        <w:rPr>
          <w:rFonts w:cs="宋体"/>
        </w:rPr>
      </w:pPr>
      <w:r>
        <w:rPr>
          <w:rFonts w:hint="eastAsia" w:cs="宋体"/>
        </w:rPr>
        <w:t>黄坦镇靠近县城大峃镇，是文成县未来重点发展的工业平台，也是中心城区构建</w:t>
      </w:r>
      <w:r>
        <w:rPr>
          <w:rFonts w:cs="宋体"/>
        </w:rPr>
        <w:t>“</w:t>
      </w:r>
      <w:r>
        <w:rPr>
          <w:rFonts w:hint="eastAsia" w:cs="宋体"/>
        </w:rPr>
        <w:t>组成城区</w:t>
      </w:r>
      <w:r>
        <w:rPr>
          <w:rFonts w:cs="宋体"/>
        </w:rPr>
        <w:t>”</w:t>
      </w:r>
      <w:r>
        <w:rPr>
          <w:rFonts w:hint="eastAsia" w:cs="宋体"/>
        </w:rPr>
        <w:t>的重要组成。在文成县国土空间规划中以打造</w:t>
      </w:r>
      <w:r>
        <w:rPr>
          <w:rFonts w:cs="宋体"/>
        </w:rPr>
        <w:t>“</w:t>
      </w:r>
      <w:r>
        <w:rPr>
          <w:rFonts w:hint="eastAsia" w:cs="宋体"/>
        </w:rPr>
        <w:t>大智造、大健康、高端纺为主导的产业新城</w:t>
      </w:r>
      <w:r>
        <w:rPr>
          <w:rFonts w:cs="宋体"/>
        </w:rPr>
        <w:t>”</w:t>
      </w:r>
      <w:r>
        <w:rPr>
          <w:rFonts w:hint="eastAsia" w:cs="宋体"/>
        </w:rPr>
        <w:t>为目标，</w:t>
      </w:r>
      <w:r>
        <w:rPr>
          <w:rFonts w:cs="宋体"/>
        </w:rPr>
        <w:t xml:space="preserve"> </w:t>
      </w:r>
      <w:r>
        <w:rPr>
          <w:rFonts w:hint="eastAsia" w:cs="宋体"/>
        </w:rPr>
        <w:t>借文成南互通至黄坦公路的建设契机，加快融入中心城区，依托生态产业基地平台，完善城镇功能，打造环境优美、三产协同发展，形成“工</w:t>
      </w:r>
      <w:r>
        <w:rPr>
          <w:rFonts w:cs="宋体"/>
        </w:rPr>
        <w:t>+</w:t>
      </w:r>
      <w:r>
        <w:rPr>
          <w:rFonts w:hint="eastAsia" w:cs="宋体"/>
        </w:rPr>
        <w:t>居</w:t>
      </w:r>
      <w:r>
        <w:rPr>
          <w:rFonts w:cs="宋体"/>
        </w:rPr>
        <w:t>+</w:t>
      </w:r>
      <w:r>
        <w:rPr>
          <w:rFonts w:hint="eastAsia" w:cs="宋体"/>
        </w:rPr>
        <w:t>旅”的协调格局。镇区西侧围绕栖真寺形成的文化旅游片</w:t>
      </w:r>
      <w:r>
        <w:rPr>
          <w:rFonts w:cs="宋体"/>
        </w:rPr>
        <w:t xml:space="preserve"> </w:t>
      </w:r>
      <w:r>
        <w:rPr>
          <w:rFonts w:hint="eastAsia" w:cs="宋体"/>
        </w:rPr>
        <w:t>，构建环境优美的宗教人文组团，实现主客共享的优美景观。黄坦坑、雅梅水库及两条小溪贯穿镇区，形成自然景观轴线，使得镇区空间更具灵气</w:t>
      </w:r>
      <w:r>
        <w:rPr>
          <w:rFonts w:cs="宋体"/>
        </w:rPr>
        <w:t xml:space="preserve"> </w:t>
      </w:r>
      <w:r>
        <w:rPr>
          <w:rFonts w:hint="eastAsia" w:cs="宋体"/>
        </w:rPr>
        <w:t>。</w:t>
      </w:r>
    </w:p>
    <w:p>
      <w:pPr>
        <w:keepNext/>
        <w:keepLines/>
        <w:spacing w:before="156" w:beforeLines="50"/>
        <w:ind w:left="142" w:firstLine="361" w:firstLineChars="150"/>
        <w:outlineLvl w:val="2"/>
        <w:rPr>
          <w:rFonts w:ascii="宋体" w:hAnsi="宋体" w:cs="宋体"/>
          <w:b/>
          <w:kern w:val="0"/>
        </w:rPr>
      </w:pPr>
      <w:r>
        <w:rPr>
          <w:rFonts w:hint="eastAsia" w:ascii="宋体" w:hAnsi="宋体" w:cs="宋体"/>
          <w:b/>
          <w:kern w:val="0"/>
        </w:rPr>
        <w:t>6、西坑畲族镇</w:t>
      </w:r>
    </w:p>
    <w:p>
      <w:pPr>
        <w:spacing w:before="72" w:after="93" w:afterLines="30"/>
        <w:ind w:firstLine="480"/>
        <w:rPr>
          <w:rFonts w:cs="宋体"/>
        </w:rPr>
      </w:pPr>
      <w:r>
        <w:rPr>
          <w:rFonts w:hint="eastAsia" w:cs="宋体"/>
        </w:rPr>
        <w:t>发展定位：畲乡禅韵、风情小镇</w:t>
      </w:r>
    </w:p>
    <w:p>
      <w:pPr>
        <w:spacing w:before="72" w:after="93" w:afterLines="30"/>
        <w:ind w:firstLine="480"/>
        <w:rPr>
          <w:rFonts w:cs="宋体"/>
        </w:rPr>
      </w:pPr>
      <w:r>
        <w:rPr>
          <w:rFonts w:hint="eastAsia" w:cs="宋体"/>
        </w:rPr>
        <w:t>西坑畲族镇作为浙江省为数不多的民族乡镇，依托自身资源与区位优势，规划为以畲族风情、安福禅修、自然教育、休闲观光为一体的文旅融合特色镇，未来将以西坑畲族镇天圣山文化园改造提升工程、龙麒源景区综合服务设施提升工程项目建设为抓手，进一步强化特色畲族乡镇文化品牌打造，促进休闲农旅</w:t>
      </w:r>
      <w:r>
        <w:rPr>
          <w:rFonts w:cs="宋体"/>
        </w:rPr>
        <w:t>+</w:t>
      </w:r>
      <w:r>
        <w:rPr>
          <w:rFonts w:hint="eastAsia" w:cs="宋体"/>
        </w:rPr>
        <w:t>文化旅游的互动发展，同时突显西坑作为区域旅游节点城镇功能，发挥区域旅游节点功能，强化基础设施、服务设施的共建共享，城乡一体，全力打造乡村振兴新样板，全力打造秀美畲乡新格局，促进景镇村联动发展，践行共富示范。</w:t>
      </w:r>
    </w:p>
    <w:p>
      <w:pPr>
        <w:keepNext/>
        <w:keepLines/>
        <w:spacing w:before="156" w:beforeLines="50"/>
        <w:ind w:left="142" w:firstLine="361" w:firstLineChars="150"/>
        <w:outlineLvl w:val="2"/>
        <w:rPr>
          <w:rFonts w:ascii="宋体" w:hAnsi="宋体" w:cs="宋体"/>
          <w:b/>
          <w:kern w:val="0"/>
        </w:rPr>
      </w:pPr>
      <w:r>
        <w:rPr>
          <w:rFonts w:ascii="宋体" w:hAnsi="宋体" w:cs="宋体"/>
          <w:b/>
          <w:kern w:val="0"/>
        </w:rPr>
        <w:t>7</w:t>
      </w:r>
      <w:r>
        <w:rPr>
          <w:rFonts w:hint="eastAsia" w:ascii="宋体" w:hAnsi="宋体" w:cs="宋体"/>
          <w:b/>
          <w:kern w:val="0"/>
        </w:rPr>
        <w:t>、百丈漈镇</w:t>
      </w:r>
    </w:p>
    <w:p>
      <w:pPr>
        <w:spacing w:before="72" w:after="93" w:afterLines="30"/>
        <w:ind w:firstLine="480"/>
        <w:rPr>
          <w:rFonts w:cs="宋体"/>
        </w:rPr>
      </w:pPr>
      <w:r>
        <w:rPr>
          <w:rFonts w:hint="eastAsia" w:cs="宋体"/>
        </w:rPr>
        <w:t>发展定位：高山飞瀑、悦动小镇、航空小镇</w:t>
      </w:r>
    </w:p>
    <w:p>
      <w:pPr>
        <w:spacing w:before="72" w:after="93" w:afterLines="30"/>
        <w:ind w:firstLine="480"/>
        <w:rPr>
          <w:rFonts w:cs="宋体"/>
        </w:rPr>
      </w:pPr>
      <w:r>
        <w:rPr>
          <w:rFonts w:hint="eastAsia" w:cs="宋体"/>
        </w:rPr>
        <w:t>百丈漈镇规划依托天顶湖等优越的自然生态资源和天湖省级旅游度假区等良好的产业基础，抢抓低空经济新赛道，围绕“低空经济产业链条”，积极推进通用航空机场建设，先试先行各类低空场景，构建“低空</w:t>
      </w:r>
      <w:r>
        <w:rPr>
          <w:rFonts w:cs="宋体"/>
        </w:rPr>
        <w:t>+</w:t>
      </w:r>
      <w:r>
        <w:rPr>
          <w:rFonts w:hint="eastAsia" w:cs="宋体"/>
        </w:rPr>
        <w:t>文旅、应急、交通、物流、服务”等系列场景，打造“高山飞瀑、悦动小镇、航空小镇</w:t>
      </w:r>
      <w:r>
        <w:rPr>
          <w:rFonts w:cs="宋体"/>
        </w:rPr>
        <w:t>"</w:t>
      </w:r>
      <w:r>
        <w:rPr>
          <w:rFonts w:hint="eastAsia" w:cs="宋体"/>
        </w:rPr>
        <w:t>，成为主客共享的运动度假小镇和文成县生态旅游、低空经济产业基地。在镇域内形成环湖康养、农旅休闲、户外运动三大主题片区，沿大南路、飞瀑路等风景路及绿道串联镇区、百丈漈、天顶湖等景区和篁庄村、石庄村、西段村等景区村，形成镇域特色游线，推进景镇村联动发展，实现全域景区化，借助</w:t>
      </w:r>
      <w:r>
        <w:rPr>
          <w:rFonts w:cs="宋体"/>
        </w:rPr>
        <w:t>S216</w:t>
      </w:r>
      <w:r>
        <w:rPr>
          <w:rFonts w:hint="eastAsia" w:cs="宋体"/>
        </w:rPr>
        <w:t>、大南线、</w:t>
      </w:r>
      <w:r>
        <w:rPr>
          <w:rFonts w:cs="宋体"/>
        </w:rPr>
        <w:t>G322</w:t>
      </w:r>
      <w:r>
        <w:rPr>
          <w:rFonts w:hint="eastAsia" w:cs="宋体"/>
        </w:rPr>
        <w:t>的建设融入县域旅游发展大格局。同时深化天湖省级旅游度假区创建，加快环天顶湖系列重大文旅项目建设</w:t>
      </w:r>
      <w:r>
        <w:rPr>
          <w:rFonts w:cs="宋体"/>
        </w:rPr>
        <w:t>(</w:t>
      </w:r>
      <w:r>
        <w:rPr>
          <w:rFonts w:hint="eastAsia" w:cs="宋体"/>
        </w:rPr>
        <w:t>环湖绿道项目、地中海俱乐部项目、天湖山地休闲运动度假胜地项目</w:t>
      </w:r>
      <w:r>
        <w:rPr>
          <w:rFonts w:cs="宋体"/>
        </w:rPr>
        <w:t>)</w:t>
      </w:r>
      <w:r>
        <w:rPr>
          <w:rFonts w:hint="eastAsia" w:cs="宋体"/>
        </w:rPr>
        <w:t>，充分发挥刘伯温故里</w:t>
      </w:r>
      <w:r>
        <w:rPr>
          <w:rFonts w:cs="宋体"/>
        </w:rPr>
        <w:t>5A</w:t>
      </w:r>
      <w:r>
        <w:rPr>
          <w:rFonts w:hint="eastAsia" w:cs="宋体"/>
        </w:rPr>
        <w:t>景区带动作用，持续推进“侨家乐”民宿集聚发展。</w:t>
      </w:r>
    </w:p>
    <w:p>
      <w:pPr>
        <w:keepNext/>
        <w:keepLines/>
        <w:spacing w:before="156" w:beforeLines="50"/>
        <w:ind w:left="142" w:firstLine="361" w:firstLineChars="150"/>
        <w:outlineLvl w:val="2"/>
        <w:rPr>
          <w:rFonts w:ascii="宋体" w:hAnsi="宋体" w:cs="宋体"/>
          <w:b/>
          <w:kern w:val="0"/>
        </w:rPr>
      </w:pPr>
      <w:r>
        <w:rPr>
          <w:rFonts w:hint="eastAsia" w:ascii="宋体" w:hAnsi="宋体" w:cs="宋体"/>
          <w:b/>
          <w:kern w:val="0"/>
        </w:rPr>
        <w:t>8、巨屿镇</w:t>
      </w:r>
    </w:p>
    <w:p>
      <w:pPr>
        <w:spacing w:before="72" w:after="93" w:afterLines="30"/>
        <w:ind w:firstLine="480"/>
        <w:rPr>
          <w:rFonts w:cs="宋体"/>
        </w:rPr>
      </w:pPr>
      <w:r>
        <w:rPr>
          <w:rFonts w:hint="eastAsia" w:cs="宋体"/>
        </w:rPr>
        <w:t>发展定位：艺术旅居、休闲巨屿</w:t>
      </w:r>
    </w:p>
    <w:p>
      <w:pPr>
        <w:spacing w:before="72" w:after="93" w:afterLines="30"/>
        <w:ind w:firstLine="480"/>
        <w:rPr>
          <w:rFonts w:cs="宋体"/>
        </w:rPr>
      </w:pPr>
      <w:r>
        <w:rPr>
          <w:rFonts w:hint="eastAsia" w:cs="宋体"/>
        </w:rPr>
        <w:t>巨屿镇位于文成县城南部，秀美的飞云江穿镇而过。规划锚定飞云江流域文旅开发、水经济产业发展、珊溪巨屿发展一体化，全面打造云江秀水十里画廊核心区，建设水韵美丽新巨屿。</w:t>
      </w:r>
    </w:p>
    <w:p>
      <w:pPr>
        <w:keepNext/>
        <w:keepLines/>
        <w:spacing w:before="156" w:beforeLines="50"/>
        <w:ind w:left="142" w:firstLine="361" w:firstLineChars="150"/>
        <w:outlineLvl w:val="2"/>
        <w:rPr>
          <w:rFonts w:ascii="宋体" w:hAnsi="宋体" w:cs="宋体"/>
          <w:b/>
          <w:kern w:val="0"/>
        </w:rPr>
      </w:pPr>
      <w:r>
        <w:rPr>
          <w:rFonts w:hint="eastAsia" w:ascii="宋体" w:hAnsi="宋体" w:cs="宋体"/>
          <w:b/>
          <w:kern w:val="0"/>
        </w:rPr>
        <w:t>9、周壤镇</w:t>
      </w:r>
    </w:p>
    <w:p>
      <w:pPr>
        <w:spacing w:before="72" w:after="93" w:afterLines="30"/>
        <w:ind w:firstLine="480"/>
        <w:rPr>
          <w:rFonts w:cs="宋体"/>
        </w:rPr>
      </w:pPr>
      <w:r>
        <w:rPr>
          <w:rFonts w:hint="eastAsia" w:cs="宋体"/>
        </w:rPr>
        <w:t>发展定位：孝廉侨乡、幸福周壤</w:t>
      </w:r>
    </w:p>
    <w:p>
      <w:pPr>
        <w:spacing w:before="72" w:after="93" w:afterLines="30"/>
        <w:ind w:firstLine="480"/>
        <w:rPr>
          <w:rFonts w:cs="宋体"/>
        </w:rPr>
      </w:pPr>
      <w:r>
        <w:rPr>
          <w:rFonts w:hint="eastAsia" w:cs="宋体"/>
        </w:rPr>
        <w:t>周壤镇规划紧紧围绕“五个山水侨城”的发展目标，不断完善城镇功能配套，持续优化城乡环境，打造更具侨乡特色的宜居宜养宜游“县城共富后花园”。以“五侨聚力”中的“侨优享”为发力点</w:t>
      </w:r>
      <w:r>
        <w:rPr>
          <w:rFonts w:cs="宋体"/>
        </w:rPr>
        <w:t xml:space="preserve"> </w:t>
      </w:r>
      <w:r>
        <w:rPr>
          <w:rFonts w:hint="eastAsia" w:cs="宋体"/>
        </w:rPr>
        <w:t>，推动“建强侨阵地、改善侨安居、丰富侨休闲、守护侨健康、提升侨善治”等五大专项行动，构建“吾侨生活圈”。重点推进青文高速及周壤至金珠林场的通景公路，铺开“一纵六横、内联外畅”交通网络。依托侨乡优势资源，联动玉壶共同打造一系列有特色的侨场景，谋划高端康养、研学实践、休闲观光等“旅游</w:t>
      </w:r>
      <w:r>
        <w:rPr>
          <w:rFonts w:cs="宋体"/>
        </w:rPr>
        <w:t>+</w:t>
      </w:r>
      <w:r>
        <w:rPr>
          <w:rFonts w:hint="eastAsia" w:cs="宋体"/>
        </w:rPr>
        <w:t>”文章，打造最具侨味的县城北部旅游环线，助力文成全域旅游发展。</w:t>
      </w:r>
    </w:p>
    <w:p>
      <w:pPr>
        <w:keepNext/>
        <w:keepLines/>
        <w:spacing w:before="156" w:beforeLines="50"/>
        <w:ind w:left="142" w:firstLine="361" w:firstLineChars="150"/>
        <w:outlineLvl w:val="2"/>
        <w:rPr>
          <w:rFonts w:ascii="宋体" w:hAnsi="宋体" w:cs="宋体"/>
          <w:b/>
          <w:kern w:val="0"/>
        </w:rPr>
      </w:pPr>
      <w:r>
        <w:rPr>
          <w:rFonts w:hint="eastAsia" w:ascii="宋体" w:hAnsi="宋体" w:cs="宋体"/>
          <w:b/>
          <w:kern w:val="0"/>
        </w:rPr>
        <w:t>10、二源镇</w:t>
      </w:r>
    </w:p>
    <w:p>
      <w:pPr>
        <w:spacing w:before="72" w:after="93" w:afterLines="30"/>
        <w:ind w:firstLine="480"/>
        <w:rPr>
          <w:rFonts w:cs="宋体"/>
        </w:rPr>
      </w:pPr>
      <w:r>
        <w:rPr>
          <w:rFonts w:hint="eastAsia" w:cs="宋体"/>
        </w:rPr>
        <w:t>发展定位：云上农开、诗画田园、九峰揽胜</w:t>
      </w:r>
    </w:p>
    <w:p>
      <w:pPr>
        <w:spacing w:before="72" w:after="93" w:afterLines="30"/>
        <w:ind w:firstLine="480"/>
        <w:rPr>
          <w:rFonts w:cs="宋体"/>
        </w:rPr>
      </w:pPr>
      <w:r>
        <w:rPr>
          <w:rFonts w:hint="eastAsia" w:cs="宋体"/>
        </w:rPr>
        <w:t>二源镇位于文成县北部高山平台，东邻玉壶镇，西连百丈漈镇，北靠南田镇。农业基础扎实，是浙江省首批特色农业强镇、浙江省级农业绿色发展示范区，素有</w:t>
      </w:r>
      <w:r>
        <w:rPr>
          <w:rFonts w:cs="宋体"/>
        </w:rPr>
        <w:t>“</w:t>
      </w:r>
      <w:r>
        <w:rPr>
          <w:rFonts w:hint="eastAsia" w:cs="宋体"/>
        </w:rPr>
        <w:t>文成粮仓</w:t>
      </w:r>
      <w:r>
        <w:rPr>
          <w:rFonts w:cs="宋体"/>
        </w:rPr>
        <w:t>”</w:t>
      </w:r>
      <w:r>
        <w:rPr>
          <w:rFonts w:hint="eastAsia" w:cs="宋体"/>
        </w:rPr>
        <w:t>美誉。作为省级森林城镇、省级</w:t>
      </w:r>
      <w:r>
        <w:rPr>
          <w:rFonts w:cs="宋体"/>
        </w:rPr>
        <w:t>3A</w:t>
      </w:r>
      <w:r>
        <w:rPr>
          <w:rFonts w:hint="eastAsia" w:cs="宋体"/>
        </w:rPr>
        <w:t>级旅游景区镇、省级美丽乡村示范乡镇，二源镇不仅拥有国家级风景名胜区八大景区之一的朱阳九峰，建于明初的谈阳巡检司、建于清代的明星寺等历史建筑，还有金丝皇菊、高山蔬菜、雪梨等特色优势产业。二源将紧紧围绕</w:t>
      </w:r>
      <w:r>
        <w:rPr>
          <w:rFonts w:cs="宋体"/>
        </w:rPr>
        <w:t>“</w:t>
      </w:r>
      <w:r>
        <w:rPr>
          <w:rFonts w:hint="eastAsia" w:cs="宋体"/>
        </w:rPr>
        <w:t>山水侨城</w:t>
      </w:r>
      <w:r>
        <w:rPr>
          <w:rFonts w:cs="宋体"/>
        </w:rPr>
        <w:t>”</w:t>
      </w:r>
      <w:r>
        <w:rPr>
          <w:rFonts w:hint="eastAsia" w:cs="宋体"/>
        </w:rPr>
        <w:t>战略发展目标，依托农业经济开发区平台优势，持续加强和完善基础设施建设，培育和发展农业、旅游业新质生产力，做好“农业</w:t>
      </w:r>
      <w:r>
        <w:rPr>
          <w:rFonts w:cs="宋体"/>
        </w:rPr>
        <w:t>+</w:t>
      </w:r>
      <w:r>
        <w:rPr>
          <w:rFonts w:hint="eastAsia" w:cs="宋体"/>
        </w:rPr>
        <w:t>旅游”融合文章，打造具有二源特色的高山田园小镇、文旅康养小镇。</w:t>
      </w:r>
    </w:p>
    <w:p>
      <w:pPr>
        <w:keepNext/>
        <w:keepLines/>
        <w:spacing w:before="156" w:beforeLines="50"/>
        <w:ind w:left="142" w:firstLine="361" w:firstLineChars="150"/>
        <w:outlineLvl w:val="2"/>
        <w:rPr>
          <w:rFonts w:ascii="宋体" w:hAnsi="宋体" w:cs="宋体"/>
          <w:b/>
          <w:kern w:val="0"/>
        </w:rPr>
      </w:pPr>
      <w:r>
        <w:rPr>
          <w:rFonts w:hint="eastAsia" w:ascii="宋体" w:hAnsi="宋体" w:cs="宋体"/>
          <w:b/>
          <w:kern w:val="0"/>
        </w:rPr>
        <w:t>11、铜铃山镇</w:t>
      </w:r>
    </w:p>
    <w:p>
      <w:pPr>
        <w:spacing w:before="72" w:after="93" w:afterLines="30"/>
        <w:ind w:firstLine="480"/>
        <w:rPr>
          <w:rFonts w:cs="宋体"/>
        </w:rPr>
      </w:pPr>
      <w:r>
        <w:rPr>
          <w:rFonts w:hint="eastAsia" w:cs="宋体"/>
        </w:rPr>
        <w:t>发展定位：云上氧吧、铜画森铃</w:t>
      </w:r>
    </w:p>
    <w:p>
      <w:pPr>
        <w:spacing w:before="72" w:after="93" w:afterLines="30"/>
        <w:ind w:firstLine="480"/>
        <w:rPr>
          <w:rFonts w:cs="宋体"/>
        </w:rPr>
      </w:pPr>
      <w:r>
        <w:rPr>
          <w:rFonts w:hint="eastAsia" w:cs="宋体"/>
        </w:rPr>
        <w:t>铜铃山镇为县域西部门户，规划将紧紧围绕“五个山水侨城”和“五山联动”的发展目标，紧扣高山农旅发展廊道和文旅康养园区域定位，依托“千米高山森林氧吧”优势，联动推进森林山地旅居资源开发、高山时尚休闲运动集结、高山农林经济开发、高山农特产品出口、野生动植物资源保护、数字创客集聚、防灾救灾体系建设等，全面打响“旅游</w:t>
      </w:r>
      <w:r>
        <w:rPr>
          <w:rFonts w:hint="eastAsia" w:cs="宋体"/>
          <w:lang w:val="en-US" w:eastAsia="zh-CN"/>
        </w:rPr>
        <w:t>胜地</w:t>
      </w:r>
      <w:r>
        <w:rPr>
          <w:rFonts w:hint="eastAsia" w:cs="宋体"/>
        </w:rPr>
        <w:t>、生态高地、人居福地”区域品牌，未来打造成集高山休闲运动、森林康养旅居、农林产品出口为特色的农文旅体融合示范小镇，建设“云上氧吧、铜画森铃”。</w:t>
      </w:r>
    </w:p>
    <w:p>
      <w:pPr>
        <w:keepNext/>
        <w:keepLines/>
        <w:spacing w:before="156" w:beforeLines="50"/>
        <w:ind w:left="142" w:firstLine="361" w:firstLineChars="150"/>
        <w:outlineLvl w:val="2"/>
        <w:rPr>
          <w:rFonts w:ascii="宋体" w:hAnsi="宋体" w:cs="宋体"/>
          <w:b/>
          <w:kern w:val="0"/>
        </w:rPr>
      </w:pPr>
      <w:r>
        <w:rPr>
          <w:rFonts w:hint="eastAsia" w:ascii="宋体" w:hAnsi="宋体" w:cs="宋体"/>
          <w:b/>
          <w:kern w:val="0"/>
        </w:rPr>
        <w:t>12、桂山乡</w:t>
      </w:r>
    </w:p>
    <w:p>
      <w:pPr>
        <w:spacing w:before="72" w:after="93" w:afterLines="30"/>
        <w:ind w:firstLine="480"/>
        <w:rPr>
          <w:rFonts w:cs="宋体"/>
        </w:rPr>
      </w:pPr>
      <w:r>
        <w:rPr>
          <w:rFonts w:hint="eastAsia" w:cs="宋体"/>
        </w:rPr>
        <w:t>发展定位：稻香竹海、鳌源桂山</w:t>
      </w:r>
    </w:p>
    <w:p>
      <w:pPr>
        <w:spacing w:before="72" w:after="93" w:afterLines="30"/>
        <w:ind w:firstLine="480"/>
        <w:rPr>
          <w:rFonts w:cs="宋体"/>
        </w:rPr>
      </w:pPr>
      <w:r>
        <w:rPr>
          <w:rFonts w:hint="eastAsia" w:cs="宋体"/>
        </w:rPr>
        <w:t>规划做强做大桂山乡以高山蔬菜育苗为主导产业，科技赋能推动植物工厂全周期育苗；不断提升迭代黄年糕产业，强化品牌效应，做优产业链，提升附加值；引进生产流水线，加大荒野茶综合开发力度。同时立足高海拔、环境好这一自然生态优势，以及鳌江源头、革命老区等文化资源，打好避暑牌、赏雪牌、共富牌，发展特色旅游业。</w:t>
      </w:r>
    </w:p>
    <w:p>
      <w:pPr>
        <w:widowControl/>
        <w:spacing w:line="240" w:lineRule="auto"/>
        <w:ind w:firstLine="0" w:firstLineChars="0"/>
        <w:jc w:val="left"/>
        <w:rPr>
          <w:rFonts w:ascii="黑体" w:hAnsi="黑体" w:eastAsia="黑体" w:cs="宋体"/>
          <w:b/>
          <w:bCs/>
          <w:kern w:val="0"/>
          <w:sz w:val="36"/>
          <w:szCs w:val="36"/>
        </w:rPr>
      </w:pPr>
      <w:r>
        <w:rPr>
          <w:rFonts w:cs="宋体"/>
        </w:rPr>
        <w:br w:type="page"/>
      </w:r>
    </w:p>
    <w:p>
      <w:pPr>
        <w:pStyle w:val="2"/>
        <w:spacing w:before="93"/>
      </w:pPr>
      <w:bookmarkStart w:id="69" w:name="_Toc176456019"/>
      <w:r>
        <w:rPr>
          <w:rFonts w:hint="eastAsia"/>
        </w:rPr>
        <w:t>第六章 关于相关规划协调的说明</w:t>
      </w:r>
      <w:bookmarkEnd w:id="69"/>
    </w:p>
    <w:p>
      <w:pPr>
        <w:pStyle w:val="3"/>
        <w:spacing w:before="312"/>
        <w:rPr>
          <w:rFonts w:ascii="Times New Roman" w:hAnsi="Times New Roman"/>
          <w:color w:val="000000"/>
        </w:rPr>
      </w:pPr>
      <w:bookmarkStart w:id="70" w:name="_Toc176456020"/>
      <w:r>
        <w:rPr>
          <w:rFonts w:hint="eastAsia" w:ascii="Times New Roman" w:hAnsi="Times New Roman"/>
          <w:color w:val="000000"/>
        </w:rPr>
        <w:t>一、</w:t>
      </w:r>
      <w:r>
        <w:rPr>
          <w:rFonts w:ascii="Times New Roman" w:hAnsi="Times New Roman"/>
          <w:color w:val="000000"/>
        </w:rPr>
        <w:t>外围区域保护协调</w:t>
      </w:r>
      <w:bookmarkEnd w:id="70"/>
    </w:p>
    <w:p>
      <w:pPr>
        <w:spacing w:before="72" w:after="93" w:afterLines="30"/>
        <w:ind w:firstLine="480"/>
        <w:rPr>
          <w:rFonts w:cs="宋体"/>
        </w:rPr>
      </w:pPr>
      <w:r>
        <w:rPr>
          <w:rFonts w:hint="eastAsia" w:ascii="宋体" w:hAnsi="宋体"/>
        </w:rPr>
        <w:t>外围保护地带面积为17</w:t>
      </w:r>
      <w:r>
        <w:rPr>
          <w:rFonts w:ascii="宋体" w:hAnsi="宋体"/>
        </w:rPr>
        <w:t>2.3</w:t>
      </w:r>
      <w:r>
        <w:rPr>
          <w:rFonts w:hint="eastAsia" w:ascii="宋体" w:hAnsi="宋体"/>
        </w:rPr>
        <w:t>平方公里，涉及4个乡镇（西坑、南田、百丈漈、二源）和天湖省级旅游度假区。是文成县未来重要的旅游产业集聚发展窗口，为更好的协调好景区内外关系，突出风景区和周边城镇特色，使风景区与乡镇及旅游产业平台建设保持一定的风貌协调，将该区块划定为风景区外围保护地带，作为镇景交融、旅游发展和乡村振兴的重要关注区域。</w:t>
      </w:r>
    </w:p>
    <w:p>
      <w:pPr>
        <w:spacing w:before="72" w:after="93" w:afterLines="30"/>
        <w:ind w:firstLine="480"/>
        <w:rPr>
          <w:rFonts w:cs="宋体"/>
        </w:rPr>
      </w:pPr>
      <w:r>
        <w:rPr>
          <w:rFonts w:hint="eastAsia" w:cs="宋体"/>
        </w:rPr>
        <w:t>具体协调发展措施如下：</w:t>
      </w:r>
    </w:p>
    <w:p>
      <w:pPr>
        <w:spacing w:before="72" w:after="93" w:afterLines="30"/>
        <w:ind w:firstLine="482"/>
        <w:rPr>
          <w:rFonts w:cs="宋体"/>
          <w:b/>
        </w:rPr>
      </w:pPr>
      <w:r>
        <w:rPr>
          <w:rFonts w:hint="eastAsia" w:cs="宋体"/>
          <w:b/>
        </w:rPr>
        <w:t>1、整体规划协调</w:t>
      </w:r>
    </w:p>
    <w:p>
      <w:pPr>
        <w:spacing w:before="72" w:after="93" w:afterLines="30"/>
        <w:ind w:firstLine="480"/>
        <w:rPr>
          <w:rFonts w:cs="宋体"/>
        </w:rPr>
      </w:pPr>
      <w:r>
        <w:rPr>
          <w:rFonts w:hint="eastAsia" w:cs="宋体"/>
        </w:rPr>
        <w:t>整体层面上的协调，主要是实现风景区总体规划与国土空间规划、旅游产业规划的协调编制。整体层面上各规划在功能定位、交通联系上的相互协调。</w:t>
      </w:r>
    </w:p>
    <w:p>
      <w:pPr>
        <w:spacing w:before="72" w:after="93" w:afterLines="30"/>
        <w:ind w:firstLine="482"/>
        <w:rPr>
          <w:rFonts w:cs="宋体"/>
          <w:b/>
        </w:rPr>
      </w:pPr>
      <w:r>
        <w:rPr>
          <w:rFonts w:hint="eastAsia" w:cs="宋体"/>
          <w:b/>
        </w:rPr>
        <w:t>2、局部城市设计</w:t>
      </w:r>
    </w:p>
    <w:p>
      <w:pPr>
        <w:spacing w:before="72" w:after="93" w:afterLines="30"/>
        <w:ind w:firstLine="480"/>
        <w:rPr>
          <w:rFonts w:cs="宋体"/>
        </w:rPr>
      </w:pPr>
      <w:r>
        <w:rPr>
          <w:rFonts w:hint="eastAsia" w:cs="宋体"/>
        </w:rPr>
        <w:t>在整体规划协调的基础上，进一步落实功能衔接点具体的空间范围以及功能构成，满足边界融合带中不同感知层次对不同相关景观细节的要求，包括建筑高度细分、建筑体量、风格以及色彩等，通过局部城市设计实现以上这些设计目标。</w:t>
      </w:r>
    </w:p>
    <w:p>
      <w:pPr>
        <w:spacing w:before="72" w:after="93" w:afterLines="30"/>
        <w:ind w:firstLine="482"/>
        <w:rPr>
          <w:rFonts w:cs="宋体"/>
          <w:b/>
        </w:rPr>
      </w:pPr>
      <w:r>
        <w:rPr>
          <w:rFonts w:hint="eastAsia" w:cs="宋体"/>
          <w:b/>
        </w:rPr>
        <w:t>3、地域文化的发掘、体现与延展</w:t>
      </w:r>
    </w:p>
    <w:p>
      <w:pPr>
        <w:spacing w:before="72" w:after="93" w:afterLines="30"/>
        <w:ind w:firstLine="480"/>
        <w:rPr>
          <w:rFonts w:cs="宋体"/>
        </w:rPr>
      </w:pPr>
      <w:r>
        <w:rPr>
          <w:rFonts w:hint="eastAsia" w:cs="宋体"/>
        </w:rPr>
        <w:t>挖掘文成地域文化并在外围保护地带的相关规划设计中予以体现。通过具体旅游设施打造、游览空间建设和游赏路线组织使得外围保护地带能从风景区的特色中得以延展。</w:t>
      </w:r>
    </w:p>
    <w:p>
      <w:pPr>
        <w:spacing w:before="72" w:after="93" w:afterLines="30"/>
        <w:ind w:firstLine="482"/>
        <w:rPr>
          <w:rFonts w:cs="宋体"/>
          <w:b/>
        </w:rPr>
      </w:pPr>
      <w:r>
        <w:rPr>
          <w:rFonts w:hint="eastAsia" w:cs="宋体"/>
          <w:b/>
        </w:rPr>
        <w:t>4、解决镇景矛盾、做到镇景协调</w:t>
      </w:r>
    </w:p>
    <w:p>
      <w:pPr>
        <w:spacing w:before="72" w:after="93" w:afterLines="30"/>
        <w:ind w:firstLine="480"/>
        <w:rPr>
          <w:rFonts w:cs="宋体"/>
        </w:rPr>
      </w:pPr>
      <w:r>
        <w:rPr>
          <w:rFonts w:hint="eastAsia" w:cs="宋体"/>
        </w:rPr>
        <w:t>明确外围保护地带的景观风貌控制、水域界线保护等具体保护措施，并制定具体的保护规划措施，使镇景关系有机协调。</w:t>
      </w:r>
    </w:p>
    <w:p>
      <w:pPr>
        <w:spacing w:before="72" w:after="93" w:afterLines="30"/>
        <w:ind w:firstLine="480"/>
        <w:rPr>
          <w:rFonts w:cs="宋体"/>
        </w:rPr>
      </w:pPr>
      <w:r>
        <w:rPr>
          <w:rFonts w:hint="eastAsia" w:cs="宋体"/>
        </w:rPr>
        <w:t>对于外围保护地带涉及的南田镇、百丈漈镇、二源镇、西坑畲族镇，作为未来风景区的主要旅游设施依托，规划要求镇区景区化，改善整体环境风貌，打造风情特色小镇。</w:t>
      </w:r>
    </w:p>
    <w:p>
      <w:pPr>
        <w:spacing w:before="72" w:after="93" w:afterLines="30"/>
        <w:ind w:firstLine="482"/>
        <w:rPr>
          <w:rFonts w:cs="宋体"/>
          <w:b/>
        </w:rPr>
      </w:pPr>
      <w:r>
        <w:rPr>
          <w:rFonts w:hint="eastAsia" w:cs="宋体"/>
          <w:b/>
        </w:rPr>
        <w:t>5、风景区界线准确定位</w:t>
      </w:r>
    </w:p>
    <w:p>
      <w:pPr>
        <w:spacing w:before="72" w:after="93" w:afterLines="30"/>
        <w:ind w:firstLine="480"/>
        <w:rPr>
          <w:rFonts w:cs="宋体"/>
        </w:rPr>
      </w:pPr>
      <w:r>
        <w:rPr>
          <w:rFonts w:hint="eastAsia" w:cs="宋体"/>
        </w:rPr>
        <w:t>对风景区和外围保护地带的界线进行了准确划定，定桩立界，使风景区的保护范围有据可依。</w:t>
      </w:r>
    </w:p>
    <w:p>
      <w:pPr>
        <w:spacing w:before="72" w:after="93" w:afterLines="30"/>
        <w:ind w:firstLine="482"/>
        <w:rPr>
          <w:rFonts w:cs="宋体"/>
          <w:b/>
        </w:rPr>
      </w:pPr>
      <w:r>
        <w:rPr>
          <w:rFonts w:hint="eastAsia" w:cs="宋体"/>
          <w:b/>
        </w:rPr>
        <w:t>6、加强风景名胜区南北两大片区的联系与协调</w:t>
      </w:r>
    </w:p>
    <w:p>
      <w:pPr>
        <w:spacing w:before="72" w:after="93" w:afterLines="30"/>
        <w:ind w:firstLine="480"/>
        <w:rPr>
          <w:rFonts w:cs="宋体"/>
        </w:rPr>
      </w:pPr>
      <w:r>
        <w:rPr>
          <w:rFonts w:hint="eastAsia" w:cs="宋体"/>
        </w:rPr>
        <w:t>通过外围保护地带的道路交通、游赏组织、标识系统、管理体系建构等加强各百丈漈、铜铃山、飞云湖三大片区的联系与协调。</w:t>
      </w:r>
    </w:p>
    <w:p>
      <w:pPr>
        <w:pStyle w:val="3"/>
        <w:spacing w:before="312"/>
        <w:rPr>
          <w:rFonts w:ascii="Times New Roman" w:hAnsi="Times New Roman"/>
          <w:color w:val="000000"/>
        </w:rPr>
      </w:pPr>
      <w:bookmarkStart w:id="71" w:name="_Toc176456021"/>
      <w:r>
        <w:rPr>
          <w:rFonts w:hint="eastAsia" w:ascii="Times New Roman" w:hAnsi="Times New Roman"/>
          <w:color w:val="000000"/>
        </w:rPr>
        <w:t>二、土地利用规划协调</w:t>
      </w:r>
      <w:bookmarkEnd w:id="71"/>
    </w:p>
    <w:p>
      <w:pPr>
        <w:keepNext/>
        <w:keepLines/>
        <w:ind w:firstLine="360" w:firstLineChars="150"/>
        <w:outlineLvl w:val="2"/>
        <w:rPr>
          <w:rFonts w:eastAsia="黑体"/>
          <w:bCs/>
          <w:kern w:val="0"/>
        </w:rPr>
      </w:pPr>
      <w:r>
        <w:rPr>
          <w:rFonts w:hint="eastAsia" w:eastAsia="黑体"/>
          <w:bCs/>
          <w:kern w:val="0"/>
        </w:rPr>
        <w:t>（一</w:t>
      </w:r>
      <w:r>
        <w:rPr>
          <w:rFonts w:eastAsia="黑体"/>
          <w:bCs/>
          <w:kern w:val="0"/>
        </w:rPr>
        <w:t>）</w:t>
      </w:r>
      <w:r>
        <w:rPr>
          <w:rFonts w:hint="eastAsia" w:eastAsia="黑体"/>
          <w:bCs/>
          <w:kern w:val="0"/>
        </w:rPr>
        <w:t>土地利用现状</w:t>
      </w:r>
    </w:p>
    <w:p>
      <w:pPr>
        <w:spacing w:before="72" w:after="93" w:afterLines="30"/>
        <w:ind w:firstLine="482"/>
        <w:rPr>
          <w:rFonts w:cs="宋体"/>
          <w:b/>
        </w:rPr>
      </w:pPr>
      <w:r>
        <w:rPr>
          <w:rFonts w:hint="eastAsia" w:cs="宋体"/>
          <w:b/>
        </w:rPr>
        <w:t>1、现状</w:t>
      </w:r>
      <w:r>
        <w:rPr>
          <w:rFonts w:cs="宋体"/>
          <w:b/>
        </w:rPr>
        <w:t>特征</w:t>
      </w:r>
    </w:p>
    <w:p>
      <w:pPr>
        <w:topLinePunct/>
        <w:adjustRightInd w:val="0"/>
        <w:snapToGrid w:val="0"/>
        <w:spacing w:before="93"/>
        <w:ind w:firstLine="480"/>
        <w:rPr>
          <w:color w:val="000000" w:themeColor="text1"/>
          <w14:textFill>
            <w14:solidFill>
              <w14:schemeClr w14:val="tx1"/>
            </w14:solidFill>
          </w14:textFill>
        </w:rPr>
      </w:pPr>
      <w:r>
        <w:rPr>
          <w:color w:val="000000" w:themeColor="text1"/>
          <w14:textFill>
            <w14:solidFill>
              <w14:schemeClr w14:val="tx1"/>
            </w14:solidFill>
          </w14:textFill>
        </w:rPr>
        <w:t>风景区内现有的</w:t>
      </w:r>
      <w:r>
        <w:rPr>
          <w:rFonts w:hint="eastAsia"/>
          <w:color w:val="000000" w:themeColor="text1"/>
          <w14:textFill>
            <w14:solidFill>
              <w14:schemeClr w14:val="tx1"/>
            </w14:solidFill>
          </w14:textFill>
        </w:rPr>
        <w:t>国土空间</w:t>
      </w:r>
      <w:r>
        <w:rPr>
          <w:color w:val="000000" w:themeColor="text1"/>
          <w14:textFill>
            <w14:solidFill>
              <w14:schemeClr w14:val="tx1"/>
            </w14:solidFill>
          </w14:textFill>
        </w:rPr>
        <w:t>利用类型为</w:t>
      </w:r>
      <w:r>
        <w:rPr>
          <w:rFonts w:hint="eastAsia"/>
          <w:color w:val="000000" w:themeColor="text1"/>
          <w14:textFill>
            <w14:solidFill>
              <w14:schemeClr w14:val="tx1"/>
            </w14:solidFill>
          </w14:textFill>
        </w:rPr>
        <w:t>：风景游赏用地、游览设施用地、居民社会用地、交通与工程用地、林地、园地、耕地、草地、水域、滞留用地共1</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类。</w:t>
      </w:r>
    </w:p>
    <w:p>
      <w:pPr>
        <w:topLinePunct/>
        <w:adjustRightInd w:val="0"/>
        <w:snapToGrid w:val="0"/>
        <w:spacing w:before="93"/>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2、现状问题</w:t>
      </w:r>
    </w:p>
    <w:p>
      <w:pPr>
        <w:topLinePunct/>
        <w:adjustRightInd w:val="0"/>
        <w:snapToGrid w:val="0"/>
        <w:spacing w:before="93"/>
        <w:ind w:firstLine="480"/>
        <w:rPr>
          <w:color w:val="000000" w:themeColor="text1"/>
          <w14:textFill>
            <w14:solidFill>
              <w14:schemeClr w14:val="tx1"/>
            </w14:solidFill>
          </w14:textFill>
        </w:rPr>
      </w:pPr>
      <w:r>
        <w:rPr>
          <w:color w:val="000000" w:themeColor="text1"/>
          <w14:textFill>
            <w14:solidFill>
              <w14:schemeClr w14:val="tx1"/>
            </w14:solidFill>
          </w14:textFill>
        </w:rPr>
        <w:t>风景名胜区</w:t>
      </w:r>
      <w:r>
        <w:rPr>
          <w:rFonts w:hint="eastAsia"/>
          <w:color w:val="000000" w:themeColor="text1"/>
          <w14:textFill>
            <w14:solidFill>
              <w14:schemeClr w14:val="tx1"/>
            </w14:solidFill>
          </w14:textFill>
        </w:rPr>
        <w:t>土地利用</w:t>
      </w:r>
      <w:r>
        <w:rPr>
          <w:color w:val="000000" w:themeColor="text1"/>
          <w14:textFill>
            <w14:solidFill>
              <w14:schemeClr w14:val="tx1"/>
            </w14:solidFill>
          </w14:textFill>
        </w:rPr>
        <w:t>利用</w:t>
      </w:r>
      <w:r>
        <w:rPr>
          <w:rFonts w:hint="eastAsia"/>
          <w:color w:val="000000" w:themeColor="text1"/>
          <w14:textFill>
            <w14:solidFill>
              <w14:schemeClr w14:val="tx1"/>
            </w14:solidFill>
          </w14:textFill>
        </w:rPr>
        <w:t>目前</w:t>
      </w:r>
      <w:r>
        <w:rPr>
          <w:color w:val="000000" w:themeColor="text1"/>
          <w14:textFill>
            <w14:solidFill>
              <w14:schemeClr w14:val="tx1"/>
            </w14:solidFill>
          </w14:textFill>
        </w:rPr>
        <w:t>存在以下问题</w:t>
      </w:r>
      <w:r>
        <w:rPr>
          <w:rFonts w:hint="eastAsia"/>
          <w:color w:val="000000" w:themeColor="text1"/>
          <w14:textFill>
            <w14:solidFill>
              <w14:schemeClr w14:val="tx1"/>
            </w14:solidFill>
          </w14:textFill>
        </w:rPr>
        <w:t>：</w:t>
      </w:r>
    </w:p>
    <w:p>
      <w:pPr>
        <w:topLinePunct/>
        <w:adjustRightInd w:val="0"/>
        <w:snapToGrid w:val="0"/>
        <w:spacing w:before="9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（1）风景游赏用地数量少，未能全面发挥百丈漈—飞云湖风景名胜区的风景效益。</w:t>
      </w:r>
    </w:p>
    <w:p>
      <w:pPr>
        <w:topLinePunct/>
        <w:adjustRightInd w:val="0"/>
        <w:snapToGrid w:val="0"/>
        <w:spacing w:before="9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）风景名胜区内的土地利用缺乏统筹协调管理，同时风景资源保护与旅游发展、居民经济发展、人口增长之间的矛盾关系亟需平衡。</w:t>
      </w:r>
    </w:p>
    <w:p>
      <w:pPr>
        <w:keepNext/>
        <w:keepLines/>
        <w:ind w:firstLine="360" w:firstLineChars="150"/>
        <w:outlineLvl w:val="2"/>
        <w:rPr>
          <w:rFonts w:eastAsia="黑体"/>
          <w:bCs/>
          <w:kern w:val="0"/>
        </w:rPr>
      </w:pPr>
      <w:r>
        <w:rPr>
          <w:rFonts w:hint="eastAsia" w:eastAsia="黑体"/>
          <w:bCs/>
          <w:kern w:val="0"/>
        </w:rPr>
        <w:t>（二</w:t>
      </w:r>
      <w:r>
        <w:rPr>
          <w:rFonts w:eastAsia="黑体"/>
          <w:bCs/>
          <w:kern w:val="0"/>
        </w:rPr>
        <w:t>）</w:t>
      </w:r>
      <w:r>
        <w:rPr>
          <w:rFonts w:hint="eastAsia" w:eastAsia="黑体"/>
          <w:bCs/>
          <w:kern w:val="0"/>
        </w:rPr>
        <w:t>土地利用规划</w:t>
      </w:r>
    </w:p>
    <w:p>
      <w:pPr>
        <w:topLinePunct/>
        <w:adjustRightInd w:val="0"/>
        <w:snapToGrid w:val="0"/>
        <w:spacing w:before="9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与</w:t>
      </w:r>
      <w:r>
        <w:rPr>
          <w:rFonts w:hint="eastAsia" w:cs="宋体"/>
        </w:rPr>
        <w:t>文成县国土空间总体规划</w:t>
      </w:r>
      <w:r>
        <w:rPr>
          <w:rFonts w:hint="eastAsia"/>
          <w:color w:val="000000" w:themeColor="text1"/>
          <w14:textFill>
            <w14:solidFill>
              <w14:schemeClr w14:val="tx1"/>
            </w14:solidFill>
          </w14:textFill>
        </w:rPr>
        <w:t>进行衔接，</w:t>
      </w:r>
      <w:r>
        <w:rPr>
          <w:rFonts w:hint="eastAsia" w:hAnsi="宋体"/>
        </w:rPr>
        <w:t>体现“严格保护耕地、科学合理布局、优化用地结构、转变利用方式、集约节约用地、促进区域经济协调发展”的原则，因地制宜地合理调整土地利用，发展符合风景名胜区特征的土地利用方式与结构。</w:t>
      </w:r>
      <w:r>
        <w:rPr>
          <w:rFonts w:hint="eastAsia" w:cs="宋体"/>
        </w:rPr>
        <w:t>保护</w:t>
      </w:r>
      <w:r>
        <w:rPr>
          <w:rFonts w:hint="eastAsia"/>
          <w:color w:val="000000" w:themeColor="text1"/>
          <w14:textFill>
            <w14:solidFill>
              <w14:schemeClr w14:val="tx1"/>
            </w14:solidFill>
          </w14:textFill>
        </w:rPr>
        <w:t>风景名胜区内的</w:t>
      </w:r>
      <w:r>
        <w:rPr>
          <w:rFonts w:hint="eastAsia" w:cs="宋体"/>
        </w:rPr>
        <w:t>耕地、林地、水域，禁止占用永久基本农田；</w:t>
      </w:r>
      <w:r>
        <w:rPr>
          <w:rFonts w:hint="eastAsia"/>
          <w:color w:val="000000" w:themeColor="text1"/>
          <w14:textFill>
            <w14:solidFill>
              <w14:schemeClr w14:val="tx1"/>
            </w14:solidFill>
          </w14:textFill>
        </w:rPr>
        <w:t>拓展风景游赏用地；合理配置游览设施用地；控制居民社会用地和交通与工程用地。</w:t>
      </w:r>
    </w:p>
    <w:p>
      <w:pPr>
        <w:topLinePunct/>
        <w:adjustRightInd w:val="0"/>
        <w:snapToGrid w:val="0"/>
        <w:spacing w:before="93"/>
        <w:ind w:firstLine="480"/>
        <w:rPr>
          <w:color w:val="000000" w:themeColor="text1"/>
          <w14:textFill>
            <w14:solidFill>
              <w14:schemeClr w14:val="tx1"/>
            </w14:solidFill>
          </w14:textFill>
        </w:rPr>
      </w:pPr>
      <w:r>
        <w:rPr>
          <w:color w:val="000000" w:themeColor="text1"/>
          <w14:textFill>
            <w14:solidFill>
              <w14:schemeClr w14:val="tx1"/>
            </w14:solidFill>
          </w14:textFill>
        </w:rPr>
        <w:t>具体土地利用平衡情况如下表所示</w:t>
      </w:r>
      <w:r>
        <w:rPr>
          <w:rFonts w:hint="eastAsia"/>
          <w:color w:val="000000" w:themeColor="text1"/>
          <w14:textFill>
            <w14:solidFill>
              <w14:schemeClr w14:val="tx1"/>
            </w14:solidFill>
          </w14:textFill>
        </w:rPr>
        <w:t>：</w:t>
      </w:r>
    </w:p>
    <w:p>
      <w:pPr>
        <w:ind w:firstLine="422"/>
        <w:jc w:val="center"/>
        <w:rPr>
          <w:rFonts w:ascii="宋体" w:hAnsi="宋体"/>
          <w:b/>
          <w:kern w:val="0"/>
          <w:sz w:val="21"/>
          <w:szCs w:val="21"/>
        </w:rPr>
      </w:pPr>
      <w:r>
        <w:rPr>
          <w:rFonts w:hint="eastAsia" w:ascii="宋体" w:hAnsi="宋体"/>
          <w:b/>
          <w:kern w:val="0"/>
          <w:sz w:val="21"/>
          <w:szCs w:val="21"/>
        </w:rPr>
        <w:t>表6</w:t>
      </w:r>
      <w:r>
        <w:rPr>
          <w:rFonts w:ascii="宋体" w:hAnsi="宋体"/>
          <w:b/>
          <w:kern w:val="0"/>
          <w:sz w:val="21"/>
          <w:szCs w:val="21"/>
        </w:rPr>
        <w:t xml:space="preserve">-1 </w:t>
      </w:r>
      <w:r>
        <w:rPr>
          <w:rFonts w:hint="eastAsia" w:ascii="宋体" w:hAnsi="宋体"/>
          <w:b/>
          <w:kern w:val="0"/>
          <w:sz w:val="21"/>
          <w:szCs w:val="21"/>
        </w:rPr>
        <w:t>风景区规划土地利用平衡表</w:t>
      </w:r>
    </w:p>
    <w:tbl>
      <w:tblPr>
        <w:tblStyle w:val="42"/>
        <w:tblW w:w="856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385"/>
        <w:gridCol w:w="1604"/>
        <w:gridCol w:w="1261"/>
        <w:gridCol w:w="1263"/>
        <w:gridCol w:w="1261"/>
        <w:gridCol w:w="1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91" w:type="dxa"/>
            <w:vMerge w:val="restart"/>
            <w:shd w:val="clear" w:color="000000" w:fill="D9D9D9"/>
            <w:vAlign w:val="center"/>
          </w:tcPr>
          <w:p>
            <w:pPr>
              <w:widowControl/>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1385" w:type="dxa"/>
            <w:vMerge w:val="restart"/>
            <w:shd w:val="clear" w:color="000000" w:fill="D9D9D9"/>
            <w:vAlign w:val="center"/>
          </w:tcPr>
          <w:p>
            <w:pPr>
              <w:widowControl/>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用地代号</w:t>
            </w:r>
          </w:p>
        </w:tc>
        <w:tc>
          <w:tcPr>
            <w:tcW w:w="1604" w:type="dxa"/>
            <w:vMerge w:val="restart"/>
            <w:shd w:val="clear" w:color="000000" w:fill="D9D9D9"/>
            <w:vAlign w:val="center"/>
          </w:tcPr>
          <w:p>
            <w:pPr>
              <w:widowControl/>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用地名称</w:t>
            </w:r>
          </w:p>
        </w:tc>
        <w:tc>
          <w:tcPr>
            <w:tcW w:w="2524" w:type="dxa"/>
            <w:gridSpan w:val="2"/>
            <w:shd w:val="clear" w:color="000000" w:fill="D9D9D9"/>
            <w:vAlign w:val="center"/>
          </w:tcPr>
          <w:p>
            <w:pPr>
              <w:widowControl/>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面积(公顷)</w:t>
            </w:r>
          </w:p>
        </w:tc>
        <w:tc>
          <w:tcPr>
            <w:tcW w:w="2365" w:type="dxa"/>
            <w:gridSpan w:val="2"/>
            <w:shd w:val="clear" w:color="000000" w:fill="D9D9D9"/>
            <w:vAlign w:val="center"/>
          </w:tcPr>
          <w:p>
            <w:pPr>
              <w:widowControl/>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占总用地(%)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91" w:type="dxa"/>
            <w:vMerge w:val="continue"/>
            <w:vAlign w:val="center"/>
          </w:tcPr>
          <w:p>
            <w:pPr>
              <w:widowControl/>
              <w:spacing w:line="240" w:lineRule="auto"/>
              <w:ind w:firstLine="0" w:firstLineChars="0"/>
              <w:jc w:val="left"/>
              <w:rPr>
                <w:rFonts w:ascii="宋体" w:hAnsi="宋体" w:cs="宋体"/>
                <w:b/>
                <w:bCs/>
                <w:color w:val="000000"/>
                <w:kern w:val="0"/>
                <w:sz w:val="18"/>
                <w:szCs w:val="18"/>
              </w:rPr>
            </w:pPr>
          </w:p>
        </w:tc>
        <w:tc>
          <w:tcPr>
            <w:tcW w:w="1385" w:type="dxa"/>
            <w:vMerge w:val="continue"/>
            <w:vAlign w:val="center"/>
          </w:tcPr>
          <w:p>
            <w:pPr>
              <w:widowControl/>
              <w:spacing w:line="240" w:lineRule="auto"/>
              <w:ind w:firstLine="0" w:firstLineChars="0"/>
              <w:jc w:val="left"/>
              <w:rPr>
                <w:rFonts w:ascii="宋体" w:hAnsi="宋体" w:cs="宋体"/>
                <w:b/>
                <w:bCs/>
                <w:color w:val="000000"/>
                <w:kern w:val="0"/>
                <w:sz w:val="18"/>
                <w:szCs w:val="18"/>
              </w:rPr>
            </w:pPr>
          </w:p>
        </w:tc>
        <w:tc>
          <w:tcPr>
            <w:tcW w:w="1604" w:type="dxa"/>
            <w:vMerge w:val="continue"/>
            <w:vAlign w:val="center"/>
          </w:tcPr>
          <w:p>
            <w:pPr>
              <w:widowControl/>
              <w:spacing w:line="240" w:lineRule="auto"/>
              <w:ind w:firstLine="0" w:firstLineChars="0"/>
              <w:jc w:val="left"/>
              <w:rPr>
                <w:rFonts w:ascii="宋体" w:hAnsi="宋体" w:cs="宋体"/>
                <w:b/>
                <w:bCs/>
                <w:color w:val="000000"/>
                <w:kern w:val="0"/>
                <w:sz w:val="18"/>
                <w:szCs w:val="18"/>
              </w:rPr>
            </w:pPr>
          </w:p>
        </w:tc>
        <w:tc>
          <w:tcPr>
            <w:tcW w:w="1261" w:type="dxa"/>
            <w:shd w:val="clear" w:color="000000" w:fill="D9D9D9"/>
            <w:vAlign w:val="center"/>
          </w:tcPr>
          <w:p>
            <w:pPr>
              <w:widowControl/>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现状</w:t>
            </w:r>
          </w:p>
        </w:tc>
        <w:tc>
          <w:tcPr>
            <w:tcW w:w="1263" w:type="dxa"/>
            <w:shd w:val="clear" w:color="000000" w:fill="D9D9D9"/>
            <w:vAlign w:val="center"/>
          </w:tcPr>
          <w:p>
            <w:pPr>
              <w:widowControl/>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规划</w:t>
            </w:r>
          </w:p>
        </w:tc>
        <w:tc>
          <w:tcPr>
            <w:tcW w:w="1261" w:type="dxa"/>
            <w:shd w:val="clear" w:color="000000" w:fill="D9D9D9"/>
            <w:vAlign w:val="center"/>
          </w:tcPr>
          <w:p>
            <w:pPr>
              <w:widowControl/>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现状</w:t>
            </w:r>
          </w:p>
        </w:tc>
        <w:tc>
          <w:tcPr>
            <w:tcW w:w="1104" w:type="dxa"/>
            <w:shd w:val="clear" w:color="000000" w:fill="D9D9D9"/>
            <w:vAlign w:val="center"/>
          </w:tcPr>
          <w:p>
            <w:pPr>
              <w:widowControl/>
              <w:spacing w:line="240" w:lineRule="auto"/>
              <w:ind w:firstLine="0" w:firstLineChars="0"/>
              <w:jc w:val="center"/>
              <w:rPr>
                <w:rFonts w:ascii="宋体" w:hAnsi="宋体" w:cs="宋体"/>
                <w:b/>
                <w:bCs/>
                <w:color w:val="000000"/>
                <w:kern w:val="0"/>
                <w:sz w:val="18"/>
                <w:szCs w:val="18"/>
              </w:rPr>
            </w:pPr>
            <w:r>
              <w:rPr>
                <w:rFonts w:hint="eastAsia" w:ascii="宋体" w:hAnsi="宋体" w:cs="宋体"/>
                <w:b/>
                <w:bCs/>
                <w:color w:val="000000"/>
                <w:kern w:val="0"/>
                <w:sz w:val="18"/>
                <w:szCs w:val="18"/>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91"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1385"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1604"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规划总用地</w:t>
            </w:r>
          </w:p>
        </w:tc>
        <w:tc>
          <w:tcPr>
            <w:tcW w:w="1261"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53174.06</w:t>
            </w:r>
          </w:p>
        </w:tc>
        <w:tc>
          <w:tcPr>
            <w:tcW w:w="1263"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53174.06</w:t>
            </w:r>
          </w:p>
        </w:tc>
        <w:tc>
          <w:tcPr>
            <w:tcW w:w="1261"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1104"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rPr>
        <w:tc>
          <w:tcPr>
            <w:tcW w:w="691"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385"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甲</w:t>
            </w:r>
          </w:p>
        </w:tc>
        <w:tc>
          <w:tcPr>
            <w:tcW w:w="1604"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风景游赏用地</w:t>
            </w:r>
          </w:p>
        </w:tc>
        <w:tc>
          <w:tcPr>
            <w:tcW w:w="1261"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1388.7</w:t>
            </w:r>
          </w:p>
        </w:tc>
        <w:tc>
          <w:tcPr>
            <w:tcW w:w="1263"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21435.52</w:t>
            </w:r>
          </w:p>
        </w:tc>
        <w:tc>
          <w:tcPr>
            <w:tcW w:w="1261"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2.61%</w:t>
            </w:r>
          </w:p>
        </w:tc>
        <w:tc>
          <w:tcPr>
            <w:tcW w:w="1104"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691"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1385"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乙</w:t>
            </w:r>
          </w:p>
        </w:tc>
        <w:tc>
          <w:tcPr>
            <w:tcW w:w="1604"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游览设施用地</w:t>
            </w:r>
          </w:p>
        </w:tc>
        <w:tc>
          <w:tcPr>
            <w:tcW w:w="1261"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7.79</w:t>
            </w:r>
          </w:p>
        </w:tc>
        <w:tc>
          <w:tcPr>
            <w:tcW w:w="1263"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15.53</w:t>
            </w:r>
          </w:p>
        </w:tc>
        <w:tc>
          <w:tcPr>
            <w:tcW w:w="1261"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0.01%</w:t>
            </w:r>
          </w:p>
        </w:tc>
        <w:tc>
          <w:tcPr>
            <w:tcW w:w="1104"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691"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1385"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丙</w:t>
            </w:r>
          </w:p>
        </w:tc>
        <w:tc>
          <w:tcPr>
            <w:tcW w:w="1604"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居民社会用地</w:t>
            </w:r>
          </w:p>
        </w:tc>
        <w:tc>
          <w:tcPr>
            <w:tcW w:w="1261"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296.07</w:t>
            </w:r>
          </w:p>
        </w:tc>
        <w:tc>
          <w:tcPr>
            <w:tcW w:w="1263"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265.65</w:t>
            </w:r>
          </w:p>
        </w:tc>
        <w:tc>
          <w:tcPr>
            <w:tcW w:w="1261"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0.56%</w:t>
            </w:r>
          </w:p>
        </w:tc>
        <w:tc>
          <w:tcPr>
            <w:tcW w:w="1104"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5" w:hRule="atLeast"/>
        </w:trPr>
        <w:tc>
          <w:tcPr>
            <w:tcW w:w="691"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1385"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丁</w:t>
            </w:r>
          </w:p>
        </w:tc>
        <w:tc>
          <w:tcPr>
            <w:tcW w:w="1604"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交通工程用地</w:t>
            </w:r>
          </w:p>
        </w:tc>
        <w:tc>
          <w:tcPr>
            <w:tcW w:w="1261"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503.27</w:t>
            </w:r>
          </w:p>
        </w:tc>
        <w:tc>
          <w:tcPr>
            <w:tcW w:w="1263"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695.56</w:t>
            </w:r>
          </w:p>
        </w:tc>
        <w:tc>
          <w:tcPr>
            <w:tcW w:w="1261"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0.95%</w:t>
            </w:r>
          </w:p>
        </w:tc>
        <w:tc>
          <w:tcPr>
            <w:tcW w:w="1104"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691"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385"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戊</w:t>
            </w:r>
          </w:p>
        </w:tc>
        <w:tc>
          <w:tcPr>
            <w:tcW w:w="1604"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林    地</w:t>
            </w:r>
          </w:p>
        </w:tc>
        <w:tc>
          <w:tcPr>
            <w:tcW w:w="1261"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43670.45</w:t>
            </w:r>
          </w:p>
        </w:tc>
        <w:tc>
          <w:tcPr>
            <w:tcW w:w="1263"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23716.81</w:t>
            </w:r>
          </w:p>
        </w:tc>
        <w:tc>
          <w:tcPr>
            <w:tcW w:w="1261"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84.72%</w:t>
            </w:r>
          </w:p>
        </w:tc>
        <w:tc>
          <w:tcPr>
            <w:tcW w:w="1104"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91"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1385"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己</w:t>
            </w:r>
          </w:p>
        </w:tc>
        <w:tc>
          <w:tcPr>
            <w:tcW w:w="1604"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园    地</w:t>
            </w:r>
          </w:p>
        </w:tc>
        <w:tc>
          <w:tcPr>
            <w:tcW w:w="1261"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1473.05</w:t>
            </w:r>
          </w:p>
        </w:tc>
        <w:tc>
          <w:tcPr>
            <w:tcW w:w="1263"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1232.81</w:t>
            </w:r>
          </w:p>
        </w:tc>
        <w:tc>
          <w:tcPr>
            <w:tcW w:w="1261"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2.77%</w:t>
            </w:r>
          </w:p>
        </w:tc>
        <w:tc>
          <w:tcPr>
            <w:tcW w:w="1104"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91"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1385"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庚</w:t>
            </w:r>
          </w:p>
        </w:tc>
        <w:tc>
          <w:tcPr>
            <w:tcW w:w="1604"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耕    地</w:t>
            </w:r>
          </w:p>
        </w:tc>
        <w:tc>
          <w:tcPr>
            <w:tcW w:w="1261"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3424.06</w:t>
            </w:r>
          </w:p>
        </w:tc>
        <w:tc>
          <w:tcPr>
            <w:tcW w:w="1263"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3424.06</w:t>
            </w:r>
          </w:p>
        </w:tc>
        <w:tc>
          <w:tcPr>
            <w:tcW w:w="1261"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6.44%</w:t>
            </w:r>
          </w:p>
        </w:tc>
        <w:tc>
          <w:tcPr>
            <w:tcW w:w="1104"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91"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1385"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辛</w:t>
            </w:r>
          </w:p>
        </w:tc>
        <w:tc>
          <w:tcPr>
            <w:tcW w:w="1604"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草    地</w:t>
            </w:r>
          </w:p>
        </w:tc>
        <w:tc>
          <w:tcPr>
            <w:tcW w:w="1261"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81.34</w:t>
            </w:r>
          </w:p>
        </w:tc>
        <w:tc>
          <w:tcPr>
            <w:tcW w:w="1263"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74.98</w:t>
            </w:r>
          </w:p>
        </w:tc>
        <w:tc>
          <w:tcPr>
            <w:tcW w:w="1261"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0.15%</w:t>
            </w:r>
          </w:p>
        </w:tc>
        <w:tc>
          <w:tcPr>
            <w:tcW w:w="1104"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91"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1385"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壬</w:t>
            </w:r>
          </w:p>
        </w:tc>
        <w:tc>
          <w:tcPr>
            <w:tcW w:w="1604"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水    域</w:t>
            </w:r>
          </w:p>
        </w:tc>
        <w:tc>
          <w:tcPr>
            <w:tcW w:w="1261"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2313.14</w:t>
            </w:r>
          </w:p>
        </w:tc>
        <w:tc>
          <w:tcPr>
            <w:tcW w:w="1263"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2313.14</w:t>
            </w:r>
          </w:p>
        </w:tc>
        <w:tc>
          <w:tcPr>
            <w:tcW w:w="1261"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4.35%</w:t>
            </w:r>
          </w:p>
        </w:tc>
        <w:tc>
          <w:tcPr>
            <w:tcW w:w="1104"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91"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385"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癸</w:t>
            </w:r>
          </w:p>
        </w:tc>
        <w:tc>
          <w:tcPr>
            <w:tcW w:w="1604"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滞留用地</w:t>
            </w:r>
          </w:p>
        </w:tc>
        <w:tc>
          <w:tcPr>
            <w:tcW w:w="1261"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16.19</w:t>
            </w:r>
          </w:p>
        </w:tc>
        <w:tc>
          <w:tcPr>
            <w:tcW w:w="1263"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1261"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0.03%</w:t>
            </w:r>
          </w:p>
        </w:tc>
        <w:tc>
          <w:tcPr>
            <w:tcW w:w="1104" w:type="dxa"/>
            <w:shd w:val="clear" w:color="auto" w:fill="auto"/>
            <w:vAlign w:val="center"/>
          </w:tcPr>
          <w:p>
            <w:pPr>
              <w:widowControl/>
              <w:spacing w:line="240" w:lineRule="auto"/>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0.00%</w:t>
            </w:r>
          </w:p>
        </w:tc>
      </w:tr>
    </w:tbl>
    <w:p>
      <w:pPr>
        <w:adjustRightInd w:val="0"/>
        <w:snapToGrid w:val="0"/>
        <w:spacing w:line="240" w:lineRule="auto"/>
        <w:ind w:firstLine="0" w:firstLineChars="0"/>
        <w:jc w:val="left"/>
        <w:rPr>
          <w:rFonts w:hAnsi="宋体"/>
          <w:sz w:val="18"/>
          <w:szCs w:val="18"/>
        </w:rPr>
      </w:pPr>
      <w:r>
        <w:rPr>
          <w:rFonts w:hint="eastAsia" w:hAnsi="宋体"/>
          <w:sz w:val="18"/>
          <w:szCs w:val="18"/>
        </w:rPr>
        <w:t>注：划入风景游赏用地的林地，不改变其原有用地性质，并根据管理规定协调进行从严保护。</w:t>
      </w:r>
    </w:p>
    <w:p>
      <w:pPr>
        <w:topLinePunct/>
        <w:adjustRightInd w:val="0"/>
        <w:snapToGrid w:val="0"/>
        <w:spacing w:before="93"/>
        <w:ind w:firstLine="422"/>
        <w:jc w:val="center"/>
        <w:rPr>
          <w:rFonts w:ascii="宋体" w:hAnsi="宋体"/>
          <w:b/>
          <w:kern w:val="0"/>
          <w:sz w:val="21"/>
          <w:szCs w:val="21"/>
        </w:rPr>
      </w:pPr>
      <w:r>
        <w:rPr>
          <w:rFonts w:hint="eastAsia" w:ascii="宋体" w:hAnsi="宋体"/>
          <w:b/>
          <w:kern w:val="0"/>
          <w:sz w:val="21"/>
          <w:szCs w:val="21"/>
        </w:rPr>
        <w:t>表6</w:t>
      </w:r>
      <w:r>
        <w:rPr>
          <w:rFonts w:ascii="宋体" w:hAnsi="宋体"/>
          <w:b/>
          <w:kern w:val="0"/>
          <w:sz w:val="21"/>
          <w:szCs w:val="21"/>
        </w:rPr>
        <w:t xml:space="preserve">-2 </w:t>
      </w:r>
      <w:r>
        <w:rPr>
          <w:rFonts w:hint="eastAsia" w:ascii="宋体" w:hAnsi="宋体"/>
          <w:b/>
          <w:kern w:val="0"/>
          <w:sz w:val="21"/>
          <w:szCs w:val="21"/>
        </w:rPr>
        <w:t>与国土空间规划用地类型衔接对照</w:t>
      </w:r>
      <w:r>
        <w:rPr>
          <w:rFonts w:ascii="宋体" w:hAnsi="宋体"/>
          <w:b/>
          <w:kern w:val="0"/>
          <w:sz w:val="21"/>
          <w:szCs w:val="21"/>
        </w:rPr>
        <w:t>表</w:t>
      </w:r>
    </w:p>
    <w:tbl>
      <w:tblPr>
        <w:tblStyle w:val="42"/>
        <w:tblW w:w="883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82"/>
        <w:gridCol w:w="1519"/>
        <w:gridCol w:w="588"/>
        <w:gridCol w:w="1936"/>
        <w:gridCol w:w="1489"/>
        <w:gridCol w:w="830"/>
        <w:gridCol w:w="1171"/>
        <w:gridCol w:w="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4" w:hRule="atLeast"/>
          <w:tblHeader/>
          <w:jc w:val="center"/>
        </w:trPr>
        <w:tc>
          <w:tcPr>
            <w:tcW w:w="2101" w:type="dxa"/>
            <w:gridSpan w:val="2"/>
            <w:shd w:val="clear" w:color="auto" w:fill="E2E2E2"/>
            <w:vAlign w:val="center"/>
          </w:tcPr>
          <w:p>
            <w:pPr>
              <w:pStyle w:val="213"/>
              <w:topLinePunct/>
              <w:adjustRightInd w:val="0"/>
              <w:snapToGrid w:val="0"/>
              <w:jc w:val="center"/>
              <w:rPr>
                <w:rFonts w:ascii="宋体" w:hAnsi="宋体" w:cs="宋体"/>
                <w:b/>
                <w:bCs/>
                <w:sz w:val="18"/>
                <w:szCs w:val="18"/>
              </w:rPr>
            </w:pPr>
            <w:r>
              <w:rPr>
                <w:rFonts w:hint="eastAsia" w:ascii="宋体" w:hAnsi="宋体" w:cs="宋体"/>
                <w:b/>
                <w:bCs/>
                <w:sz w:val="18"/>
                <w:szCs w:val="18"/>
              </w:rPr>
              <w:t>风景名胜区用地类型</w:t>
            </w:r>
          </w:p>
        </w:tc>
        <w:tc>
          <w:tcPr>
            <w:tcW w:w="2524" w:type="dxa"/>
            <w:gridSpan w:val="2"/>
            <w:shd w:val="clear" w:color="auto" w:fill="E2E2E2"/>
            <w:vAlign w:val="center"/>
          </w:tcPr>
          <w:p>
            <w:pPr>
              <w:pStyle w:val="213"/>
              <w:topLinePunct/>
              <w:adjustRightInd w:val="0"/>
              <w:snapToGrid w:val="0"/>
              <w:jc w:val="center"/>
              <w:rPr>
                <w:rFonts w:ascii="宋体" w:hAnsi="宋体" w:cs="宋体"/>
                <w:b/>
                <w:bCs/>
                <w:sz w:val="18"/>
                <w:szCs w:val="18"/>
              </w:rPr>
            </w:pPr>
            <w:r>
              <w:rPr>
                <w:rFonts w:hint="eastAsia" w:ascii="宋体" w:hAnsi="宋体" w:cs="宋体"/>
                <w:b/>
                <w:bCs/>
                <w:sz w:val="18"/>
                <w:szCs w:val="18"/>
              </w:rPr>
              <w:t>国土空间规划用地类型</w:t>
            </w:r>
          </w:p>
        </w:tc>
        <w:tc>
          <w:tcPr>
            <w:tcW w:w="2319" w:type="dxa"/>
            <w:gridSpan w:val="2"/>
            <w:shd w:val="clear" w:color="auto" w:fill="E2E2E2"/>
            <w:vAlign w:val="center"/>
          </w:tcPr>
          <w:p>
            <w:pPr>
              <w:pStyle w:val="213"/>
              <w:topLinePunct/>
              <w:adjustRightInd w:val="0"/>
              <w:snapToGrid w:val="0"/>
              <w:jc w:val="center"/>
              <w:rPr>
                <w:rFonts w:ascii="宋体" w:hAnsi="宋体" w:cs="宋体"/>
                <w:b/>
                <w:bCs/>
                <w:sz w:val="18"/>
                <w:szCs w:val="18"/>
              </w:rPr>
            </w:pPr>
            <w:r>
              <w:rPr>
                <w:rFonts w:hint="eastAsia" w:ascii="宋体" w:hAnsi="宋体" w:cs="宋体"/>
                <w:b/>
                <w:bCs/>
                <w:sz w:val="18"/>
                <w:szCs w:val="18"/>
              </w:rPr>
              <w:t>现状</w:t>
            </w:r>
          </w:p>
        </w:tc>
        <w:tc>
          <w:tcPr>
            <w:tcW w:w="1890" w:type="dxa"/>
            <w:gridSpan w:val="2"/>
            <w:shd w:val="clear" w:color="auto" w:fill="E2E2E2"/>
            <w:vAlign w:val="center"/>
          </w:tcPr>
          <w:p>
            <w:pPr>
              <w:pStyle w:val="213"/>
              <w:topLinePunct/>
              <w:adjustRightInd w:val="0"/>
              <w:snapToGrid w:val="0"/>
              <w:jc w:val="center"/>
              <w:rPr>
                <w:rFonts w:ascii="宋体" w:hAnsi="宋体" w:cs="宋体"/>
                <w:b/>
                <w:bCs/>
                <w:sz w:val="18"/>
                <w:szCs w:val="18"/>
              </w:rPr>
            </w:pPr>
            <w:r>
              <w:rPr>
                <w:rFonts w:hint="eastAsia" w:ascii="宋体" w:hAnsi="宋体" w:cs="宋体"/>
                <w:b/>
                <w:bCs/>
                <w:sz w:val="18"/>
                <w:szCs w:val="18"/>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4" w:hRule="atLeast"/>
          <w:tblHeader/>
          <w:jc w:val="center"/>
        </w:trPr>
        <w:tc>
          <w:tcPr>
            <w:tcW w:w="582" w:type="dxa"/>
            <w:shd w:val="clear" w:color="auto" w:fill="E2E2E2"/>
            <w:vAlign w:val="center"/>
          </w:tcPr>
          <w:p>
            <w:pPr>
              <w:pStyle w:val="213"/>
              <w:topLinePunct/>
              <w:adjustRightInd w:val="0"/>
              <w:snapToGrid w:val="0"/>
              <w:jc w:val="center"/>
              <w:rPr>
                <w:rFonts w:ascii="宋体" w:hAnsi="宋体" w:cs="宋体"/>
                <w:b/>
                <w:bCs/>
                <w:sz w:val="18"/>
                <w:szCs w:val="18"/>
              </w:rPr>
            </w:pPr>
            <w:r>
              <w:rPr>
                <w:rFonts w:hint="eastAsia" w:ascii="宋体" w:hAnsi="宋体" w:cs="宋体"/>
                <w:b/>
                <w:bCs/>
                <w:sz w:val="18"/>
                <w:szCs w:val="18"/>
              </w:rPr>
              <w:t>代码</w:t>
            </w:r>
          </w:p>
        </w:tc>
        <w:tc>
          <w:tcPr>
            <w:tcW w:w="1519" w:type="dxa"/>
            <w:shd w:val="clear" w:color="auto" w:fill="E2E2E2"/>
            <w:vAlign w:val="center"/>
          </w:tcPr>
          <w:p>
            <w:pPr>
              <w:pStyle w:val="213"/>
              <w:topLinePunct/>
              <w:adjustRightInd w:val="0"/>
              <w:snapToGrid w:val="0"/>
              <w:jc w:val="center"/>
              <w:rPr>
                <w:rFonts w:ascii="宋体" w:hAnsi="宋体" w:cs="宋体"/>
                <w:b/>
                <w:bCs/>
                <w:sz w:val="18"/>
                <w:szCs w:val="18"/>
              </w:rPr>
            </w:pPr>
            <w:r>
              <w:rPr>
                <w:rFonts w:hint="eastAsia" w:ascii="宋体" w:hAnsi="宋体" w:cs="宋体"/>
                <w:b/>
                <w:bCs/>
                <w:sz w:val="18"/>
                <w:szCs w:val="18"/>
              </w:rPr>
              <w:t>名称</w:t>
            </w:r>
          </w:p>
        </w:tc>
        <w:tc>
          <w:tcPr>
            <w:tcW w:w="588" w:type="dxa"/>
            <w:shd w:val="clear" w:color="auto" w:fill="E2E2E2"/>
            <w:vAlign w:val="center"/>
          </w:tcPr>
          <w:p>
            <w:pPr>
              <w:pStyle w:val="213"/>
              <w:topLinePunct/>
              <w:adjustRightInd w:val="0"/>
              <w:snapToGrid w:val="0"/>
              <w:jc w:val="center"/>
              <w:rPr>
                <w:rFonts w:ascii="宋体" w:hAnsi="宋体" w:cs="宋体"/>
                <w:b/>
                <w:bCs/>
                <w:sz w:val="18"/>
                <w:szCs w:val="18"/>
              </w:rPr>
            </w:pPr>
            <w:r>
              <w:rPr>
                <w:rFonts w:hint="eastAsia" w:ascii="宋体" w:hAnsi="宋体" w:cs="宋体"/>
                <w:b/>
                <w:bCs/>
                <w:sz w:val="18"/>
                <w:szCs w:val="18"/>
              </w:rPr>
              <w:t>代码</w:t>
            </w:r>
          </w:p>
        </w:tc>
        <w:tc>
          <w:tcPr>
            <w:tcW w:w="1936" w:type="dxa"/>
            <w:shd w:val="clear" w:color="auto" w:fill="E2E2E2"/>
            <w:vAlign w:val="center"/>
          </w:tcPr>
          <w:p>
            <w:pPr>
              <w:pStyle w:val="213"/>
              <w:topLinePunct/>
              <w:adjustRightInd w:val="0"/>
              <w:snapToGrid w:val="0"/>
              <w:jc w:val="center"/>
              <w:rPr>
                <w:rFonts w:ascii="宋体" w:hAnsi="宋体" w:cs="宋体"/>
                <w:b/>
                <w:bCs/>
                <w:sz w:val="18"/>
                <w:szCs w:val="18"/>
              </w:rPr>
            </w:pPr>
            <w:r>
              <w:rPr>
                <w:rFonts w:hint="eastAsia" w:ascii="宋体" w:hAnsi="宋体" w:cs="宋体"/>
                <w:b/>
                <w:bCs/>
                <w:sz w:val="18"/>
                <w:szCs w:val="18"/>
              </w:rPr>
              <w:t>名称</w:t>
            </w:r>
          </w:p>
        </w:tc>
        <w:tc>
          <w:tcPr>
            <w:tcW w:w="1489" w:type="dxa"/>
            <w:shd w:val="clear" w:color="auto" w:fill="E2E2E2"/>
            <w:vAlign w:val="center"/>
          </w:tcPr>
          <w:p>
            <w:pPr>
              <w:pStyle w:val="213"/>
              <w:topLinePunct/>
              <w:adjustRightInd w:val="0"/>
              <w:snapToGrid w:val="0"/>
              <w:jc w:val="center"/>
              <w:rPr>
                <w:rFonts w:ascii="宋体" w:hAnsi="宋体" w:cs="宋体"/>
                <w:b/>
                <w:bCs/>
                <w:color w:val="000000" w:themeColor="text1"/>
                <w:sz w:val="18"/>
                <w:szCs w:val="18"/>
                <w14:textFill>
                  <w14:solidFill>
                    <w14:schemeClr w14:val="tx1"/>
                  </w14:solidFill>
                </w14:textFill>
              </w:rPr>
            </w:pPr>
            <w:r>
              <w:rPr>
                <w:rFonts w:hint="eastAsia" w:ascii="宋体" w:hAnsi="宋体" w:cs="宋体"/>
                <w:b/>
                <w:bCs/>
                <w:sz w:val="18"/>
                <w:szCs w:val="18"/>
              </w:rPr>
              <w:t>面积（公顷）</w:t>
            </w:r>
          </w:p>
        </w:tc>
        <w:tc>
          <w:tcPr>
            <w:tcW w:w="830" w:type="dxa"/>
            <w:shd w:val="clear" w:color="auto" w:fill="E2E2E2"/>
            <w:vAlign w:val="center"/>
          </w:tcPr>
          <w:p>
            <w:pPr>
              <w:pStyle w:val="213"/>
              <w:topLinePunct/>
              <w:adjustRightInd w:val="0"/>
              <w:snapToGrid w:val="0"/>
              <w:jc w:val="center"/>
              <w:rPr>
                <w:rFonts w:ascii="宋体" w:hAnsi="宋体" w:cs="宋体"/>
                <w:b/>
                <w:bCs/>
                <w:sz w:val="18"/>
                <w:szCs w:val="18"/>
              </w:rPr>
            </w:pPr>
            <w:r>
              <w:rPr>
                <w:rFonts w:hint="eastAsia" w:ascii="宋体" w:hAnsi="宋体" w:cs="宋体"/>
                <w:b/>
                <w:bCs/>
                <w:sz w:val="18"/>
                <w:szCs w:val="18"/>
              </w:rPr>
              <w:t>占比</w:t>
            </w:r>
          </w:p>
        </w:tc>
        <w:tc>
          <w:tcPr>
            <w:tcW w:w="1171" w:type="dxa"/>
            <w:shd w:val="clear" w:color="auto" w:fill="E2E2E2"/>
            <w:vAlign w:val="center"/>
          </w:tcPr>
          <w:p>
            <w:pPr>
              <w:pStyle w:val="213"/>
              <w:topLinePunct/>
              <w:adjustRightInd w:val="0"/>
              <w:snapToGrid w:val="0"/>
              <w:jc w:val="center"/>
              <w:rPr>
                <w:rFonts w:ascii="宋体" w:hAnsi="宋体" w:cs="宋体"/>
                <w:b/>
                <w:bCs/>
                <w:sz w:val="18"/>
                <w:szCs w:val="18"/>
              </w:rPr>
            </w:pPr>
            <w:r>
              <w:rPr>
                <w:rFonts w:hint="eastAsia" w:ascii="宋体" w:hAnsi="宋体" w:cs="宋体"/>
                <w:b/>
                <w:bCs/>
                <w:sz w:val="18"/>
                <w:szCs w:val="18"/>
              </w:rPr>
              <w:t>面积（公顷）</w:t>
            </w:r>
          </w:p>
        </w:tc>
        <w:tc>
          <w:tcPr>
            <w:tcW w:w="719" w:type="dxa"/>
            <w:shd w:val="clear" w:color="auto" w:fill="E2E2E2"/>
            <w:vAlign w:val="center"/>
          </w:tcPr>
          <w:p>
            <w:pPr>
              <w:pStyle w:val="213"/>
              <w:topLinePunct/>
              <w:adjustRightInd w:val="0"/>
              <w:snapToGrid w:val="0"/>
              <w:jc w:val="center"/>
              <w:rPr>
                <w:rFonts w:ascii="宋体" w:hAnsi="宋体" w:cs="宋体"/>
                <w:b/>
                <w:bCs/>
                <w:sz w:val="18"/>
                <w:szCs w:val="18"/>
              </w:rPr>
            </w:pPr>
            <w:r>
              <w:rPr>
                <w:rFonts w:hint="eastAsia" w:ascii="宋体" w:hAnsi="宋体" w:cs="宋体"/>
                <w:b/>
                <w:bCs/>
                <w:sz w:val="18"/>
                <w:szCs w:val="18"/>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4" w:hRule="atLeast"/>
          <w:jc w:val="center"/>
        </w:trPr>
        <w:tc>
          <w:tcPr>
            <w:tcW w:w="582" w:type="dxa"/>
            <w:vMerge w:val="restart"/>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甲</w:t>
            </w:r>
          </w:p>
        </w:tc>
        <w:tc>
          <w:tcPr>
            <w:tcW w:w="1519" w:type="dxa"/>
            <w:vMerge w:val="restart"/>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风景游赏用地</w:t>
            </w:r>
          </w:p>
        </w:tc>
        <w:tc>
          <w:tcPr>
            <w:tcW w:w="588" w:type="dxa"/>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14</w:t>
            </w:r>
          </w:p>
        </w:tc>
        <w:tc>
          <w:tcPr>
            <w:tcW w:w="1936" w:type="dxa"/>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绿地与开敞空间用地</w:t>
            </w:r>
          </w:p>
        </w:tc>
        <w:tc>
          <w:tcPr>
            <w:tcW w:w="1489" w:type="dxa"/>
            <w:vMerge w:val="restart"/>
            <w:vAlign w:val="center"/>
          </w:tcPr>
          <w:p>
            <w:pPr>
              <w:pStyle w:val="213"/>
              <w:topLinePunct/>
              <w:adjustRightInd w:val="0"/>
              <w:snapToGrid w:val="0"/>
              <w:jc w:val="center"/>
              <w:rPr>
                <w:rFonts w:ascii="宋体" w:hAnsi="宋体" w:cs="宋体"/>
                <w:sz w:val="18"/>
                <w:szCs w:val="18"/>
              </w:rPr>
            </w:pPr>
            <w:r>
              <w:rPr>
                <w:rFonts w:hint="eastAsia" w:ascii="宋体" w:hAnsi="宋体" w:cs="宋体"/>
                <w:color w:val="000000"/>
                <w:kern w:val="0"/>
                <w:sz w:val="18"/>
                <w:szCs w:val="18"/>
              </w:rPr>
              <w:t>1388.70</w:t>
            </w:r>
          </w:p>
        </w:tc>
        <w:tc>
          <w:tcPr>
            <w:tcW w:w="830" w:type="dxa"/>
            <w:vMerge w:val="restart"/>
            <w:vAlign w:val="center"/>
          </w:tcPr>
          <w:p>
            <w:pPr>
              <w:pStyle w:val="213"/>
              <w:topLinePunct/>
              <w:adjustRightInd w:val="0"/>
              <w:snapToGrid w:val="0"/>
              <w:jc w:val="center"/>
              <w:rPr>
                <w:rFonts w:ascii="宋体" w:hAnsi="宋体" w:cs="宋体"/>
                <w:sz w:val="18"/>
                <w:szCs w:val="18"/>
              </w:rPr>
            </w:pPr>
            <w:r>
              <w:rPr>
                <w:rFonts w:hint="eastAsia" w:ascii="宋体" w:hAnsi="宋体" w:cs="宋体"/>
                <w:color w:val="000000"/>
                <w:kern w:val="0"/>
                <w:sz w:val="18"/>
                <w:szCs w:val="18"/>
              </w:rPr>
              <w:t>2.61%</w:t>
            </w:r>
          </w:p>
        </w:tc>
        <w:tc>
          <w:tcPr>
            <w:tcW w:w="1171" w:type="dxa"/>
            <w:vMerge w:val="restart"/>
            <w:vAlign w:val="center"/>
          </w:tcPr>
          <w:p>
            <w:pPr>
              <w:pStyle w:val="213"/>
              <w:topLinePunct/>
              <w:adjustRightInd w:val="0"/>
              <w:snapToGrid w:val="0"/>
              <w:jc w:val="center"/>
              <w:rPr>
                <w:rFonts w:ascii="宋体" w:hAnsi="宋体" w:cs="宋体"/>
                <w:sz w:val="18"/>
                <w:szCs w:val="18"/>
              </w:rPr>
            </w:pPr>
            <w:r>
              <w:rPr>
                <w:rFonts w:hint="eastAsia" w:ascii="宋体" w:hAnsi="宋体" w:cs="宋体"/>
                <w:color w:val="000000"/>
                <w:kern w:val="0"/>
                <w:sz w:val="18"/>
                <w:szCs w:val="18"/>
              </w:rPr>
              <w:t>21435.52</w:t>
            </w:r>
          </w:p>
        </w:tc>
        <w:tc>
          <w:tcPr>
            <w:tcW w:w="719" w:type="dxa"/>
            <w:vMerge w:val="restart"/>
            <w:vAlign w:val="center"/>
          </w:tcPr>
          <w:p>
            <w:pPr>
              <w:pStyle w:val="213"/>
              <w:topLinePunct/>
              <w:adjustRightInd w:val="0"/>
              <w:snapToGrid w:val="0"/>
              <w:jc w:val="center"/>
              <w:rPr>
                <w:rFonts w:ascii="宋体" w:hAnsi="宋体" w:cs="宋体"/>
                <w:sz w:val="18"/>
                <w:szCs w:val="18"/>
              </w:rPr>
            </w:pPr>
            <w:r>
              <w:rPr>
                <w:rFonts w:hint="eastAsia" w:ascii="宋体" w:hAnsi="宋体" w:cs="宋体"/>
                <w:color w:val="000000"/>
                <w:kern w:val="0"/>
                <w:sz w:val="18"/>
                <w:szCs w:val="18"/>
              </w:rPr>
              <w:t>40.31%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4" w:hRule="atLeast"/>
          <w:jc w:val="center"/>
        </w:trPr>
        <w:tc>
          <w:tcPr>
            <w:tcW w:w="582" w:type="dxa"/>
            <w:vMerge w:val="continue"/>
            <w:vAlign w:val="center"/>
          </w:tcPr>
          <w:p>
            <w:pPr>
              <w:pStyle w:val="213"/>
              <w:topLinePunct/>
              <w:adjustRightInd w:val="0"/>
              <w:snapToGrid w:val="0"/>
              <w:jc w:val="center"/>
              <w:rPr>
                <w:rFonts w:ascii="宋体" w:hAnsi="宋体" w:cs="宋体"/>
                <w:sz w:val="18"/>
                <w:szCs w:val="18"/>
              </w:rPr>
            </w:pPr>
          </w:p>
        </w:tc>
        <w:tc>
          <w:tcPr>
            <w:tcW w:w="1519" w:type="dxa"/>
            <w:vMerge w:val="continue"/>
            <w:vAlign w:val="center"/>
          </w:tcPr>
          <w:p>
            <w:pPr>
              <w:pStyle w:val="213"/>
              <w:topLinePunct/>
              <w:adjustRightInd w:val="0"/>
              <w:snapToGrid w:val="0"/>
              <w:jc w:val="center"/>
              <w:rPr>
                <w:rFonts w:ascii="宋体" w:hAnsi="宋体" w:cs="宋体"/>
                <w:sz w:val="18"/>
                <w:szCs w:val="18"/>
              </w:rPr>
            </w:pPr>
          </w:p>
        </w:tc>
        <w:tc>
          <w:tcPr>
            <w:tcW w:w="588" w:type="dxa"/>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15</w:t>
            </w:r>
          </w:p>
        </w:tc>
        <w:tc>
          <w:tcPr>
            <w:tcW w:w="1936" w:type="dxa"/>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特殊用地</w:t>
            </w:r>
          </w:p>
        </w:tc>
        <w:tc>
          <w:tcPr>
            <w:tcW w:w="1489" w:type="dxa"/>
            <w:vMerge w:val="continue"/>
            <w:vAlign w:val="center"/>
          </w:tcPr>
          <w:p>
            <w:pPr>
              <w:pStyle w:val="213"/>
              <w:topLinePunct/>
              <w:adjustRightInd w:val="0"/>
              <w:snapToGrid w:val="0"/>
              <w:jc w:val="center"/>
              <w:rPr>
                <w:rFonts w:ascii="宋体" w:hAnsi="宋体" w:cs="宋体"/>
                <w:sz w:val="18"/>
                <w:szCs w:val="18"/>
              </w:rPr>
            </w:pPr>
          </w:p>
        </w:tc>
        <w:tc>
          <w:tcPr>
            <w:tcW w:w="830" w:type="dxa"/>
            <w:vMerge w:val="continue"/>
            <w:vAlign w:val="center"/>
          </w:tcPr>
          <w:p>
            <w:pPr>
              <w:pStyle w:val="213"/>
              <w:topLinePunct/>
              <w:adjustRightInd w:val="0"/>
              <w:snapToGrid w:val="0"/>
              <w:jc w:val="center"/>
              <w:rPr>
                <w:rFonts w:ascii="宋体" w:hAnsi="宋体" w:cs="宋体"/>
                <w:sz w:val="18"/>
                <w:szCs w:val="18"/>
              </w:rPr>
            </w:pPr>
          </w:p>
        </w:tc>
        <w:tc>
          <w:tcPr>
            <w:tcW w:w="1171" w:type="dxa"/>
            <w:vMerge w:val="continue"/>
            <w:vAlign w:val="center"/>
          </w:tcPr>
          <w:p>
            <w:pPr>
              <w:pStyle w:val="213"/>
              <w:topLinePunct/>
              <w:adjustRightInd w:val="0"/>
              <w:snapToGrid w:val="0"/>
              <w:jc w:val="center"/>
              <w:rPr>
                <w:rFonts w:ascii="宋体" w:hAnsi="宋体" w:cs="宋体"/>
                <w:sz w:val="18"/>
                <w:szCs w:val="18"/>
              </w:rPr>
            </w:pPr>
          </w:p>
        </w:tc>
        <w:tc>
          <w:tcPr>
            <w:tcW w:w="719" w:type="dxa"/>
            <w:vMerge w:val="continue"/>
            <w:vAlign w:val="center"/>
          </w:tcPr>
          <w:p>
            <w:pPr>
              <w:pStyle w:val="213"/>
              <w:topLinePunct/>
              <w:adjustRightInd w:val="0"/>
              <w:snapToGrid w:val="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4" w:hRule="atLeast"/>
          <w:jc w:val="center"/>
        </w:trPr>
        <w:tc>
          <w:tcPr>
            <w:tcW w:w="582" w:type="dxa"/>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乙</w:t>
            </w:r>
          </w:p>
        </w:tc>
        <w:tc>
          <w:tcPr>
            <w:tcW w:w="1519" w:type="dxa"/>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游览设施用地</w:t>
            </w:r>
          </w:p>
        </w:tc>
        <w:tc>
          <w:tcPr>
            <w:tcW w:w="588" w:type="dxa"/>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9</w:t>
            </w:r>
          </w:p>
        </w:tc>
        <w:tc>
          <w:tcPr>
            <w:tcW w:w="1936" w:type="dxa"/>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商业服务业用地</w:t>
            </w:r>
          </w:p>
        </w:tc>
        <w:tc>
          <w:tcPr>
            <w:tcW w:w="1489" w:type="dxa"/>
            <w:vAlign w:val="center"/>
          </w:tcPr>
          <w:p>
            <w:pPr>
              <w:pStyle w:val="213"/>
              <w:topLinePunct/>
              <w:adjustRightInd w:val="0"/>
              <w:snapToGrid w:val="0"/>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 w:val="18"/>
                <w:szCs w:val="18"/>
              </w:rPr>
              <w:t>7.79</w:t>
            </w:r>
          </w:p>
        </w:tc>
        <w:tc>
          <w:tcPr>
            <w:tcW w:w="830" w:type="dxa"/>
            <w:vAlign w:val="center"/>
          </w:tcPr>
          <w:p>
            <w:pPr>
              <w:pStyle w:val="213"/>
              <w:topLinePunct/>
              <w:adjustRightInd w:val="0"/>
              <w:snapToGrid w:val="0"/>
              <w:jc w:val="center"/>
              <w:rPr>
                <w:rFonts w:ascii="宋体" w:hAnsi="宋体" w:cs="宋体"/>
                <w:sz w:val="18"/>
                <w:szCs w:val="18"/>
              </w:rPr>
            </w:pPr>
            <w:r>
              <w:rPr>
                <w:rFonts w:hint="eastAsia" w:ascii="宋体" w:hAnsi="宋体" w:cs="宋体"/>
                <w:color w:val="000000"/>
                <w:kern w:val="0"/>
                <w:sz w:val="18"/>
                <w:szCs w:val="18"/>
              </w:rPr>
              <w:t>0.01%</w:t>
            </w:r>
          </w:p>
        </w:tc>
        <w:tc>
          <w:tcPr>
            <w:tcW w:w="1171" w:type="dxa"/>
            <w:vAlign w:val="center"/>
          </w:tcPr>
          <w:p>
            <w:pPr>
              <w:pStyle w:val="213"/>
              <w:topLinePunct/>
              <w:adjustRightInd w:val="0"/>
              <w:snapToGrid w:val="0"/>
              <w:jc w:val="center"/>
              <w:rPr>
                <w:rFonts w:ascii="宋体" w:hAnsi="宋体" w:cs="宋体"/>
                <w:sz w:val="18"/>
                <w:szCs w:val="18"/>
              </w:rPr>
            </w:pPr>
            <w:r>
              <w:rPr>
                <w:rFonts w:hint="eastAsia" w:ascii="宋体" w:hAnsi="宋体" w:cs="宋体"/>
                <w:color w:val="000000"/>
                <w:kern w:val="0"/>
                <w:sz w:val="18"/>
                <w:szCs w:val="18"/>
              </w:rPr>
              <w:t>15.53</w:t>
            </w:r>
          </w:p>
        </w:tc>
        <w:tc>
          <w:tcPr>
            <w:tcW w:w="719" w:type="dxa"/>
            <w:vAlign w:val="center"/>
          </w:tcPr>
          <w:p>
            <w:pPr>
              <w:pStyle w:val="213"/>
              <w:topLinePunct/>
              <w:adjustRightInd w:val="0"/>
              <w:snapToGrid w:val="0"/>
              <w:jc w:val="center"/>
              <w:rPr>
                <w:rFonts w:ascii="宋体" w:hAnsi="宋体" w:cs="宋体"/>
                <w:sz w:val="18"/>
                <w:szCs w:val="18"/>
              </w:rPr>
            </w:pPr>
            <w:r>
              <w:rPr>
                <w:rFonts w:hint="eastAsia" w:ascii="宋体" w:hAnsi="宋体" w:cs="宋体"/>
                <w:color w:val="000000"/>
                <w:kern w:val="0"/>
                <w:sz w:val="18"/>
                <w:szCs w:val="18"/>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4" w:hRule="atLeast"/>
          <w:jc w:val="center"/>
        </w:trPr>
        <w:tc>
          <w:tcPr>
            <w:tcW w:w="582" w:type="dxa"/>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丙</w:t>
            </w:r>
          </w:p>
        </w:tc>
        <w:tc>
          <w:tcPr>
            <w:tcW w:w="1519" w:type="dxa"/>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居民社会用地</w:t>
            </w:r>
          </w:p>
        </w:tc>
        <w:tc>
          <w:tcPr>
            <w:tcW w:w="588" w:type="dxa"/>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7</w:t>
            </w:r>
          </w:p>
        </w:tc>
        <w:tc>
          <w:tcPr>
            <w:tcW w:w="1936" w:type="dxa"/>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居住用地</w:t>
            </w:r>
          </w:p>
        </w:tc>
        <w:tc>
          <w:tcPr>
            <w:tcW w:w="1489" w:type="dxa"/>
            <w:vAlign w:val="center"/>
          </w:tcPr>
          <w:p>
            <w:pPr>
              <w:pStyle w:val="213"/>
              <w:topLinePunct/>
              <w:adjustRightInd w:val="0"/>
              <w:snapToGrid w:val="0"/>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 w:val="18"/>
                <w:szCs w:val="18"/>
              </w:rPr>
              <w:t>296.07</w:t>
            </w:r>
          </w:p>
        </w:tc>
        <w:tc>
          <w:tcPr>
            <w:tcW w:w="830" w:type="dxa"/>
            <w:vAlign w:val="center"/>
          </w:tcPr>
          <w:p>
            <w:pPr>
              <w:pStyle w:val="213"/>
              <w:topLinePunct/>
              <w:adjustRightInd w:val="0"/>
              <w:snapToGrid w:val="0"/>
              <w:jc w:val="center"/>
              <w:rPr>
                <w:rFonts w:ascii="宋体" w:hAnsi="宋体" w:cs="宋体"/>
                <w:sz w:val="18"/>
                <w:szCs w:val="18"/>
              </w:rPr>
            </w:pPr>
            <w:r>
              <w:rPr>
                <w:rFonts w:hint="eastAsia" w:ascii="宋体" w:hAnsi="宋体" w:cs="宋体"/>
                <w:color w:val="000000"/>
                <w:kern w:val="0"/>
                <w:sz w:val="18"/>
                <w:szCs w:val="18"/>
              </w:rPr>
              <w:t>0.56%</w:t>
            </w:r>
          </w:p>
        </w:tc>
        <w:tc>
          <w:tcPr>
            <w:tcW w:w="1171" w:type="dxa"/>
            <w:vAlign w:val="center"/>
          </w:tcPr>
          <w:p>
            <w:pPr>
              <w:pStyle w:val="213"/>
              <w:topLinePunct/>
              <w:adjustRightInd w:val="0"/>
              <w:snapToGrid w:val="0"/>
              <w:jc w:val="center"/>
              <w:rPr>
                <w:rFonts w:ascii="宋体" w:hAnsi="宋体" w:cs="宋体"/>
                <w:sz w:val="18"/>
                <w:szCs w:val="18"/>
              </w:rPr>
            </w:pPr>
            <w:r>
              <w:rPr>
                <w:rFonts w:hint="eastAsia" w:ascii="宋体" w:hAnsi="宋体" w:cs="宋体"/>
                <w:color w:val="000000"/>
                <w:kern w:val="0"/>
                <w:sz w:val="18"/>
                <w:szCs w:val="18"/>
              </w:rPr>
              <w:t>265.65</w:t>
            </w:r>
          </w:p>
        </w:tc>
        <w:tc>
          <w:tcPr>
            <w:tcW w:w="719" w:type="dxa"/>
            <w:vAlign w:val="center"/>
          </w:tcPr>
          <w:p>
            <w:pPr>
              <w:pStyle w:val="213"/>
              <w:topLinePunct/>
              <w:adjustRightInd w:val="0"/>
              <w:snapToGrid w:val="0"/>
              <w:jc w:val="center"/>
              <w:rPr>
                <w:rFonts w:ascii="宋体" w:hAnsi="宋体" w:cs="宋体"/>
                <w:sz w:val="18"/>
                <w:szCs w:val="18"/>
              </w:rPr>
            </w:pPr>
            <w:r>
              <w:rPr>
                <w:rFonts w:hint="eastAsia" w:ascii="宋体" w:hAnsi="宋体" w:cs="宋体"/>
                <w:color w:val="000000"/>
                <w:kern w:val="0"/>
                <w:sz w:val="18"/>
                <w:szCs w:val="18"/>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4" w:hRule="atLeast"/>
          <w:jc w:val="center"/>
        </w:trPr>
        <w:tc>
          <w:tcPr>
            <w:tcW w:w="582" w:type="dxa"/>
            <w:vMerge w:val="restart"/>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丁</w:t>
            </w:r>
          </w:p>
        </w:tc>
        <w:tc>
          <w:tcPr>
            <w:tcW w:w="1519" w:type="dxa"/>
            <w:vMerge w:val="restart"/>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交通与工程用地</w:t>
            </w:r>
          </w:p>
        </w:tc>
        <w:tc>
          <w:tcPr>
            <w:tcW w:w="588" w:type="dxa"/>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6</w:t>
            </w:r>
          </w:p>
        </w:tc>
        <w:tc>
          <w:tcPr>
            <w:tcW w:w="1936" w:type="dxa"/>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农业设施建设用地</w:t>
            </w:r>
          </w:p>
        </w:tc>
        <w:tc>
          <w:tcPr>
            <w:tcW w:w="1489" w:type="dxa"/>
            <w:vMerge w:val="restart"/>
            <w:vAlign w:val="center"/>
          </w:tcPr>
          <w:p>
            <w:pPr>
              <w:pStyle w:val="213"/>
              <w:topLinePunct/>
              <w:adjustRightInd w:val="0"/>
              <w:snapToGrid w:val="0"/>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 w:val="18"/>
                <w:szCs w:val="18"/>
              </w:rPr>
              <w:t>503.27</w:t>
            </w:r>
          </w:p>
        </w:tc>
        <w:tc>
          <w:tcPr>
            <w:tcW w:w="830" w:type="dxa"/>
            <w:vMerge w:val="restart"/>
            <w:vAlign w:val="center"/>
          </w:tcPr>
          <w:p>
            <w:pPr>
              <w:pStyle w:val="213"/>
              <w:topLinePunct/>
              <w:adjustRightInd w:val="0"/>
              <w:snapToGrid w:val="0"/>
              <w:jc w:val="center"/>
              <w:rPr>
                <w:rFonts w:ascii="宋体" w:hAnsi="宋体" w:cs="宋体"/>
                <w:sz w:val="18"/>
                <w:szCs w:val="18"/>
              </w:rPr>
            </w:pPr>
            <w:r>
              <w:rPr>
                <w:rFonts w:hint="eastAsia" w:ascii="宋体" w:hAnsi="宋体" w:cs="宋体"/>
                <w:color w:val="000000"/>
                <w:kern w:val="0"/>
                <w:sz w:val="18"/>
                <w:szCs w:val="18"/>
              </w:rPr>
              <w:t>0.95%</w:t>
            </w:r>
          </w:p>
        </w:tc>
        <w:tc>
          <w:tcPr>
            <w:tcW w:w="1171" w:type="dxa"/>
            <w:vMerge w:val="restart"/>
            <w:vAlign w:val="center"/>
          </w:tcPr>
          <w:p>
            <w:pPr>
              <w:pStyle w:val="213"/>
              <w:topLinePunct/>
              <w:adjustRightInd w:val="0"/>
              <w:snapToGrid w:val="0"/>
              <w:jc w:val="center"/>
              <w:rPr>
                <w:rFonts w:ascii="宋体" w:hAnsi="宋体" w:cs="宋体"/>
                <w:sz w:val="18"/>
                <w:szCs w:val="18"/>
              </w:rPr>
            </w:pPr>
            <w:r>
              <w:rPr>
                <w:rFonts w:hint="eastAsia" w:ascii="宋体" w:hAnsi="宋体" w:cs="宋体"/>
                <w:color w:val="000000"/>
                <w:kern w:val="0"/>
                <w:sz w:val="18"/>
                <w:szCs w:val="18"/>
              </w:rPr>
              <w:t>695.56</w:t>
            </w:r>
          </w:p>
        </w:tc>
        <w:tc>
          <w:tcPr>
            <w:tcW w:w="719" w:type="dxa"/>
            <w:vMerge w:val="restart"/>
            <w:vAlign w:val="center"/>
          </w:tcPr>
          <w:p>
            <w:pPr>
              <w:pStyle w:val="213"/>
              <w:topLinePunct/>
              <w:adjustRightInd w:val="0"/>
              <w:snapToGrid w:val="0"/>
              <w:jc w:val="center"/>
              <w:rPr>
                <w:rFonts w:ascii="宋体" w:hAnsi="宋体" w:cs="宋体"/>
                <w:sz w:val="18"/>
                <w:szCs w:val="18"/>
              </w:rPr>
            </w:pPr>
            <w:r>
              <w:rPr>
                <w:rFonts w:hint="eastAsia" w:ascii="宋体" w:hAnsi="宋体" w:cs="宋体"/>
                <w:color w:val="000000"/>
                <w:kern w:val="0"/>
                <w:sz w:val="18"/>
                <w:szCs w:val="18"/>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4" w:hRule="atLeast"/>
          <w:jc w:val="center"/>
        </w:trPr>
        <w:tc>
          <w:tcPr>
            <w:tcW w:w="582" w:type="dxa"/>
            <w:vMerge w:val="continue"/>
            <w:vAlign w:val="center"/>
          </w:tcPr>
          <w:p>
            <w:pPr>
              <w:pStyle w:val="213"/>
              <w:topLinePunct/>
              <w:adjustRightInd w:val="0"/>
              <w:snapToGrid w:val="0"/>
              <w:jc w:val="center"/>
              <w:rPr>
                <w:rFonts w:ascii="宋体" w:hAnsi="宋体" w:cs="宋体"/>
                <w:sz w:val="18"/>
                <w:szCs w:val="18"/>
              </w:rPr>
            </w:pPr>
          </w:p>
        </w:tc>
        <w:tc>
          <w:tcPr>
            <w:tcW w:w="1519" w:type="dxa"/>
            <w:vMerge w:val="continue"/>
            <w:vAlign w:val="center"/>
          </w:tcPr>
          <w:p>
            <w:pPr>
              <w:pStyle w:val="213"/>
              <w:topLinePunct/>
              <w:adjustRightInd w:val="0"/>
              <w:snapToGrid w:val="0"/>
              <w:jc w:val="center"/>
              <w:rPr>
                <w:rFonts w:ascii="宋体" w:hAnsi="宋体" w:cs="宋体"/>
                <w:sz w:val="18"/>
                <w:szCs w:val="18"/>
              </w:rPr>
            </w:pPr>
          </w:p>
        </w:tc>
        <w:tc>
          <w:tcPr>
            <w:tcW w:w="588" w:type="dxa"/>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12</w:t>
            </w:r>
          </w:p>
        </w:tc>
        <w:tc>
          <w:tcPr>
            <w:tcW w:w="1936" w:type="dxa"/>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交通运输用地</w:t>
            </w:r>
          </w:p>
        </w:tc>
        <w:tc>
          <w:tcPr>
            <w:tcW w:w="1489" w:type="dxa"/>
            <w:vMerge w:val="continue"/>
            <w:vAlign w:val="center"/>
          </w:tcPr>
          <w:p>
            <w:pPr>
              <w:pStyle w:val="213"/>
              <w:topLinePunct/>
              <w:adjustRightInd w:val="0"/>
              <w:snapToGrid w:val="0"/>
              <w:jc w:val="center"/>
              <w:rPr>
                <w:rFonts w:ascii="宋体" w:hAnsi="宋体" w:cs="宋体"/>
                <w:color w:val="000000" w:themeColor="text1"/>
                <w:sz w:val="18"/>
                <w:szCs w:val="18"/>
                <w14:textFill>
                  <w14:solidFill>
                    <w14:schemeClr w14:val="tx1"/>
                  </w14:solidFill>
                </w14:textFill>
              </w:rPr>
            </w:pPr>
          </w:p>
        </w:tc>
        <w:tc>
          <w:tcPr>
            <w:tcW w:w="830" w:type="dxa"/>
            <w:vMerge w:val="continue"/>
            <w:vAlign w:val="center"/>
          </w:tcPr>
          <w:p>
            <w:pPr>
              <w:pStyle w:val="213"/>
              <w:topLinePunct/>
              <w:adjustRightInd w:val="0"/>
              <w:snapToGrid w:val="0"/>
              <w:jc w:val="center"/>
              <w:rPr>
                <w:rFonts w:ascii="宋体" w:hAnsi="宋体" w:cs="宋体"/>
                <w:sz w:val="18"/>
                <w:szCs w:val="18"/>
              </w:rPr>
            </w:pPr>
          </w:p>
        </w:tc>
        <w:tc>
          <w:tcPr>
            <w:tcW w:w="1171" w:type="dxa"/>
            <w:vMerge w:val="continue"/>
            <w:vAlign w:val="center"/>
          </w:tcPr>
          <w:p>
            <w:pPr>
              <w:pStyle w:val="213"/>
              <w:topLinePunct/>
              <w:adjustRightInd w:val="0"/>
              <w:snapToGrid w:val="0"/>
              <w:jc w:val="center"/>
              <w:rPr>
                <w:rFonts w:ascii="宋体" w:hAnsi="宋体" w:cs="宋体"/>
                <w:sz w:val="18"/>
                <w:szCs w:val="18"/>
              </w:rPr>
            </w:pPr>
          </w:p>
        </w:tc>
        <w:tc>
          <w:tcPr>
            <w:tcW w:w="719" w:type="dxa"/>
            <w:vMerge w:val="continue"/>
            <w:vAlign w:val="center"/>
          </w:tcPr>
          <w:p>
            <w:pPr>
              <w:pStyle w:val="213"/>
              <w:topLinePunct/>
              <w:adjustRightInd w:val="0"/>
              <w:snapToGrid w:val="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4" w:hRule="atLeast"/>
          <w:jc w:val="center"/>
        </w:trPr>
        <w:tc>
          <w:tcPr>
            <w:tcW w:w="582" w:type="dxa"/>
            <w:vMerge w:val="continue"/>
            <w:vAlign w:val="center"/>
          </w:tcPr>
          <w:p>
            <w:pPr>
              <w:pStyle w:val="213"/>
              <w:topLinePunct/>
              <w:adjustRightInd w:val="0"/>
              <w:snapToGrid w:val="0"/>
              <w:jc w:val="center"/>
              <w:rPr>
                <w:rFonts w:ascii="宋体" w:hAnsi="宋体" w:cs="宋体"/>
                <w:sz w:val="18"/>
                <w:szCs w:val="18"/>
              </w:rPr>
            </w:pPr>
          </w:p>
        </w:tc>
        <w:tc>
          <w:tcPr>
            <w:tcW w:w="1519" w:type="dxa"/>
            <w:vMerge w:val="continue"/>
            <w:vAlign w:val="center"/>
          </w:tcPr>
          <w:p>
            <w:pPr>
              <w:pStyle w:val="213"/>
              <w:topLinePunct/>
              <w:adjustRightInd w:val="0"/>
              <w:snapToGrid w:val="0"/>
              <w:jc w:val="center"/>
              <w:rPr>
                <w:rFonts w:ascii="宋体" w:hAnsi="宋体" w:cs="宋体"/>
                <w:sz w:val="18"/>
                <w:szCs w:val="18"/>
              </w:rPr>
            </w:pPr>
          </w:p>
        </w:tc>
        <w:tc>
          <w:tcPr>
            <w:tcW w:w="588" w:type="dxa"/>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13</w:t>
            </w:r>
          </w:p>
        </w:tc>
        <w:tc>
          <w:tcPr>
            <w:tcW w:w="1936" w:type="dxa"/>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公用设施用地</w:t>
            </w:r>
          </w:p>
        </w:tc>
        <w:tc>
          <w:tcPr>
            <w:tcW w:w="1489" w:type="dxa"/>
            <w:vMerge w:val="continue"/>
            <w:vAlign w:val="center"/>
          </w:tcPr>
          <w:p>
            <w:pPr>
              <w:pStyle w:val="213"/>
              <w:topLinePunct/>
              <w:adjustRightInd w:val="0"/>
              <w:snapToGrid w:val="0"/>
              <w:jc w:val="center"/>
              <w:rPr>
                <w:rFonts w:ascii="宋体" w:hAnsi="宋体" w:cs="宋体"/>
                <w:color w:val="000000" w:themeColor="text1"/>
                <w:sz w:val="18"/>
                <w:szCs w:val="18"/>
                <w14:textFill>
                  <w14:solidFill>
                    <w14:schemeClr w14:val="tx1"/>
                  </w14:solidFill>
                </w14:textFill>
              </w:rPr>
            </w:pPr>
          </w:p>
        </w:tc>
        <w:tc>
          <w:tcPr>
            <w:tcW w:w="830" w:type="dxa"/>
            <w:vMerge w:val="continue"/>
            <w:vAlign w:val="center"/>
          </w:tcPr>
          <w:p>
            <w:pPr>
              <w:pStyle w:val="213"/>
              <w:topLinePunct/>
              <w:adjustRightInd w:val="0"/>
              <w:snapToGrid w:val="0"/>
              <w:jc w:val="center"/>
              <w:rPr>
                <w:rFonts w:ascii="宋体" w:hAnsi="宋体" w:cs="宋体"/>
                <w:sz w:val="18"/>
                <w:szCs w:val="18"/>
              </w:rPr>
            </w:pPr>
          </w:p>
        </w:tc>
        <w:tc>
          <w:tcPr>
            <w:tcW w:w="1171" w:type="dxa"/>
            <w:vMerge w:val="continue"/>
            <w:vAlign w:val="center"/>
          </w:tcPr>
          <w:p>
            <w:pPr>
              <w:pStyle w:val="213"/>
              <w:topLinePunct/>
              <w:adjustRightInd w:val="0"/>
              <w:snapToGrid w:val="0"/>
              <w:jc w:val="center"/>
              <w:rPr>
                <w:rFonts w:ascii="宋体" w:hAnsi="宋体" w:cs="宋体"/>
                <w:sz w:val="18"/>
                <w:szCs w:val="18"/>
              </w:rPr>
            </w:pPr>
          </w:p>
        </w:tc>
        <w:tc>
          <w:tcPr>
            <w:tcW w:w="719" w:type="dxa"/>
            <w:vMerge w:val="continue"/>
            <w:vAlign w:val="center"/>
          </w:tcPr>
          <w:p>
            <w:pPr>
              <w:pStyle w:val="213"/>
              <w:topLinePunct/>
              <w:adjustRightInd w:val="0"/>
              <w:snapToGrid w:val="0"/>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4" w:hRule="atLeast"/>
          <w:jc w:val="center"/>
        </w:trPr>
        <w:tc>
          <w:tcPr>
            <w:tcW w:w="582" w:type="dxa"/>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戊</w:t>
            </w:r>
          </w:p>
        </w:tc>
        <w:tc>
          <w:tcPr>
            <w:tcW w:w="1519" w:type="dxa"/>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林地</w:t>
            </w:r>
          </w:p>
        </w:tc>
        <w:tc>
          <w:tcPr>
            <w:tcW w:w="588" w:type="dxa"/>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3</w:t>
            </w:r>
          </w:p>
        </w:tc>
        <w:tc>
          <w:tcPr>
            <w:tcW w:w="1936" w:type="dxa"/>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林地</w:t>
            </w:r>
          </w:p>
        </w:tc>
        <w:tc>
          <w:tcPr>
            <w:tcW w:w="1489" w:type="dxa"/>
            <w:vAlign w:val="center"/>
          </w:tcPr>
          <w:p>
            <w:pPr>
              <w:pStyle w:val="213"/>
              <w:topLinePunct/>
              <w:adjustRightInd w:val="0"/>
              <w:snapToGrid w:val="0"/>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 w:val="18"/>
                <w:szCs w:val="18"/>
              </w:rPr>
              <w:t>43670.45</w:t>
            </w:r>
          </w:p>
        </w:tc>
        <w:tc>
          <w:tcPr>
            <w:tcW w:w="830" w:type="dxa"/>
            <w:vAlign w:val="center"/>
          </w:tcPr>
          <w:p>
            <w:pPr>
              <w:pStyle w:val="213"/>
              <w:topLinePunct/>
              <w:adjustRightInd w:val="0"/>
              <w:snapToGrid w:val="0"/>
              <w:jc w:val="center"/>
              <w:rPr>
                <w:rFonts w:ascii="宋体" w:hAnsi="宋体" w:cs="宋体"/>
                <w:sz w:val="18"/>
                <w:szCs w:val="18"/>
              </w:rPr>
            </w:pPr>
            <w:r>
              <w:rPr>
                <w:rFonts w:hint="eastAsia" w:ascii="宋体" w:hAnsi="宋体" w:cs="宋体"/>
                <w:color w:val="000000"/>
                <w:kern w:val="0"/>
                <w:sz w:val="18"/>
                <w:szCs w:val="18"/>
              </w:rPr>
              <w:t>84.72%</w:t>
            </w:r>
          </w:p>
        </w:tc>
        <w:tc>
          <w:tcPr>
            <w:tcW w:w="1171" w:type="dxa"/>
            <w:vAlign w:val="center"/>
          </w:tcPr>
          <w:p>
            <w:pPr>
              <w:pStyle w:val="213"/>
              <w:topLinePunct/>
              <w:adjustRightInd w:val="0"/>
              <w:snapToGrid w:val="0"/>
              <w:jc w:val="center"/>
              <w:rPr>
                <w:rFonts w:ascii="宋体" w:hAnsi="宋体" w:cs="宋体"/>
                <w:sz w:val="18"/>
                <w:szCs w:val="18"/>
              </w:rPr>
            </w:pPr>
            <w:r>
              <w:rPr>
                <w:rFonts w:hint="eastAsia" w:ascii="宋体" w:hAnsi="宋体" w:cs="宋体"/>
                <w:color w:val="000000"/>
                <w:kern w:val="0"/>
                <w:sz w:val="18"/>
                <w:szCs w:val="18"/>
              </w:rPr>
              <w:t>23716.82</w:t>
            </w:r>
          </w:p>
        </w:tc>
        <w:tc>
          <w:tcPr>
            <w:tcW w:w="719" w:type="dxa"/>
            <w:vAlign w:val="center"/>
          </w:tcPr>
          <w:p>
            <w:pPr>
              <w:pStyle w:val="213"/>
              <w:topLinePunct/>
              <w:adjustRightInd w:val="0"/>
              <w:snapToGrid w:val="0"/>
              <w:jc w:val="center"/>
              <w:rPr>
                <w:rFonts w:ascii="宋体" w:hAnsi="宋体" w:cs="宋体"/>
                <w:sz w:val="18"/>
                <w:szCs w:val="18"/>
              </w:rPr>
            </w:pPr>
            <w:r>
              <w:rPr>
                <w:rFonts w:hint="eastAsia" w:ascii="宋体" w:hAnsi="宋体" w:cs="宋体"/>
                <w:color w:val="000000"/>
                <w:kern w:val="0"/>
                <w:sz w:val="18"/>
                <w:szCs w:val="18"/>
              </w:rPr>
              <w:t>44.60%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4" w:hRule="atLeast"/>
          <w:jc w:val="center"/>
        </w:trPr>
        <w:tc>
          <w:tcPr>
            <w:tcW w:w="582" w:type="dxa"/>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己</w:t>
            </w:r>
          </w:p>
        </w:tc>
        <w:tc>
          <w:tcPr>
            <w:tcW w:w="1519" w:type="dxa"/>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园地</w:t>
            </w:r>
          </w:p>
        </w:tc>
        <w:tc>
          <w:tcPr>
            <w:tcW w:w="588" w:type="dxa"/>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2</w:t>
            </w:r>
          </w:p>
        </w:tc>
        <w:tc>
          <w:tcPr>
            <w:tcW w:w="1936" w:type="dxa"/>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园地</w:t>
            </w:r>
          </w:p>
        </w:tc>
        <w:tc>
          <w:tcPr>
            <w:tcW w:w="1489" w:type="dxa"/>
            <w:vAlign w:val="center"/>
          </w:tcPr>
          <w:p>
            <w:pPr>
              <w:pStyle w:val="213"/>
              <w:topLinePunct/>
              <w:adjustRightInd w:val="0"/>
              <w:snapToGrid w:val="0"/>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 w:val="18"/>
                <w:szCs w:val="18"/>
              </w:rPr>
              <w:t>1473.05</w:t>
            </w:r>
          </w:p>
        </w:tc>
        <w:tc>
          <w:tcPr>
            <w:tcW w:w="830" w:type="dxa"/>
            <w:vAlign w:val="center"/>
          </w:tcPr>
          <w:p>
            <w:pPr>
              <w:pStyle w:val="213"/>
              <w:topLinePunct/>
              <w:adjustRightInd w:val="0"/>
              <w:snapToGrid w:val="0"/>
              <w:jc w:val="center"/>
              <w:rPr>
                <w:rFonts w:ascii="宋体" w:hAnsi="宋体" w:cs="宋体"/>
                <w:sz w:val="18"/>
                <w:szCs w:val="18"/>
              </w:rPr>
            </w:pPr>
            <w:r>
              <w:rPr>
                <w:rFonts w:hint="eastAsia" w:ascii="宋体" w:hAnsi="宋体" w:cs="宋体"/>
                <w:color w:val="000000"/>
                <w:kern w:val="0"/>
                <w:sz w:val="18"/>
                <w:szCs w:val="18"/>
              </w:rPr>
              <w:t>2.77%</w:t>
            </w:r>
          </w:p>
        </w:tc>
        <w:tc>
          <w:tcPr>
            <w:tcW w:w="1171" w:type="dxa"/>
            <w:vAlign w:val="center"/>
          </w:tcPr>
          <w:p>
            <w:pPr>
              <w:pStyle w:val="213"/>
              <w:topLinePunct/>
              <w:adjustRightInd w:val="0"/>
              <w:snapToGrid w:val="0"/>
              <w:jc w:val="center"/>
              <w:rPr>
                <w:rFonts w:ascii="宋体" w:hAnsi="宋体" w:cs="宋体"/>
                <w:sz w:val="18"/>
                <w:szCs w:val="18"/>
              </w:rPr>
            </w:pPr>
            <w:r>
              <w:rPr>
                <w:rFonts w:hint="eastAsia" w:ascii="宋体" w:hAnsi="宋体" w:cs="宋体"/>
                <w:color w:val="000000"/>
                <w:kern w:val="0"/>
                <w:sz w:val="18"/>
                <w:szCs w:val="18"/>
              </w:rPr>
              <w:t>1232.81</w:t>
            </w:r>
          </w:p>
        </w:tc>
        <w:tc>
          <w:tcPr>
            <w:tcW w:w="719" w:type="dxa"/>
            <w:vAlign w:val="center"/>
          </w:tcPr>
          <w:p>
            <w:pPr>
              <w:pStyle w:val="213"/>
              <w:topLinePunct/>
              <w:adjustRightInd w:val="0"/>
              <w:snapToGrid w:val="0"/>
              <w:jc w:val="center"/>
              <w:rPr>
                <w:rFonts w:ascii="宋体" w:hAnsi="宋体" w:cs="宋体"/>
                <w:sz w:val="18"/>
                <w:szCs w:val="18"/>
              </w:rPr>
            </w:pPr>
            <w:r>
              <w:rPr>
                <w:rFonts w:hint="eastAsia" w:ascii="宋体" w:hAnsi="宋体" w:cs="宋体"/>
                <w:color w:val="000000"/>
                <w:kern w:val="0"/>
                <w:sz w:val="18"/>
                <w:szCs w:val="18"/>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4" w:hRule="atLeast"/>
          <w:jc w:val="center"/>
        </w:trPr>
        <w:tc>
          <w:tcPr>
            <w:tcW w:w="582" w:type="dxa"/>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庚</w:t>
            </w:r>
          </w:p>
        </w:tc>
        <w:tc>
          <w:tcPr>
            <w:tcW w:w="1519" w:type="dxa"/>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耕地</w:t>
            </w:r>
          </w:p>
        </w:tc>
        <w:tc>
          <w:tcPr>
            <w:tcW w:w="588" w:type="dxa"/>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1</w:t>
            </w:r>
          </w:p>
        </w:tc>
        <w:tc>
          <w:tcPr>
            <w:tcW w:w="1936" w:type="dxa"/>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耕地</w:t>
            </w:r>
          </w:p>
        </w:tc>
        <w:tc>
          <w:tcPr>
            <w:tcW w:w="1489" w:type="dxa"/>
            <w:vAlign w:val="center"/>
          </w:tcPr>
          <w:p>
            <w:pPr>
              <w:pStyle w:val="213"/>
              <w:topLinePunct/>
              <w:adjustRightInd w:val="0"/>
              <w:snapToGrid w:val="0"/>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 w:val="18"/>
                <w:szCs w:val="18"/>
              </w:rPr>
              <w:t>3424.06</w:t>
            </w:r>
          </w:p>
        </w:tc>
        <w:tc>
          <w:tcPr>
            <w:tcW w:w="830" w:type="dxa"/>
            <w:vAlign w:val="center"/>
          </w:tcPr>
          <w:p>
            <w:pPr>
              <w:pStyle w:val="213"/>
              <w:topLinePunct/>
              <w:adjustRightInd w:val="0"/>
              <w:snapToGrid w:val="0"/>
              <w:jc w:val="center"/>
              <w:rPr>
                <w:rFonts w:ascii="宋体" w:hAnsi="宋体" w:cs="宋体"/>
                <w:sz w:val="18"/>
                <w:szCs w:val="18"/>
              </w:rPr>
            </w:pPr>
            <w:r>
              <w:rPr>
                <w:rFonts w:hint="eastAsia" w:ascii="宋体" w:hAnsi="宋体" w:cs="宋体"/>
                <w:color w:val="000000"/>
                <w:kern w:val="0"/>
                <w:sz w:val="18"/>
                <w:szCs w:val="18"/>
              </w:rPr>
              <w:t>6.44%</w:t>
            </w:r>
          </w:p>
        </w:tc>
        <w:tc>
          <w:tcPr>
            <w:tcW w:w="1171" w:type="dxa"/>
            <w:vAlign w:val="center"/>
          </w:tcPr>
          <w:p>
            <w:pPr>
              <w:pStyle w:val="213"/>
              <w:topLinePunct/>
              <w:adjustRightInd w:val="0"/>
              <w:snapToGrid w:val="0"/>
              <w:jc w:val="center"/>
              <w:rPr>
                <w:rFonts w:ascii="宋体" w:hAnsi="宋体" w:cs="宋体"/>
                <w:sz w:val="18"/>
                <w:szCs w:val="18"/>
              </w:rPr>
            </w:pPr>
            <w:r>
              <w:rPr>
                <w:rFonts w:hint="eastAsia" w:ascii="宋体" w:hAnsi="宋体" w:cs="宋体"/>
                <w:color w:val="000000"/>
                <w:kern w:val="0"/>
                <w:sz w:val="18"/>
                <w:szCs w:val="18"/>
              </w:rPr>
              <w:t>3424.06</w:t>
            </w:r>
          </w:p>
        </w:tc>
        <w:tc>
          <w:tcPr>
            <w:tcW w:w="719" w:type="dxa"/>
            <w:vAlign w:val="center"/>
          </w:tcPr>
          <w:p>
            <w:pPr>
              <w:pStyle w:val="213"/>
              <w:topLinePunct/>
              <w:adjustRightInd w:val="0"/>
              <w:snapToGrid w:val="0"/>
              <w:jc w:val="center"/>
              <w:rPr>
                <w:rFonts w:ascii="宋体" w:hAnsi="宋体" w:cs="宋体"/>
                <w:sz w:val="18"/>
                <w:szCs w:val="18"/>
              </w:rPr>
            </w:pPr>
            <w:r>
              <w:rPr>
                <w:rFonts w:hint="eastAsia" w:ascii="宋体" w:hAnsi="宋体" w:cs="宋体"/>
                <w:color w:val="000000"/>
                <w:kern w:val="0"/>
                <w:sz w:val="18"/>
                <w:szCs w:val="18"/>
              </w:rPr>
              <w:t>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4" w:hRule="atLeast"/>
          <w:jc w:val="center"/>
        </w:trPr>
        <w:tc>
          <w:tcPr>
            <w:tcW w:w="582" w:type="dxa"/>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辛</w:t>
            </w:r>
          </w:p>
        </w:tc>
        <w:tc>
          <w:tcPr>
            <w:tcW w:w="1519" w:type="dxa"/>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草地</w:t>
            </w:r>
          </w:p>
        </w:tc>
        <w:tc>
          <w:tcPr>
            <w:tcW w:w="588" w:type="dxa"/>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4</w:t>
            </w:r>
          </w:p>
        </w:tc>
        <w:tc>
          <w:tcPr>
            <w:tcW w:w="1936" w:type="dxa"/>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草地</w:t>
            </w:r>
          </w:p>
        </w:tc>
        <w:tc>
          <w:tcPr>
            <w:tcW w:w="1489" w:type="dxa"/>
            <w:vAlign w:val="center"/>
          </w:tcPr>
          <w:p>
            <w:pPr>
              <w:pStyle w:val="213"/>
              <w:topLinePunct/>
              <w:adjustRightInd w:val="0"/>
              <w:snapToGrid w:val="0"/>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 w:val="18"/>
                <w:szCs w:val="18"/>
              </w:rPr>
              <w:t>81.34</w:t>
            </w:r>
          </w:p>
        </w:tc>
        <w:tc>
          <w:tcPr>
            <w:tcW w:w="830" w:type="dxa"/>
            <w:vAlign w:val="center"/>
          </w:tcPr>
          <w:p>
            <w:pPr>
              <w:pStyle w:val="213"/>
              <w:topLinePunct/>
              <w:adjustRightInd w:val="0"/>
              <w:snapToGrid w:val="0"/>
              <w:jc w:val="center"/>
              <w:rPr>
                <w:rFonts w:ascii="宋体" w:hAnsi="宋体" w:cs="宋体"/>
                <w:sz w:val="18"/>
                <w:szCs w:val="18"/>
              </w:rPr>
            </w:pPr>
            <w:r>
              <w:rPr>
                <w:rFonts w:hint="eastAsia" w:ascii="宋体" w:hAnsi="宋体" w:cs="宋体"/>
                <w:color w:val="000000"/>
                <w:kern w:val="0"/>
                <w:sz w:val="18"/>
                <w:szCs w:val="18"/>
              </w:rPr>
              <w:t>0.15%</w:t>
            </w:r>
          </w:p>
        </w:tc>
        <w:tc>
          <w:tcPr>
            <w:tcW w:w="1171" w:type="dxa"/>
            <w:vAlign w:val="center"/>
          </w:tcPr>
          <w:p>
            <w:pPr>
              <w:pStyle w:val="213"/>
              <w:topLinePunct/>
              <w:adjustRightInd w:val="0"/>
              <w:snapToGrid w:val="0"/>
              <w:jc w:val="center"/>
              <w:rPr>
                <w:rFonts w:ascii="宋体" w:hAnsi="宋体" w:cs="宋体"/>
                <w:sz w:val="18"/>
                <w:szCs w:val="18"/>
              </w:rPr>
            </w:pPr>
            <w:r>
              <w:rPr>
                <w:rFonts w:hint="eastAsia" w:ascii="宋体" w:hAnsi="宋体" w:cs="宋体"/>
                <w:color w:val="000000"/>
                <w:kern w:val="0"/>
                <w:sz w:val="18"/>
                <w:szCs w:val="18"/>
              </w:rPr>
              <w:t>74.98</w:t>
            </w:r>
          </w:p>
        </w:tc>
        <w:tc>
          <w:tcPr>
            <w:tcW w:w="719" w:type="dxa"/>
            <w:vAlign w:val="center"/>
          </w:tcPr>
          <w:p>
            <w:pPr>
              <w:pStyle w:val="213"/>
              <w:topLinePunct/>
              <w:adjustRightInd w:val="0"/>
              <w:snapToGrid w:val="0"/>
              <w:jc w:val="center"/>
              <w:rPr>
                <w:rFonts w:ascii="宋体" w:hAnsi="宋体" w:cs="宋体"/>
                <w:sz w:val="18"/>
                <w:szCs w:val="18"/>
              </w:rPr>
            </w:pPr>
            <w:r>
              <w:rPr>
                <w:rFonts w:hint="eastAsia" w:ascii="宋体" w:hAnsi="宋体" w:cs="宋体"/>
                <w:color w:val="000000"/>
                <w:kern w:val="0"/>
                <w:sz w:val="18"/>
                <w:szCs w:val="18"/>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4" w:hRule="atLeast"/>
          <w:jc w:val="center"/>
        </w:trPr>
        <w:tc>
          <w:tcPr>
            <w:tcW w:w="582" w:type="dxa"/>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壬</w:t>
            </w:r>
          </w:p>
        </w:tc>
        <w:tc>
          <w:tcPr>
            <w:tcW w:w="1519" w:type="dxa"/>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水域</w:t>
            </w:r>
          </w:p>
        </w:tc>
        <w:tc>
          <w:tcPr>
            <w:tcW w:w="588" w:type="dxa"/>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17</w:t>
            </w:r>
          </w:p>
        </w:tc>
        <w:tc>
          <w:tcPr>
            <w:tcW w:w="1936" w:type="dxa"/>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陆地水域</w:t>
            </w:r>
          </w:p>
        </w:tc>
        <w:tc>
          <w:tcPr>
            <w:tcW w:w="1489" w:type="dxa"/>
            <w:vAlign w:val="center"/>
          </w:tcPr>
          <w:p>
            <w:pPr>
              <w:pStyle w:val="213"/>
              <w:topLinePunct/>
              <w:adjustRightInd w:val="0"/>
              <w:snapToGrid w:val="0"/>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 w:val="18"/>
                <w:szCs w:val="18"/>
              </w:rPr>
              <w:t>2313.14</w:t>
            </w:r>
          </w:p>
        </w:tc>
        <w:tc>
          <w:tcPr>
            <w:tcW w:w="830" w:type="dxa"/>
            <w:vAlign w:val="center"/>
          </w:tcPr>
          <w:p>
            <w:pPr>
              <w:pStyle w:val="213"/>
              <w:topLinePunct/>
              <w:adjustRightInd w:val="0"/>
              <w:snapToGrid w:val="0"/>
              <w:jc w:val="center"/>
              <w:rPr>
                <w:rFonts w:ascii="宋体" w:hAnsi="宋体" w:cs="宋体"/>
                <w:sz w:val="18"/>
                <w:szCs w:val="18"/>
              </w:rPr>
            </w:pPr>
            <w:r>
              <w:rPr>
                <w:rFonts w:hint="eastAsia" w:ascii="宋体" w:hAnsi="宋体" w:cs="宋体"/>
                <w:color w:val="000000"/>
                <w:kern w:val="0"/>
                <w:sz w:val="18"/>
                <w:szCs w:val="18"/>
              </w:rPr>
              <w:t>4.35%</w:t>
            </w:r>
          </w:p>
        </w:tc>
        <w:tc>
          <w:tcPr>
            <w:tcW w:w="1171" w:type="dxa"/>
            <w:vAlign w:val="center"/>
          </w:tcPr>
          <w:p>
            <w:pPr>
              <w:pStyle w:val="213"/>
              <w:topLinePunct/>
              <w:adjustRightInd w:val="0"/>
              <w:snapToGrid w:val="0"/>
              <w:jc w:val="center"/>
              <w:rPr>
                <w:rFonts w:ascii="宋体" w:hAnsi="宋体" w:cs="宋体"/>
                <w:sz w:val="18"/>
                <w:szCs w:val="18"/>
              </w:rPr>
            </w:pPr>
            <w:r>
              <w:rPr>
                <w:rFonts w:hint="eastAsia" w:ascii="宋体" w:hAnsi="宋体" w:cs="宋体"/>
                <w:color w:val="000000"/>
                <w:kern w:val="0"/>
                <w:sz w:val="18"/>
                <w:szCs w:val="18"/>
              </w:rPr>
              <w:t>2313.14</w:t>
            </w:r>
          </w:p>
        </w:tc>
        <w:tc>
          <w:tcPr>
            <w:tcW w:w="719" w:type="dxa"/>
            <w:vAlign w:val="center"/>
          </w:tcPr>
          <w:p>
            <w:pPr>
              <w:pStyle w:val="213"/>
              <w:topLinePunct/>
              <w:adjustRightInd w:val="0"/>
              <w:snapToGrid w:val="0"/>
              <w:jc w:val="center"/>
              <w:rPr>
                <w:rFonts w:ascii="宋体" w:hAnsi="宋体" w:cs="宋体"/>
                <w:sz w:val="18"/>
                <w:szCs w:val="18"/>
              </w:rPr>
            </w:pPr>
            <w:r>
              <w:rPr>
                <w:rFonts w:hint="eastAsia" w:ascii="宋体" w:hAnsi="宋体" w:cs="宋体"/>
                <w:color w:val="000000"/>
                <w:kern w:val="0"/>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4" w:hRule="atLeast"/>
          <w:jc w:val="center"/>
        </w:trPr>
        <w:tc>
          <w:tcPr>
            <w:tcW w:w="582" w:type="dxa"/>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癸</w:t>
            </w:r>
          </w:p>
        </w:tc>
        <w:tc>
          <w:tcPr>
            <w:tcW w:w="1519" w:type="dxa"/>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滞留用地</w:t>
            </w:r>
          </w:p>
        </w:tc>
        <w:tc>
          <w:tcPr>
            <w:tcW w:w="588" w:type="dxa"/>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16</w:t>
            </w:r>
          </w:p>
        </w:tc>
        <w:tc>
          <w:tcPr>
            <w:tcW w:w="1936" w:type="dxa"/>
            <w:vAlign w:val="center"/>
          </w:tcPr>
          <w:p>
            <w:pPr>
              <w:pStyle w:val="213"/>
              <w:topLinePunct/>
              <w:adjustRightInd w:val="0"/>
              <w:snapToGrid w:val="0"/>
              <w:jc w:val="center"/>
              <w:rPr>
                <w:rFonts w:ascii="宋体" w:hAnsi="宋体" w:cs="宋体"/>
                <w:sz w:val="18"/>
                <w:szCs w:val="18"/>
              </w:rPr>
            </w:pPr>
            <w:r>
              <w:rPr>
                <w:rFonts w:hint="eastAsia" w:ascii="宋体" w:hAnsi="宋体" w:cs="宋体"/>
                <w:sz w:val="18"/>
                <w:szCs w:val="18"/>
              </w:rPr>
              <w:t>留白用地</w:t>
            </w:r>
          </w:p>
        </w:tc>
        <w:tc>
          <w:tcPr>
            <w:tcW w:w="1489" w:type="dxa"/>
            <w:vAlign w:val="center"/>
          </w:tcPr>
          <w:p>
            <w:pPr>
              <w:pStyle w:val="213"/>
              <w:topLinePunct/>
              <w:adjustRightInd w:val="0"/>
              <w:snapToGrid w:val="0"/>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 w:val="18"/>
                <w:szCs w:val="18"/>
              </w:rPr>
              <w:t>16.19</w:t>
            </w:r>
          </w:p>
        </w:tc>
        <w:tc>
          <w:tcPr>
            <w:tcW w:w="830" w:type="dxa"/>
            <w:vAlign w:val="center"/>
          </w:tcPr>
          <w:p>
            <w:pPr>
              <w:pStyle w:val="213"/>
              <w:topLinePunct/>
              <w:adjustRightInd w:val="0"/>
              <w:snapToGrid w:val="0"/>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kern w:val="0"/>
                <w:sz w:val="18"/>
                <w:szCs w:val="18"/>
              </w:rPr>
              <w:t>0.03%</w:t>
            </w:r>
          </w:p>
        </w:tc>
        <w:tc>
          <w:tcPr>
            <w:tcW w:w="1171" w:type="dxa"/>
            <w:vAlign w:val="center"/>
          </w:tcPr>
          <w:p>
            <w:pPr>
              <w:pStyle w:val="213"/>
              <w:topLinePunct/>
              <w:adjustRightInd w:val="0"/>
              <w:snapToGrid w:val="0"/>
              <w:jc w:val="center"/>
              <w:rPr>
                <w:rFonts w:ascii="宋体" w:hAnsi="宋体" w:cs="宋体"/>
                <w:sz w:val="18"/>
                <w:szCs w:val="18"/>
              </w:rPr>
            </w:pPr>
            <w:r>
              <w:rPr>
                <w:rFonts w:hint="eastAsia" w:ascii="宋体" w:hAnsi="宋体" w:cs="宋体"/>
                <w:color w:val="000000"/>
                <w:kern w:val="0"/>
                <w:sz w:val="18"/>
                <w:szCs w:val="18"/>
              </w:rPr>
              <w:t>0.00</w:t>
            </w:r>
          </w:p>
        </w:tc>
        <w:tc>
          <w:tcPr>
            <w:tcW w:w="719" w:type="dxa"/>
            <w:vAlign w:val="center"/>
          </w:tcPr>
          <w:p>
            <w:pPr>
              <w:pStyle w:val="213"/>
              <w:topLinePunct/>
              <w:adjustRightInd w:val="0"/>
              <w:snapToGrid w:val="0"/>
              <w:jc w:val="center"/>
              <w:rPr>
                <w:rFonts w:ascii="宋体" w:hAnsi="宋体" w:cs="宋体"/>
                <w:sz w:val="18"/>
                <w:szCs w:val="18"/>
              </w:rPr>
            </w:pPr>
            <w:r>
              <w:rPr>
                <w:rFonts w:hint="eastAsia" w:ascii="宋体" w:hAnsi="宋体" w:cs="宋体"/>
                <w:color w:val="000000"/>
                <w:kern w:val="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4" w:hRule="atLeast"/>
          <w:jc w:val="center"/>
        </w:trPr>
        <w:tc>
          <w:tcPr>
            <w:tcW w:w="4625" w:type="dxa"/>
            <w:gridSpan w:val="4"/>
            <w:vAlign w:val="center"/>
          </w:tcPr>
          <w:p>
            <w:pPr>
              <w:pStyle w:val="213"/>
              <w:topLinePunct/>
              <w:adjustRightInd w:val="0"/>
              <w:snapToGrid w:val="0"/>
              <w:jc w:val="center"/>
              <w:rPr>
                <w:rFonts w:ascii="宋体" w:hAnsi="宋体" w:cs="宋体"/>
                <w:b/>
                <w:bCs/>
                <w:sz w:val="18"/>
                <w:szCs w:val="18"/>
              </w:rPr>
            </w:pPr>
            <w:r>
              <w:rPr>
                <w:rFonts w:hint="eastAsia" w:ascii="宋体" w:hAnsi="宋体" w:cs="宋体"/>
                <w:b/>
                <w:bCs/>
                <w:sz w:val="18"/>
                <w:szCs w:val="18"/>
              </w:rPr>
              <w:t>合计</w:t>
            </w:r>
          </w:p>
        </w:tc>
        <w:tc>
          <w:tcPr>
            <w:tcW w:w="1489" w:type="dxa"/>
            <w:vAlign w:val="center"/>
          </w:tcPr>
          <w:p>
            <w:pPr>
              <w:pStyle w:val="213"/>
              <w:topLinePunct/>
              <w:adjustRightInd w:val="0"/>
              <w:snapToGrid w:val="0"/>
              <w:jc w:val="center"/>
              <w:rPr>
                <w:rFonts w:ascii="宋体" w:hAnsi="宋体" w:cs="宋体"/>
                <w:b/>
                <w:bCs/>
                <w:color w:val="000000" w:themeColor="text1"/>
                <w:sz w:val="18"/>
                <w:szCs w:val="18"/>
                <w14:textFill>
                  <w14:solidFill>
                    <w14:schemeClr w14:val="tx1"/>
                  </w14:solidFill>
                </w14:textFill>
              </w:rPr>
            </w:pPr>
            <w:r>
              <w:rPr>
                <w:rFonts w:hint="eastAsia" w:ascii="宋体" w:hAnsi="宋体" w:cs="宋体"/>
                <w:color w:val="000000"/>
                <w:kern w:val="0"/>
                <w:sz w:val="18"/>
                <w:szCs w:val="18"/>
              </w:rPr>
              <w:t xml:space="preserve">53174.06 </w:t>
            </w:r>
          </w:p>
        </w:tc>
        <w:tc>
          <w:tcPr>
            <w:tcW w:w="830" w:type="dxa"/>
            <w:vAlign w:val="center"/>
          </w:tcPr>
          <w:p>
            <w:pPr>
              <w:pStyle w:val="213"/>
              <w:topLinePunct/>
              <w:adjustRightInd w:val="0"/>
              <w:snapToGrid w:val="0"/>
              <w:jc w:val="center"/>
              <w:rPr>
                <w:rFonts w:ascii="宋体" w:hAnsi="宋体" w:cs="宋体"/>
                <w:b/>
                <w:bCs/>
                <w:sz w:val="18"/>
                <w:szCs w:val="18"/>
              </w:rPr>
            </w:pPr>
            <w:r>
              <w:rPr>
                <w:rFonts w:hint="eastAsia" w:ascii="宋体" w:hAnsi="宋体" w:cs="宋体"/>
                <w:color w:val="000000"/>
                <w:kern w:val="0"/>
                <w:sz w:val="18"/>
                <w:szCs w:val="18"/>
              </w:rPr>
              <w:t>100.00%</w:t>
            </w:r>
          </w:p>
        </w:tc>
        <w:tc>
          <w:tcPr>
            <w:tcW w:w="1171" w:type="dxa"/>
            <w:vAlign w:val="center"/>
          </w:tcPr>
          <w:p>
            <w:pPr>
              <w:pStyle w:val="213"/>
              <w:topLinePunct/>
              <w:adjustRightInd w:val="0"/>
              <w:snapToGrid w:val="0"/>
              <w:jc w:val="center"/>
              <w:rPr>
                <w:rFonts w:ascii="宋体" w:hAnsi="宋体" w:cs="宋体"/>
                <w:b/>
                <w:bCs/>
                <w:sz w:val="18"/>
                <w:szCs w:val="18"/>
              </w:rPr>
            </w:pPr>
            <w:r>
              <w:rPr>
                <w:rFonts w:hint="eastAsia" w:ascii="宋体" w:hAnsi="宋体" w:cs="宋体"/>
                <w:color w:val="000000"/>
                <w:kern w:val="0"/>
                <w:sz w:val="18"/>
                <w:szCs w:val="18"/>
              </w:rPr>
              <w:t>53174.06</w:t>
            </w:r>
          </w:p>
        </w:tc>
        <w:tc>
          <w:tcPr>
            <w:tcW w:w="719" w:type="dxa"/>
            <w:vAlign w:val="center"/>
          </w:tcPr>
          <w:p>
            <w:pPr>
              <w:pStyle w:val="213"/>
              <w:topLinePunct/>
              <w:adjustRightInd w:val="0"/>
              <w:snapToGrid w:val="0"/>
              <w:jc w:val="center"/>
              <w:rPr>
                <w:rFonts w:ascii="宋体" w:hAnsi="宋体" w:cs="宋体"/>
                <w:b/>
                <w:bCs/>
                <w:sz w:val="18"/>
                <w:szCs w:val="18"/>
              </w:rPr>
            </w:pPr>
            <w:r>
              <w:rPr>
                <w:rFonts w:hint="eastAsia" w:ascii="宋体" w:hAnsi="宋体" w:cs="宋体"/>
                <w:color w:val="000000"/>
                <w:kern w:val="0"/>
                <w:sz w:val="18"/>
                <w:szCs w:val="18"/>
              </w:rPr>
              <w:t>100.00%</w:t>
            </w:r>
          </w:p>
        </w:tc>
      </w:tr>
    </w:tbl>
    <w:p>
      <w:pPr>
        <w:pStyle w:val="3"/>
        <w:spacing w:before="312"/>
        <w:rPr>
          <w:rFonts w:ascii="Times New Roman" w:hAnsi="Times New Roman"/>
          <w:color w:val="000000"/>
        </w:rPr>
      </w:pPr>
      <w:bookmarkStart w:id="72" w:name="_Toc176456022"/>
      <w:r>
        <w:rPr>
          <w:rFonts w:hint="eastAsia" w:ascii="Times New Roman" w:hAnsi="Times New Roman"/>
          <w:color w:val="000000"/>
        </w:rPr>
        <w:t>三、其他相关规划和管理规定协调</w:t>
      </w:r>
      <w:bookmarkEnd w:id="72"/>
    </w:p>
    <w:p>
      <w:pPr>
        <w:spacing w:before="93" w:beforeLines="30"/>
        <w:ind w:firstLine="482"/>
        <w:rPr>
          <w:rFonts w:ascii="宋体" w:hAnsi="宋体"/>
          <w:b/>
          <w:bCs/>
          <w:kern w:val="0"/>
          <w:szCs w:val="30"/>
        </w:rPr>
      </w:pPr>
      <w:r>
        <w:rPr>
          <w:rFonts w:ascii="宋体" w:hAnsi="宋体"/>
          <w:b/>
          <w:bCs/>
          <w:kern w:val="0"/>
          <w:szCs w:val="30"/>
        </w:rPr>
        <w:t>1</w:t>
      </w:r>
      <w:r>
        <w:rPr>
          <w:rFonts w:hint="eastAsia" w:ascii="宋体" w:hAnsi="宋体"/>
          <w:b/>
          <w:bCs/>
          <w:kern w:val="0"/>
          <w:szCs w:val="30"/>
        </w:rPr>
        <w:t>、生态环境保护</w:t>
      </w:r>
    </w:p>
    <w:p>
      <w:pPr>
        <w:spacing w:before="72" w:after="93" w:afterLines="30"/>
        <w:ind w:firstLine="480"/>
        <w:rPr>
          <w:rFonts w:cs="宋体"/>
        </w:rPr>
      </w:pPr>
      <w:r>
        <w:rPr>
          <w:rFonts w:hint="eastAsia" w:cs="宋体"/>
        </w:rPr>
        <w:t>落实《中华人民共和国环境保护法》等相关规定，做好与生态环境保护相关规划的实施协调，加强生态环境保护，落实规划环评的相关措施和要求。按照《文成县“三线一单”生态环境分区管控方案》及动态更新方案，落实生态环境分区管控要求。</w:t>
      </w:r>
    </w:p>
    <w:p>
      <w:pPr>
        <w:spacing w:before="93" w:beforeLines="30"/>
        <w:ind w:firstLine="482"/>
        <w:rPr>
          <w:rFonts w:ascii="宋体" w:hAnsi="宋体"/>
          <w:b/>
          <w:bCs/>
          <w:kern w:val="0"/>
          <w:szCs w:val="30"/>
        </w:rPr>
      </w:pPr>
      <w:r>
        <w:rPr>
          <w:rFonts w:ascii="宋体" w:hAnsi="宋体"/>
          <w:b/>
          <w:bCs/>
          <w:kern w:val="0"/>
          <w:szCs w:val="30"/>
        </w:rPr>
        <w:t>2</w:t>
      </w:r>
      <w:r>
        <w:rPr>
          <w:rFonts w:hint="eastAsia" w:ascii="宋体" w:hAnsi="宋体"/>
          <w:b/>
          <w:bCs/>
          <w:kern w:val="0"/>
          <w:szCs w:val="30"/>
        </w:rPr>
        <w:t>、水资源保护</w:t>
      </w:r>
    </w:p>
    <w:p>
      <w:pPr>
        <w:spacing w:before="72" w:after="93" w:afterLines="30"/>
        <w:ind w:firstLine="480"/>
        <w:rPr>
          <w:rFonts w:cs="宋体"/>
        </w:rPr>
      </w:pPr>
      <w:r>
        <w:rPr>
          <w:rFonts w:hint="eastAsia" w:cs="宋体"/>
        </w:rPr>
        <w:t>落实《中华人民共和国水法》《中华人民共和国防洪法》《中华人民共和国河道管理条例》《浙江省饮用水水源保护条例》《浙江省河道管理条例》《浙江省水利工程安全管理条例》《浙江省建设项目占用水域管理办法》《浙江省水域保护办法》《浙江省水资源管理条例》等相关规定，依据“节水优先”原则，落实最严格水资源管理制度，强化水资源和水生态环境保护，促进水生态文明建设。做好与《浙江省水功能区水环境功能区划分方案》的实施协调，严格水域岸线管理，做好山洪地质灾害防御。按照《浙江省飞云江流域综合规划》《文成县泗溪流域综合治理规划》的</w:t>
      </w:r>
      <w:r>
        <w:rPr>
          <w:rFonts w:cs="宋体"/>
        </w:rPr>
        <w:t>要求，做好</w:t>
      </w:r>
      <w:r>
        <w:rPr>
          <w:rFonts w:hint="eastAsia" w:cs="宋体"/>
        </w:rPr>
        <w:t>百丈漈—飞云湖</w:t>
      </w:r>
      <w:r>
        <w:rPr>
          <w:rFonts w:cs="宋体"/>
        </w:rPr>
        <w:t>风景名胜区的水源涵养工作</w:t>
      </w:r>
      <w:r>
        <w:rPr>
          <w:rFonts w:hint="eastAsia" w:cs="宋体"/>
        </w:rPr>
        <w:t>。</w:t>
      </w:r>
    </w:p>
    <w:p>
      <w:pPr>
        <w:spacing w:before="93" w:beforeLines="30"/>
        <w:ind w:firstLine="482"/>
        <w:rPr>
          <w:rFonts w:ascii="宋体" w:hAnsi="宋体"/>
          <w:kern w:val="0"/>
          <w:szCs w:val="30"/>
        </w:rPr>
      </w:pPr>
      <w:r>
        <w:rPr>
          <w:rFonts w:hint="eastAsia" w:ascii="宋体" w:hAnsi="宋体"/>
          <w:b/>
          <w:bCs/>
          <w:kern w:val="0"/>
          <w:szCs w:val="30"/>
        </w:rPr>
        <w:t>3、水土保持</w:t>
      </w:r>
    </w:p>
    <w:p>
      <w:pPr>
        <w:spacing w:before="72" w:after="93" w:afterLines="30"/>
        <w:ind w:firstLine="480"/>
        <w:rPr>
          <w:rFonts w:cs="宋体"/>
        </w:rPr>
      </w:pPr>
      <w:r>
        <w:rPr>
          <w:rFonts w:hint="eastAsia" w:cs="宋体"/>
        </w:rPr>
        <w:t>落实《中华人民共和国水土保持法》《浙江省水土保持条例》等法律法规要求，明确水土流失预防和治理对策措施，严格落实建设项目水土保持“三同时”制度，严格控制扰动和破坏原生地貌植被，废弃土石渣必须合理堆放和加强防护，切实保护水土资源。</w:t>
      </w:r>
    </w:p>
    <w:p>
      <w:pPr>
        <w:spacing w:before="93" w:beforeLines="30"/>
        <w:ind w:firstLine="482"/>
        <w:rPr>
          <w:rFonts w:ascii="宋体" w:hAnsi="宋体"/>
          <w:b/>
          <w:bCs/>
          <w:kern w:val="0"/>
          <w:szCs w:val="30"/>
        </w:rPr>
      </w:pPr>
      <w:r>
        <w:rPr>
          <w:rFonts w:hint="eastAsia" w:ascii="宋体" w:hAnsi="宋体"/>
          <w:b/>
          <w:bCs/>
          <w:kern w:val="0"/>
          <w:szCs w:val="30"/>
        </w:rPr>
        <w:t>4、林地保护和特定区域协调</w:t>
      </w:r>
    </w:p>
    <w:p>
      <w:pPr>
        <w:topLinePunct/>
        <w:adjustRightInd w:val="0"/>
        <w:snapToGrid w:val="0"/>
        <w:spacing w:before="93"/>
        <w:ind w:firstLine="480"/>
        <w:rPr>
          <w:color w:val="000000" w:themeColor="text1"/>
          <w14:textFill>
            <w14:solidFill>
              <w14:schemeClr w14:val="tx1"/>
            </w14:solidFill>
          </w14:textFill>
        </w:rPr>
      </w:pPr>
      <w:r>
        <w:rPr>
          <w:rFonts w:hint="eastAsia" w:cs="宋体"/>
        </w:rPr>
        <w:t>落实《中华人民共和国森林法》《全国林地保护利用规划纲要（2021—2035年）》等有关规定，衔接《文成县林地保护利用规划（2010-2020年）》，林地分为Ⅰ级、Ⅱ级、Ⅲ级、Ⅳ级保护林地（见附图3），并严格按照分级保护规定协调落实具体保护要求。</w:t>
      </w:r>
      <w:r>
        <w:rPr>
          <w:rFonts w:hint="eastAsia"/>
          <w:color w:val="000000" w:themeColor="text1"/>
          <w14:textFill>
            <w14:solidFill>
              <w14:schemeClr w14:val="tx1"/>
            </w14:solidFill>
          </w14:textFill>
        </w:rPr>
        <w:t>做好与《铜铃山</w:t>
      </w:r>
      <w:r>
        <w:rPr>
          <w:color w:val="000000" w:themeColor="text1"/>
          <w14:textFill>
            <w14:solidFill>
              <w14:schemeClr w14:val="tx1"/>
            </w14:solidFill>
          </w14:textFill>
        </w:rPr>
        <w:t>国家</w:t>
      </w:r>
      <w:r>
        <w:rPr>
          <w:rFonts w:hint="eastAsia"/>
          <w:color w:val="000000" w:themeColor="text1"/>
          <w14:textFill>
            <w14:solidFill>
              <w14:schemeClr w14:val="tx1"/>
            </w14:solidFill>
          </w14:textFill>
        </w:rPr>
        <w:t>森林公园总体规划》的实施协调。</w:t>
      </w:r>
    </w:p>
    <w:p>
      <w:pPr>
        <w:spacing w:before="93" w:beforeLines="30"/>
        <w:ind w:firstLine="482"/>
        <w:rPr>
          <w:rFonts w:ascii="宋体" w:hAnsi="宋体"/>
          <w:b/>
          <w:bCs/>
          <w:kern w:val="0"/>
          <w:szCs w:val="30"/>
        </w:rPr>
      </w:pPr>
      <w:r>
        <w:rPr>
          <w:rFonts w:hint="eastAsia" w:ascii="宋体" w:hAnsi="宋体"/>
          <w:b/>
          <w:bCs/>
          <w:kern w:val="0"/>
          <w:szCs w:val="30"/>
        </w:rPr>
        <w:t>5、文物保护</w:t>
      </w:r>
    </w:p>
    <w:p>
      <w:pPr>
        <w:spacing w:before="72" w:after="93" w:afterLines="30"/>
        <w:ind w:firstLine="480"/>
        <w:rPr>
          <w:rFonts w:cs="宋体"/>
        </w:rPr>
      </w:pPr>
      <w:r>
        <w:rPr>
          <w:rFonts w:hint="eastAsia" w:cs="宋体"/>
        </w:rPr>
        <w:t>落实《中华人民共和国文物保护法》等相关规定，做好与相关文保规划的实施协调，落实文物保护范围和建设控制地带的管理要求。涉及文物古迹修复、复建和新建的项目，严格履行相关审批程序。</w:t>
      </w:r>
    </w:p>
    <w:p>
      <w:pPr>
        <w:spacing w:before="93" w:beforeLines="30"/>
        <w:ind w:firstLine="482"/>
        <w:rPr>
          <w:rFonts w:ascii="宋体" w:hAnsi="宋体"/>
          <w:b/>
          <w:bCs/>
          <w:kern w:val="0"/>
          <w:szCs w:val="30"/>
        </w:rPr>
      </w:pPr>
      <w:r>
        <w:rPr>
          <w:rFonts w:hint="eastAsia" w:ascii="宋体" w:hAnsi="宋体"/>
          <w:b/>
          <w:bCs/>
          <w:kern w:val="0"/>
          <w:szCs w:val="30"/>
        </w:rPr>
        <w:t>6、宗教活动场所管理</w:t>
      </w:r>
    </w:p>
    <w:p>
      <w:pPr>
        <w:spacing w:before="156" w:beforeLines="50"/>
        <w:ind w:firstLine="480"/>
        <w:rPr>
          <w:rFonts w:cs="宋体"/>
        </w:rPr>
      </w:pPr>
      <w:r>
        <w:rPr>
          <w:rFonts w:hint="eastAsia" w:cs="宋体"/>
        </w:rPr>
        <w:t>落实《宗教事务条例》等相关规定，明确风景名胜区内依法登记的宗教活动场所，维护宗教活动场所周边环境和景观风貌。</w:t>
      </w:r>
    </w:p>
    <w:p>
      <w:pPr>
        <w:spacing w:before="156" w:beforeLines="50"/>
        <w:ind w:firstLine="480"/>
        <w:rPr>
          <w:rFonts w:cs="宋体"/>
        </w:rPr>
      </w:pPr>
      <w:r>
        <w:rPr>
          <w:rFonts w:hint="eastAsia" w:cs="宋体"/>
        </w:rPr>
        <w:t>具备恢复条件和必要性的宗教活动场所，在获得宗教主管部门的批准后，需在风景区详细规划阶段进一步论证选址与规模，并依法履行手续后方可进行。</w:t>
      </w:r>
    </w:p>
    <w:p>
      <w:pPr>
        <w:spacing w:before="156" w:beforeLines="50"/>
        <w:ind w:firstLine="480"/>
        <w:rPr>
          <w:rFonts w:cs="宋体"/>
        </w:rPr>
      </w:pPr>
      <w:r>
        <w:rPr>
          <w:rFonts w:hint="eastAsia" w:cs="宋体"/>
        </w:rPr>
        <w:t>严格落实国家十二部委《关于进一步治理佛教道教商业化问题的若干意见》（国宗发〔20</w:t>
      </w:r>
      <w:r>
        <w:rPr>
          <w:rFonts w:cs="宋体"/>
        </w:rPr>
        <w:t>17</w:t>
      </w:r>
      <w:r>
        <w:rPr>
          <w:rFonts w:hint="eastAsia" w:cs="宋体"/>
        </w:rPr>
        <w:t>〕88号）、《关于处理涉及佛教寺庙、道教宫观管理有关问题的意见》（国宗发〔20</w:t>
      </w:r>
      <w:r>
        <w:rPr>
          <w:rFonts w:cs="宋体"/>
        </w:rPr>
        <w:t>12</w:t>
      </w:r>
      <w:r>
        <w:rPr>
          <w:rFonts w:hint="eastAsia" w:cs="宋体"/>
        </w:rPr>
        <w:t>〕41号）等文件精神，非宗教活动场所不得开展宗教活动，不得收取宗教性捐献。</w:t>
      </w:r>
    </w:p>
    <w:p>
      <w:pPr>
        <w:spacing w:before="93" w:beforeLines="30"/>
        <w:ind w:firstLine="482"/>
        <w:rPr>
          <w:rFonts w:ascii="宋体" w:hAnsi="宋体"/>
          <w:b/>
          <w:bCs/>
          <w:kern w:val="0"/>
          <w:szCs w:val="30"/>
        </w:rPr>
      </w:pPr>
      <w:r>
        <w:rPr>
          <w:rFonts w:hint="eastAsia" w:ascii="宋体" w:hAnsi="宋体"/>
          <w:b/>
          <w:bCs/>
          <w:kern w:val="0"/>
          <w:szCs w:val="30"/>
        </w:rPr>
        <w:t>7、旅游管理</w:t>
      </w:r>
    </w:p>
    <w:p>
      <w:pPr>
        <w:ind w:firstLine="480"/>
      </w:pPr>
      <w:r>
        <w:rPr>
          <w:rFonts w:hint="eastAsia"/>
        </w:rPr>
        <w:t>落实《中华人民共和国旅游法》等相关规定，规范旅游和旅游经营活动，引入信息化管理新方式，提升旅游服务水平。</w:t>
      </w:r>
    </w:p>
    <w:p>
      <w:pPr>
        <w:spacing w:before="72" w:after="93" w:afterLines="30"/>
        <w:ind w:firstLine="482"/>
        <w:rPr>
          <w:rFonts w:cs="宋体"/>
          <w:b/>
          <w:bCs/>
        </w:rPr>
      </w:pPr>
      <w:bookmarkStart w:id="73" w:name="_Hlk175818092"/>
      <w:r>
        <w:rPr>
          <w:rFonts w:hint="eastAsia" w:cs="宋体"/>
          <w:b/>
          <w:bCs/>
        </w:rPr>
        <w:t>8、水利设施</w:t>
      </w:r>
    </w:p>
    <w:p>
      <w:pPr>
        <w:spacing w:before="93" w:beforeLines="30"/>
        <w:ind w:firstLine="480"/>
      </w:pPr>
      <w:r>
        <w:rPr>
          <w:rFonts w:hint="eastAsia"/>
        </w:rPr>
        <w:t>风景区内现有水电站3</w:t>
      </w:r>
      <w:r>
        <w:t>0</w:t>
      </w:r>
      <w:r>
        <w:rPr>
          <w:rFonts w:hint="eastAsia"/>
        </w:rPr>
        <w:t>座，其中</w:t>
      </w:r>
      <w:r>
        <w:t>6</w:t>
      </w:r>
      <w:r>
        <w:rPr>
          <w:rFonts w:hint="eastAsia"/>
        </w:rPr>
        <w:t>座涉及核心景区（见附图5）。根据有关政策规定，</w:t>
      </w:r>
      <w:r>
        <w:rPr>
          <w:rFonts w:hint="eastAsia" w:cs="宋体"/>
        </w:rPr>
        <w:t>风景名胜区范围内的水电站实施分类处置。核心景区范围内建设于风景名胜区设立之前、有合法产权的水电站在规划期内可以保留，但不得扩大规模，有条件的应逐步退出核心景区范围；核心景区内其他无合法产权的水电站应逐步退出，严格禁止在核心景区内新建水电站。二、三级保护区内的水电站经水利部门综合评估后提出“退出、整改、保留”等处置措施，建设确属必要的水利设施要经过系统科学论证、慎重决策，进行详细深入的环境影响评价，并必须通过有关管理部门审批</w:t>
      </w:r>
      <w:r>
        <w:rPr>
          <w:rFonts w:hint="eastAsia"/>
        </w:rPr>
        <w:t>。</w:t>
      </w:r>
    </w:p>
    <w:p>
      <w:pPr>
        <w:spacing w:before="72" w:after="93" w:afterLines="30"/>
        <w:ind w:firstLine="482"/>
        <w:rPr>
          <w:rFonts w:cs="宋体"/>
          <w:b/>
          <w:bCs/>
        </w:rPr>
      </w:pPr>
      <w:r>
        <w:rPr>
          <w:rFonts w:cs="宋体"/>
          <w:b/>
          <w:bCs/>
        </w:rPr>
        <w:t>9</w:t>
      </w:r>
      <w:r>
        <w:rPr>
          <w:rFonts w:hint="eastAsia" w:cs="宋体"/>
          <w:b/>
          <w:bCs/>
        </w:rPr>
        <w:t>、与国土空间规划协调</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根据《文成县国土空间总体规划（2</w:t>
      </w:r>
      <w:r>
        <w:rPr>
          <w:color w:val="000000" w:themeColor="text1"/>
          <w14:textFill>
            <w14:solidFill>
              <w14:schemeClr w14:val="tx1"/>
            </w14:solidFill>
          </w14:textFill>
        </w:rPr>
        <w:t>021-2035</w:t>
      </w:r>
      <w:r>
        <w:rPr>
          <w:rFonts w:hint="eastAsia"/>
          <w:color w:val="000000" w:themeColor="text1"/>
          <w14:textFill>
            <w14:solidFill>
              <w14:schemeClr w14:val="tx1"/>
            </w14:solidFill>
          </w14:textFill>
        </w:rPr>
        <w:t>年）》，风景区范围内涉及生态保护红线311.55平方公里，占风景区总面积76%；涉及永久基本农田31.77平方公里，占风景区总面积的6%，不涉及城镇开发边界。应严格落实《自然资源部 生态环境部 国家林业和草原局关于加强生态保护红线管理的通知（试行）》《自然资源部农业农村部关于加强和改进永久基本农田保护工作的通知》等文件及国土空间规划中明确的关于生态保护红线及永久基本农田的保护管理要求。</w:t>
      </w:r>
    </w:p>
    <w:p>
      <w:pPr>
        <w:ind w:firstLine="480"/>
      </w:pPr>
      <w:r>
        <w:rPr>
          <w:rFonts w:hint="eastAsia"/>
          <w:color w:val="000000" w:themeColor="text1"/>
          <w14:textFill>
            <w14:solidFill>
              <w14:schemeClr w14:val="tx1"/>
            </w14:solidFill>
          </w14:textFill>
        </w:rPr>
        <w:t>风景名胜区总体规划批复后按要求纳入国土空间基础信息平台，叠加到国土空间规划“一张图”上。</w:t>
      </w:r>
    </w:p>
    <w:p>
      <w:pPr>
        <w:spacing w:before="72" w:after="93" w:afterLines="30"/>
        <w:ind w:firstLine="482"/>
        <w:rPr>
          <w:rFonts w:cs="宋体"/>
          <w:b/>
          <w:bCs/>
        </w:rPr>
      </w:pPr>
      <w:r>
        <w:rPr>
          <w:rFonts w:cs="宋体"/>
          <w:b/>
          <w:bCs/>
        </w:rPr>
        <w:t>10</w:t>
      </w:r>
      <w:r>
        <w:rPr>
          <w:rFonts w:hint="eastAsia" w:cs="宋体"/>
          <w:b/>
          <w:bCs/>
        </w:rPr>
        <w:t>、与其他类型自然保护地规划协调</w:t>
      </w:r>
    </w:p>
    <w:p>
      <w:pPr>
        <w:ind w:firstLine="480"/>
      </w:pPr>
      <w:r>
        <w:rPr>
          <w:rFonts w:hint="eastAsia"/>
          <w:color w:val="000000" w:themeColor="text1"/>
          <w14:textFill>
            <w14:solidFill>
              <w14:schemeClr w14:val="tx1"/>
            </w14:solidFill>
          </w14:textFill>
        </w:rPr>
        <w:t>整合优化后，文成县共有3类3处自然保护地：百丈漈—飞云湖风景名胜区、铜铃山国家森林公园、飞云江省级湿地公园。按照中办、国办《</w:t>
      </w:r>
      <w:r>
        <w:rPr>
          <w:color w:val="000000" w:themeColor="text1"/>
          <w14:textFill>
            <w14:solidFill>
              <w14:schemeClr w14:val="tx1"/>
            </w14:solidFill>
          </w14:textFill>
        </w:rPr>
        <w:t>关于建立以国家公园为主体的自然保护地体系的指导意见</w:t>
      </w:r>
      <w:r>
        <w:rPr>
          <w:rFonts w:hint="eastAsia"/>
          <w:color w:val="000000" w:themeColor="text1"/>
          <w14:textFill>
            <w14:solidFill>
              <w14:schemeClr w14:val="tx1"/>
            </w14:solidFill>
          </w14:textFill>
        </w:rPr>
        <w:t>》以及浙江省委省政府两办《</w:t>
      </w:r>
      <w:r>
        <w:rPr>
          <w:color w:val="000000" w:themeColor="text1"/>
          <w14:textFill>
            <w14:solidFill>
              <w14:schemeClr w14:val="tx1"/>
            </w14:solidFill>
          </w14:textFill>
        </w:rPr>
        <w:t>关于建立自然保护地体系的实施意见</w:t>
      </w:r>
      <w:r>
        <w:rPr>
          <w:rFonts w:hint="eastAsia"/>
          <w:color w:val="000000" w:themeColor="text1"/>
          <w14:textFill>
            <w14:solidFill>
              <w14:schemeClr w14:val="tx1"/>
            </w14:solidFill>
          </w14:textFill>
        </w:rPr>
        <w:t>》等文件精神，</w:t>
      </w:r>
      <w:r>
        <w:rPr>
          <w:rFonts w:hint="eastAsia" w:cs="宋体"/>
        </w:rPr>
        <w:t>严格落实自然保护地整合优化方案，</w:t>
      </w:r>
      <w:r>
        <w:rPr>
          <w:rFonts w:hint="eastAsia"/>
        </w:rPr>
        <w:t>加强百丈漈—飞云湖风景名胜区与铜铃山国家森林公园、文成飞云江省级湿地公园的规划协调。</w:t>
      </w:r>
    </w:p>
    <w:p>
      <w:pPr>
        <w:ind w:firstLine="480"/>
      </w:pPr>
    </w:p>
    <w:bookmarkEnd w:id="73"/>
    <w:p>
      <w:pPr>
        <w:pStyle w:val="2"/>
        <w:spacing w:before="93"/>
        <w:rPr>
          <w:sz w:val="32"/>
          <w:szCs w:val="32"/>
        </w:rPr>
      </w:pPr>
      <w:r>
        <w:br w:type="page"/>
      </w:r>
      <w:bookmarkStart w:id="74" w:name="_Toc176456023"/>
      <w:r>
        <w:rPr>
          <w:rFonts w:hint="eastAsia"/>
          <w:b w:val="0"/>
          <w:bCs w:val="0"/>
        </w:rPr>
        <w:t>第七章</w:t>
      </w:r>
      <w:r>
        <w:rPr>
          <w:b w:val="0"/>
          <w:bCs w:val="0"/>
        </w:rPr>
        <w:t xml:space="preserve"> </w:t>
      </w:r>
      <w:r>
        <w:rPr>
          <w:rFonts w:hint="eastAsia"/>
          <w:b w:val="0"/>
          <w:bCs w:val="0"/>
        </w:rPr>
        <w:t>关于近期规划实施的说明</w:t>
      </w:r>
      <w:bookmarkEnd w:id="74"/>
    </w:p>
    <w:p>
      <w:pPr>
        <w:pStyle w:val="3"/>
        <w:spacing w:before="312"/>
      </w:pPr>
      <w:bookmarkStart w:id="75" w:name="_Toc176456024"/>
      <w:r>
        <w:rPr>
          <w:rFonts w:hint="eastAsia"/>
        </w:rPr>
        <w:t>一、发展时序</w:t>
      </w:r>
      <w:bookmarkEnd w:id="75"/>
    </w:p>
    <w:p>
      <w:pPr>
        <w:spacing w:before="93" w:beforeLines="30"/>
        <w:ind w:firstLine="480"/>
        <w:rPr>
          <w:rFonts w:cs="宋体"/>
        </w:rPr>
      </w:pPr>
      <w:r>
        <w:rPr>
          <w:rFonts w:hint="eastAsia" w:cs="宋体"/>
        </w:rPr>
        <w:t>综合考虑百丈漈—飞云湖风景名胜区的资源特征、现状条件、发展目标、投入收效周期等方面，规划确定近期提升、远期完善的发展时序。</w:t>
      </w:r>
    </w:p>
    <w:p>
      <w:pPr>
        <w:spacing w:before="93" w:beforeLines="30"/>
        <w:ind w:firstLine="482"/>
        <w:rPr>
          <w:rFonts w:ascii="宋体" w:hAnsi="宋体"/>
          <w:b/>
          <w:bCs/>
          <w:kern w:val="0"/>
          <w:szCs w:val="30"/>
        </w:rPr>
      </w:pPr>
      <w:r>
        <w:rPr>
          <w:rFonts w:ascii="宋体" w:hAnsi="宋体"/>
          <w:b/>
          <w:bCs/>
          <w:kern w:val="0"/>
          <w:szCs w:val="30"/>
        </w:rPr>
        <w:t>1</w:t>
      </w:r>
      <w:r>
        <w:rPr>
          <w:rFonts w:hint="eastAsia" w:ascii="宋体" w:hAnsi="宋体"/>
          <w:b/>
          <w:bCs/>
          <w:kern w:val="0"/>
          <w:szCs w:val="30"/>
        </w:rPr>
        <w:t>、近期，即</w:t>
      </w:r>
      <w:r>
        <w:rPr>
          <w:rFonts w:ascii="宋体" w:hAnsi="宋体"/>
          <w:b/>
          <w:bCs/>
          <w:kern w:val="0"/>
          <w:szCs w:val="30"/>
        </w:rPr>
        <w:t>20</w:t>
      </w:r>
      <w:r>
        <w:rPr>
          <w:rFonts w:hint="eastAsia" w:ascii="宋体" w:hAnsi="宋体"/>
          <w:b/>
          <w:bCs/>
          <w:kern w:val="0"/>
          <w:szCs w:val="30"/>
        </w:rPr>
        <w:t>24</w:t>
      </w:r>
      <w:r>
        <w:rPr>
          <w:rFonts w:ascii="宋体" w:hAnsi="宋体"/>
          <w:b/>
          <w:bCs/>
          <w:kern w:val="0"/>
          <w:szCs w:val="30"/>
        </w:rPr>
        <w:t>-2030</w:t>
      </w:r>
      <w:r>
        <w:rPr>
          <w:rFonts w:hint="eastAsia" w:ascii="宋体" w:hAnsi="宋体"/>
          <w:b/>
          <w:bCs/>
          <w:kern w:val="0"/>
          <w:szCs w:val="30"/>
        </w:rPr>
        <w:t>年</w:t>
      </w:r>
    </w:p>
    <w:p>
      <w:pPr>
        <w:spacing w:before="93" w:beforeLines="30"/>
        <w:ind w:firstLine="480"/>
        <w:rPr>
          <w:rFonts w:cs="宋体"/>
        </w:rPr>
      </w:pPr>
      <w:r>
        <w:rPr>
          <w:rFonts w:hint="eastAsia" w:cs="宋体"/>
        </w:rPr>
        <w:t>近期为提升阶段。加强保护风景资源，进一步健全风景区管理机构，提升管理体制。着力景点改造提升、各级旅游服务设施提升和基础设施提升。进一步加强宣传推广，提升风景区市场知名度。初步形成资源保护系统、游赏设施系统和社会系统的协调运行机制。</w:t>
      </w:r>
    </w:p>
    <w:p>
      <w:pPr>
        <w:spacing w:before="93" w:beforeLines="30"/>
        <w:ind w:firstLine="482"/>
        <w:rPr>
          <w:rFonts w:cs="宋体"/>
          <w:b/>
          <w:bCs/>
        </w:rPr>
      </w:pPr>
      <w:r>
        <w:rPr>
          <w:rFonts w:ascii="宋体" w:hAnsi="宋体"/>
          <w:b/>
          <w:bCs/>
          <w:kern w:val="0"/>
          <w:szCs w:val="30"/>
        </w:rPr>
        <w:t>2</w:t>
      </w:r>
      <w:r>
        <w:rPr>
          <w:rFonts w:hint="eastAsia" w:ascii="宋体" w:hAnsi="宋体"/>
          <w:b/>
          <w:bCs/>
          <w:kern w:val="0"/>
          <w:szCs w:val="30"/>
        </w:rPr>
        <w:t>、远期，即</w:t>
      </w:r>
      <w:r>
        <w:rPr>
          <w:rFonts w:ascii="宋体" w:hAnsi="宋体"/>
          <w:b/>
          <w:bCs/>
          <w:kern w:val="0"/>
          <w:szCs w:val="30"/>
        </w:rPr>
        <w:t>2031-203</w:t>
      </w:r>
      <w:r>
        <w:rPr>
          <w:rFonts w:hint="eastAsia" w:ascii="宋体" w:hAnsi="宋体"/>
          <w:b/>
          <w:bCs/>
          <w:kern w:val="0"/>
          <w:szCs w:val="30"/>
        </w:rPr>
        <w:t>5年</w:t>
      </w:r>
    </w:p>
    <w:p>
      <w:pPr>
        <w:spacing w:before="93" w:beforeLines="30"/>
        <w:ind w:firstLine="480"/>
        <w:rPr>
          <w:rFonts w:cs="宋体"/>
        </w:rPr>
      </w:pPr>
      <w:r>
        <w:rPr>
          <w:rFonts w:hint="eastAsia" w:cs="宋体"/>
        </w:rPr>
        <w:t>远期为完善阶段。完善风景区的各项保护和管理措施，使风景区的自然和文化景观资源得到全面保护。形成风景区丰富的游赏活动，完善的基础设施和服务设施配套，实现风景资源保护与社会经济的协调发展。</w:t>
      </w:r>
    </w:p>
    <w:p>
      <w:pPr>
        <w:pStyle w:val="3"/>
        <w:spacing w:before="312"/>
      </w:pPr>
      <w:bookmarkStart w:id="76" w:name="_Toc176456025"/>
      <w:r>
        <w:rPr>
          <w:rFonts w:hint="eastAsia"/>
        </w:rPr>
        <w:t>二、近期实施重点</w:t>
      </w:r>
      <w:bookmarkEnd w:id="76"/>
    </w:p>
    <w:p>
      <w:pPr>
        <w:spacing w:before="93" w:beforeLines="30"/>
        <w:ind w:firstLine="480"/>
        <w:rPr>
          <w:rFonts w:cs="宋体"/>
        </w:rPr>
      </w:pPr>
      <w:r>
        <w:rPr>
          <w:rFonts w:hint="eastAsia" w:cs="宋体"/>
        </w:rPr>
        <w:t>根据总体规划确定的原则和风景区的建设现状，近期工作重点包括：</w:t>
      </w:r>
    </w:p>
    <w:p>
      <w:pPr>
        <w:spacing w:before="93" w:beforeLines="30"/>
        <w:ind w:firstLine="480"/>
        <w:rPr>
          <w:rFonts w:cs="宋体"/>
        </w:rPr>
      </w:pPr>
      <w:r>
        <w:rPr>
          <w:rFonts w:cs="宋体"/>
        </w:rPr>
        <w:t>1</w:t>
      </w:r>
      <w:r>
        <w:rPr>
          <w:rFonts w:hint="eastAsia" w:cs="宋体"/>
        </w:rPr>
        <w:t>、按照风景名胜区总体规划，对风景名胜区范围及核心景区范围进行勘界立碑，加强风景名胜资源的保护力度。</w:t>
      </w:r>
    </w:p>
    <w:p>
      <w:pPr>
        <w:spacing w:before="93" w:beforeLines="30"/>
        <w:ind w:firstLine="480"/>
        <w:rPr>
          <w:rFonts w:cs="宋体"/>
        </w:rPr>
      </w:pPr>
      <w:r>
        <w:rPr>
          <w:rFonts w:cs="宋体"/>
        </w:rPr>
        <w:t>2</w:t>
      </w:r>
      <w:r>
        <w:rPr>
          <w:rFonts w:hint="eastAsia" w:cs="宋体"/>
        </w:rPr>
        <w:t>、按照风景名胜区总体规划，对风景名胜区内的八大景区编制详细规划，作为建设项目审批的重要依据。</w:t>
      </w:r>
    </w:p>
    <w:p>
      <w:pPr>
        <w:spacing w:before="93" w:beforeLines="30"/>
        <w:ind w:firstLine="480"/>
        <w:rPr>
          <w:rFonts w:cs="宋体"/>
        </w:rPr>
      </w:pPr>
      <w:r>
        <w:rPr>
          <w:rFonts w:cs="宋体"/>
        </w:rPr>
        <w:t>3</w:t>
      </w:r>
      <w:r>
        <w:rPr>
          <w:rFonts w:hint="eastAsia" w:cs="宋体"/>
        </w:rPr>
        <w:t>、重点保护和恢复各项景观资源和生态环境，尤其是核心景区的生态保护。</w:t>
      </w:r>
    </w:p>
    <w:p>
      <w:pPr>
        <w:spacing w:before="93" w:beforeLines="30"/>
        <w:ind w:firstLine="480"/>
        <w:rPr>
          <w:rFonts w:cs="宋体"/>
        </w:rPr>
      </w:pPr>
      <w:r>
        <w:rPr>
          <w:rFonts w:cs="宋体"/>
        </w:rPr>
        <w:t>4</w:t>
      </w:r>
      <w:r>
        <w:rPr>
          <w:rFonts w:hint="eastAsia" w:cs="宋体"/>
        </w:rPr>
        <w:t>、重点提升具有资源代表性和吸引力的景点，并拓展游赏项目，凸显风景区的风景资源特色。重点整治提升朱阳九峰景区、岩门大峡谷景区、飞云湖景区、石垟景区等，实施一系列景区建设类项目。</w:t>
      </w:r>
    </w:p>
    <w:p>
      <w:pPr>
        <w:spacing w:before="93" w:beforeLines="30"/>
        <w:ind w:firstLine="480"/>
        <w:rPr>
          <w:rFonts w:cs="宋体"/>
        </w:rPr>
      </w:pPr>
      <w:r>
        <w:rPr>
          <w:rFonts w:cs="宋体"/>
        </w:rPr>
        <w:t>5</w:t>
      </w:r>
      <w:r>
        <w:rPr>
          <w:rFonts w:hint="eastAsia" w:cs="宋体"/>
        </w:rPr>
        <w:t>、重点建设各级旅游服务设施，基本形成布局均衡、功能完善的旅游服务体系，完善高品质服务设施供给。</w:t>
      </w:r>
    </w:p>
    <w:p>
      <w:pPr>
        <w:spacing w:before="93" w:beforeLines="30"/>
        <w:ind w:firstLine="480"/>
        <w:rPr>
          <w:rFonts w:cs="宋体"/>
        </w:rPr>
      </w:pPr>
      <w:r>
        <w:rPr>
          <w:rFonts w:cs="宋体"/>
        </w:rPr>
        <w:t>6</w:t>
      </w:r>
      <w:r>
        <w:rPr>
          <w:rFonts w:hint="eastAsia" w:cs="宋体"/>
        </w:rPr>
        <w:t>、重点建设关键性的道路交通设施，完善通景公路、景区游步道、旅游特色交通等旅游交通体系。</w:t>
      </w:r>
    </w:p>
    <w:p>
      <w:pPr>
        <w:spacing w:before="156" w:beforeLines="50"/>
        <w:ind w:firstLine="480"/>
        <w:rPr>
          <w:rFonts w:cs="宋体"/>
        </w:rPr>
      </w:pPr>
      <w:r>
        <w:rPr>
          <w:rFonts w:hint="eastAsia" w:cs="宋体"/>
        </w:rPr>
        <w:t>7、重点提升给排水、电力、燃气、通信、环卫、综合防灾、低空等基础设施，完善景区内的基础设施配置。</w:t>
      </w:r>
    </w:p>
    <w:p>
      <w:pPr>
        <w:spacing w:before="156" w:beforeLines="50"/>
        <w:ind w:firstLine="480"/>
        <w:rPr>
          <w:rFonts w:cs="宋体"/>
        </w:rPr>
      </w:pPr>
      <w:r>
        <w:rPr>
          <w:rFonts w:hint="eastAsia" w:cs="宋体"/>
        </w:rPr>
        <w:t>8、依托景中村自然和文化资源本底，以美丽乡村、共同富裕为目标，提升乡村环境，打造特色旅游服务产品，促进特色产业发展。</w:t>
      </w:r>
    </w:p>
    <w:p>
      <w:pPr>
        <w:pStyle w:val="3"/>
        <w:spacing w:before="312"/>
      </w:pPr>
      <w:bookmarkStart w:id="77" w:name="_Toc176456026"/>
      <w:r>
        <w:rPr>
          <w:rFonts w:hint="eastAsia"/>
        </w:rPr>
        <w:t>三、近期建设内容</w:t>
      </w:r>
      <w:bookmarkEnd w:id="77"/>
    </w:p>
    <w:p>
      <w:pPr>
        <w:keepNext/>
        <w:keepLines/>
        <w:spacing w:before="156" w:beforeLines="50"/>
        <w:ind w:left="142" w:firstLine="360" w:firstLineChars="150"/>
        <w:outlineLvl w:val="2"/>
        <w:rPr>
          <w:rFonts w:eastAsia="黑体"/>
          <w:bCs/>
          <w:kern w:val="0"/>
        </w:rPr>
      </w:pPr>
      <w:r>
        <w:rPr>
          <w:rFonts w:hint="eastAsia" w:eastAsia="黑体"/>
          <w:bCs/>
          <w:kern w:val="0"/>
        </w:rPr>
        <w:t>（一）资源保护类</w:t>
      </w:r>
    </w:p>
    <w:p>
      <w:pPr>
        <w:ind w:firstLine="480"/>
      </w:pPr>
      <w:r>
        <w:rPr>
          <w:rFonts w:hint="eastAsia" w:cs="宋体"/>
        </w:rPr>
        <w:t>重点保护和恢复各项景观资源和生态环境，开展动植物保护、林相改造提升、生态河道整治等资源保护与提升类项目。</w:t>
      </w:r>
    </w:p>
    <w:p>
      <w:pPr>
        <w:pStyle w:val="13"/>
        <w:keepNext/>
        <w:spacing w:before="93"/>
        <w:ind w:firstLine="422"/>
        <w:jc w:val="center"/>
        <w:rPr>
          <w:rFonts w:ascii="宋体" w:hAnsi="宋体"/>
          <w:b/>
          <w:kern w:val="0"/>
          <w:sz w:val="21"/>
          <w:szCs w:val="21"/>
        </w:rPr>
      </w:pPr>
      <w:r>
        <w:rPr>
          <w:rFonts w:hint="eastAsia" w:ascii="宋体" w:hAnsi="宋体" w:eastAsia="宋体"/>
          <w:b/>
          <w:kern w:val="0"/>
          <w:sz w:val="21"/>
          <w:szCs w:val="21"/>
        </w:rPr>
        <w:t>表7</w:t>
      </w:r>
      <w:r>
        <w:rPr>
          <w:rFonts w:ascii="宋体" w:hAnsi="宋体" w:eastAsia="宋体"/>
          <w:b/>
          <w:kern w:val="0"/>
          <w:sz w:val="21"/>
          <w:szCs w:val="21"/>
        </w:rPr>
        <w:t>-</w:t>
      </w:r>
      <w:r>
        <w:rPr>
          <w:rFonts w:ascii="宋体" w:hAnsi="宋体" w:eastAsia="宋体"/>
          <w:b/>
          <w:kern w:val="0"/>
          <w:sz w:val="21"/>
          <w:szCs w:val="21"/>
        </w:rPr>
        <w:fldChar w:fldCharType="begin"/>
      </w:r>
      <w:r>
        <w:rPr>
          <w:rFonts w:ascii="宋体" w:hAnsi="宋体" w:eastAsia="宋体"/>
          <w:b/>
          <w:kern w:val="0"/>
          <w:sz w:val="21"/>
          <w:szCs w:val="21"/>
        </w:rPr>
        <w:instrText xml:space="preserve"> </w:instrText>
      </w:r>
      <w:r>
        <w:rPr>
          <w:rFonts w:hint="eastAsia" w:ascii="宋体" w:hAnsi="宋体" w:eastAsia="宋体"/>
          <w:b/>
          <w:kern w:val="0"/>
          <w:sz w:val="21"/>
          <w:szCs w:val="21"/>
        </w:rPr>
        <w:instrText xml:space="preserve">SEQ 表格 \* ARABIC</w:instrText>
      </w:r>
      <w:r>
        <w:rPr>
          <w:rFonts w:ascii="宋体" w:hAnsi="宋体" w:eastAsia="宋体"/>
          <w:b/>
          <w:kern w:val="0"/>
          <w:sz w:val="21"/>
          <w:szCs w:val="21"/>
        </w:rPr>
        <w:instrText xml:space="preserve"> </w:instrText>
      </w:r>
      <w:r>
        <w:rPr>
          <w:rFonts w:ascii="宋体" w:hAnsi="宋体" w:eastAsia="宋体"/>
          <w:b/>
          <w:kern w:val="0"/>
          <w:sz w:val="21"/>
          <w:szCs w:val="21"/>
        </w:rPr>
        <w:fldChar w:fldCharType="separate"/>
      </w:r>
      <w:r>
        <w:rPr>
          <w:rFonts w:ascii="宋体" w:hAnsi="宋体" w:eastAsia="宋体"/>
          <w:b/>
          <w:kern w:val="0"/>
          <w:sz w:val="21"/>
          <w:szCs w:val="21"/>
        </w:rPr>
        <w:t>1</w:t>
      </w:r>
      <w:r>
        <w:rPr>
          <w:rFonts w:ascii="宋体" w:hAnsi="宋体" w:eastAsia="宋体"/>
          <w:b/>
          <w:kern w:val="0"/>
          <w:sz w:val="21"/>
          <w:szCs w:val="21"/>
        </w:rPr>
        <w:fldChar w:fldCharType="end"/>
      </w:r>
      <w:r>
        <w:rPr>
          <w:rFonts w:ascii="宋体" w:hAnsi="宋体" w:eastAsia="宋体"/>
          <w:b/>
          <w:kern w:val="0"/>
          <w:sz w:val="21"/>
          <w:szCs w:val="21"/>
        </w:rPr>
        <w:t xml:space="preserve"> </w:t>
      </w:r>
      <w:r>
        <w:rPr>
          <w:rFonts w:hint="eastAsia" w:ascii="宋体" w:hAnsi="宋体" w:eastAsia="宋体"/>
          <w:b/>
          <w:kern w:val="0"/>
          <w:sz w:val="21"/>
          <w:szCs w:val="21"/>
        </w:rPr>
        <w:t>资源保护类近期项目规划一览表</w:t>
      </w:r>
    </w:p>
    <w:tbl>
      <w:tblPr>
        <w:tblStyle w:val="42"/>
        <w:tblW w:w="9498" w:type="dxa"/>
        <w:tblInd w:w="-318" w:type="dxa"/>
        <w:tblLayout w:type="fixed"/>
        <w:tblCellMar>
          <w:top w:w="0" w:type="dxa"/>
          <w:left w:w="108" w:type="dxa"/>
          <w:bottom w:w="0" w:type="dxa"/>
          <w:right w:w="108" w:type="dxa"/>
        </w:tblCellMar>
      </w:tblPr>
      <w:tblGrid>
        <w:gridCol w:w="538"/>
        <w:gridCol w:w="1234"/>
        <w:gridCol w:w="4324"/>
        <w:gridCol w:w="1276"/>
        <w:gridCol w:w="1010"/>
        <w:gridCol w:w="1116"/>
      </w:tblGrid>
      <w:tr>
        <w:tblPrEx>
          <w:tblLayout w:type="fixed"/>
          <w:tblCellMar>
            <w:top w:w="0" w:type="dxa"/>
            <w:left w:w="108" w:type="dxa"/>
            <w:bottom w:w="0" w:type="dxa"/>
            <w:right w:w="108" w:type="dxa"/>
          </w:tblCellMar>
        </w:tblPrEx>
        <w:trPr>
          <w:trHeight w:val="480" w:hRule="atLeast"/>
          <w:tblHeader/>
        </w:trPr>
        <w:tc>
          <w:tcPr>
            <w:tcW w:w="538"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pPr>
              <w:widowControl/>
              <w:adjustRightInd w:val="0"/>
              <w:snapToGrid w:val="0"/>
              <w:spacing w:line="240" w:lineRule="auto"/>
              <w:ind w:firstLine="0" w:firstLineChars="0"/>
              <w:jc w:val="center"/>
              <w:rPr>
                <w:rFonts w:ascii="宋体" w:hAnsi="宋体" w:cs="宋体"/>
                <w:b/>
                <w:bCs/>
                <w:kern w:val="0"/>
                <w:sz w:val="20"/>
                <w:szCs w:val="20"/>
              </w:rPr>
            </w:pPr>
            <w:r>
              <w:rPr>
                <w:rFonts w:hint="eastAsia" w:ascii="宋体" w:hAnsi="宋体" w:cs="宋体"/>
                <w:b/>
                <w:bCs/>
                <w:kern w:val="0"/>
                <w:sz w:val="20"/>
                <w:szCs w:val="20"/>
              </w:rPr>
              <w:t>序号</w:t>
            </w:r>
          </w:p>
        </w:tc>
        <w:tc>
          <w:tcPr>
            <w:tcW w:w="1234" w:type="dxa"/>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pPr>
              <w:widowControl/>
              <w:adjustRightInd w:val="0"/>
              <w:snapToGrid w:val="0"/>
              <w:spacing w:line="240" w:lineRule="auto"/>
              <w:ind w:firstLine="0" w:firstLineChars="0"/>
              <w:jc w:val="center"/>
              <w:rPr>
                <w:rFonts w:ascii="宋体" w:hAnsi="宋体" w:cs="宋体"/>
                <w:b/>
                <w:bCs/>
                <w:kern w:val="0"/>
                <w:sz w:val="20"/>
                <w:szCs w:val="20"/>
              </w:rPr>
            </w:pPr>
            <w:r>
              <w:rPr>
                <w:rFonts w:hint="eastAsia" w:ascii="宋体" w:hAnsi="宋体" w:cs="宋体"/>
                <w:b/>
                <w:bCs/>
                <w:kern w:val="0"/>
                <w:sz w:val="20"/>
                <w:szCs w:val="20"/>
              </w:rPr>
              <w:t>项目名称</w:t>
            </w:r>
          </w:p>
        </w:tc>
        <w:tc>
          <w:tcPr>
            <w:tcW w:w="4324"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widowControl/>
              <w:adjustRightInd w:val="0"/>
              <w:snapToGrid w:val="0"/>
              <w:spacing w:line="240" w:lineRule="auto"/>
              <w:ind w:firstLine="0" w:firstLineChars="0"/>
              <w:jc w:val="center"/>
              <w:rPr>
                <w:rFonts w:ascii="宋体" w:hAnsi="宋体" w:cs="宋体"/>
                <w:b/>
                <w:bCs/>
                <w:kern w:val="0"/>
                <w:sz w:val="20"/>
                <w:szCs w:val="20"/>
              </w:rPr>
            </w:pPr>
            <w:r>
              <w:rPr>
                <w:rFonts w:hint="eastAsia" w:ascii="宋体" w:hAnsi="宋体" w:cs="宋体"/>
                <w:b/>
                <w:bCs/>
                <w:kern w:val="0"/>
                <w:sz w:val="20"/>
                <w:szCs w:val="20"/>
              </w:rPr>
              <w:t>建设内容</w:t>
            </w:r>
          </w:p>
        </w:tc>
        <w:tc>
          <w:tcPr>
            <w:tcW w:w="1276"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widowControl/>
              <w:adjustRightInd w:val="0"/>
              <w:snapToGrid w:val="0"/>
              <w:spacing w:line="240" w:lineRule="auto"/>
              <w:ind w:firstLine="0" w:firstLineChars="0"/>
              <w:jc w:val="center"/>
              <w:rPr>
                <w:rFonts w:ascii="宋体" w:hAnsi="宋体" w:cs="宋体"/>
                <w:b/>
                <w:bCs/>
                <w:kern w:val="0"/>
                <w:sz w:val="20"/>
                <w:szCs w:val="20"/>
              </w:rPr>
            </w:pPr>
            <w:r>
              <w:rPr>
                <w:rFonts w:hint="eastAsia" w:ascii="宋体" w:hAnsi="宋体" w:cs="宋体"/>
                <w:b/>
                <w:bCs/>
                <w:kern w:val="0"/>
                <w:sz w:val="20"/>
                <w:szCs w:val="20"/>
              </w:rPr>
              <w:t>建设地点</w:t>
            </w:r>
          </w:p>
        </w:tc>
        <w:tc>
          <w:tcPr>
            <w:tcW w:w="101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widowControl/>
              <w:adjustRightInd w:val="0"/>
              <w:snapToGrid w:val="0"/>
              <w:spacing w:line="240" w:lineRule="auto"/>
              <w:ind w:firstLine="0" w:firstLineChars="0"/>
              <w:jc w:val="center"/>
              <w:rPr>
                <w:rFonts w:ascii="宋体" w:hAnsi="宋体" w:cs="宋体"/>
                <w:b/>
                <w:bCs/>
                <w:kern w:val="0"/>
                <w:sz w:val="20"/>
                <w:szCs w:val="20"/>
              </w:rPr>
            </w:pPr>
            <w:r>
              <w:rPr>
                <w:rFonts w:hint="eastAsia" w:ascii="宋体" w:hAnsi="宋体" w:cs="宋体"/>
                <w:b/>
                <w:bCs/>
                <w:kern w:val="0"/>
                <w:sz w:val="20"/>
                <w:szCs w:val="20"/>
              </w:rPr>
              <w:t>涉及保护分区</w:t>
            </w:r>
          </w:p>
        </w:tc>
        <w:tc>
          <w:tcPr>
            <w:tcW w:w="1116"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widowControl/>
              <w:adjustRightInd w:val="0"/>
              <w:snapToGrid w:val="0"/>
              <w:spacing w:line="240" w:lineRule="auto"/>
              <w:ind w:firstLine="0" w:firstLineChars="0"/>
              <w:jc w:val="center"/>
              <w:rPr>
                <w:rFonts w:ascii="宋体" w:hAnsi="宋体" w:cs="宋体"/>
                <w:b/>
                <w:bCs/>
                <w:kern w:val="0"/>
                <w:sz w:val="20"/>
                <w:szCs w:val="20"/>
              </w:rPr>
            </w:pPr>
            <w:r>
              <w:rPr>
                <w:rFonts w:hint="eastAsia" w:ascii="宋体" w:hAnsi="宋体" w:cs="宋体"/>
                <w:b/>
                <w:bCs/>
                <w:kern w:val="0"/>
                <w:sz w:val="20"/>
                <w:szCs w:val="20"/>
              </w:rPr>
              <w:t>实施年限</w:t>
            </w:r>
          </w:p>
        </w:tc>
      </w:tr>
      <w:tr>
        <w:tblPrEx>
          <w:tblLayout w:type="fixed"/>
          <w:tblCellMar>
            <w:top w:w="0" w:type="dxa"/>
            <w:left w:w="108" w:type="dxa"/>
            <w:bottom w:w="0" w:type="dxa"/>
            <w:right w:w="108" w:type="dxa"/>
          </w:tblCellMar>
        </w:tblPrEx>
        <w:trPr>
          <w:trHeight w:val="1200" w:hRule="atLeast"/>
        </w:trPr>
        <w:tc>
          <w:tcPr>
            <w:tcW w:w="538"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1</w:t>
            </w:r>
          </w:p>
        </w:tc>
        <w:tc>
          <w:tcPr>
            <w:tcW w:w="1234"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动植物保护配套设施提升工程</w:t>
            </w:r>
          </w:p>
        </w:tc>
        <w:tc>
          <w:tcPr>
            <w:tcW w:w="432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为保护风景区内的野生动植物资源，建设包括野生动植物现状监测中心、野生动植物应急处置中心，野生动植物康复中心及动植物保护研究中心等动植物保护配套基础设施。</w:t>
            </w:r>
          </w:p>
        </w:tc>
        <w:tc>
          <w:tcPr>
            <w:tcW w:w="127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县域</w:t>
            </w:r>
          </w:p>
        </w:tc>
        <w:tc>
          <w:tcPr>
            <w:tcW w:w="101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一级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111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2025-2035</w:t>
            </w:r>
          </w:p>
        </w:tc>
      </w:tr>
      <w:tr>
        <w:tblPrEx>
          <w:tblLayout w:type="fixed"/>
          <w:tblCellMar>
            <w:top w:w="0" w:type="dxa"/>
            <w:left w:w="108" w:type="dxa"/>
            <w:bottom w:w="0" w:type="dxa"/>
            <w:right w:w="108" w:type="dxa"/>
          </w:tblCellMar>
        </w:tblPrEx>
        <w:trPr>
          <w:trHeight w:val="480" w:hRule="atLeast"/>
        </w:trPr>
        <w:tc>
          <w:tcPr>
            <w:tcW w:w="538"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2</w:t>
            </w:r>
          </w:p>
        </w:tc>
        <w:tc>
          <w:tcPr>
            <w:tcW w:w="1234"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铜铃山高山溪流性鱼类保护与开发项目</w:t>
            </w:r>
          </w:p>
        </w:tc>
        <w:tc>
          <w:tcPr>
            <w:tcW w:w="432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天然溪流生态保护系统、溪鱼生态监测系统、溪鱼人工繁殖中心及配套的高山溪鱼实验监测中心等高山溪鱼生态支持系统。</w:t>
            </w:r>
          </w:p>
        </w:tc>
        <w:tc>
          <w:tcPr>
            <w:tcW w:w="127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铜铃山镇</w:t>
            </w:r>
          </w:p>
        </w:tc>
        <w:tc>
          <w:tcPr>
            <w:tcW w:w="101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一级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111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2027-2030</w:t>
            </w:r>
          </w:p>
        </w:tc>
      </w:tr>
      <w:tr>
        <w:tblPrEx>
          <w:tblLayout w:type="fixed"/>
          <w:tblCellMar>
            <w:top w:w="0" w:type="dxa"/>
            <w:left w:w="108" w:type="dxa"/>
            <w:bottom w:w="0" w:type="dxa"/>
            <w:right w:w="108" w:type="dxa"/>
          </w:tblCellMar>
        </w:tblPrEx>
        <w:trPr>
          <w:trHeight w:val="1200" w:hRule="atLeast"/>
        </w:trPr>
        <w:tc>
          <w:tcPr>
            <w:tcW w:w="538"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3</w:t>
            </w:r>
          </w:p>
        </w:tc>
        <w:tc>
          <w:tcPr>
            <w:tcW w:w="1234"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铜铃山模式动物科学繁育研究实验基地</w:t>
            </w:r>
          </w:p>
        </w:tc>
        <w:tc>
          <w:tcPr>
            <w:tcW w:w="432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依托铜铃山丰富的动物品种，通过建设模式动物实验室和研究中心、繁育和饲养设施、基因工程和生物技术研究中心、动物行为和生理研究中心等推进模式动物科学繁育研究实验基地建设。</w:t>
            </w:r>
          </w:p>
        </w:tc>
        <w:tc>
          <w:tcPr>
            <w:tcW w:w="127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铜铃山镇</w:t>
            </w:r>
          </w:p>
        </w:tc>
        <w:tc>
          <w:tcPr>
            <w:tcW w:w="101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一级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111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2025-2030</w:t>
            </w:r>
          </w:p>
        </w:tc>
      </w:tr>
      <w:tr>
        <w:tblPrEx>
          <w:tblLayout w:type="fixed"/>
          <w:tblCellMar>
            <w:top w:w="0" w:type="dxa"/>
            <w:left w:w="108" w:type="dxa"/>
            <w:bottom w:w="0" w:type="dxa"/>
            <w:right w:w="108" w:type="dxa"/>
          </w:tblCellMar>
        </w:tblPrEx>
        <w:trPr>
          <w:trHeight w:val="720" w:hRule="atLeast"/>
        </w:trPr>
        <w:tc>
          <w:tcPr>
            <w:tcW w:w="538"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4</w:t>
            </w:r>
          </w:p>
        </w:tc>
        <w:tc>
          <w:tcPr>
            <w:tcW w:w="1234"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幸福河湖综合环境保护与开发项目</w:t>
            </w:r>
          </w:p>
        </w:tc>
        <w:tc>
          <w:tcPr>
            <w:tcW w:w="432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通过建立河湖水质改善和污染治理系统、水资源的合理利用和调配工程、推广雨水收集和利用技术、水质及水生生物监测系统、河湖水产品开发等综合保护利用项目。</w:t>
            </w:r>
          </w:p>
        </w:tc>
        <w:tc>
          <w:tcPr>
            <w:tcW w:w="127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县域</w:t>
            </w:r>
          </w:p>
        </w:tc>
        <w:tc>
          <w:tcPr>
            <w:tcW w:w="101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一级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111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2025-2030</w:t>
            </w:r>
          </w:p>
        </w:tc>
      </w:tr>
      <w:tr>
        <w:tblPrEx>
          <w:tblLayout w:type="fixed"/>
          <w:tblCellMar>
            <w:top w:w="0" w:type="dxa"/>
            <w:left w:w="108" w:type="dxa"/>
            <w:bottom w:w="0" w:type="dxa"/>
            <w:right w:w="108" w:type="dxa"/>
          </w:tblCellMar>
        </w:tblPrEx>
        <w:trPr>
          <w:trHeight w:val="720" w:hRule="atLeast"/>
        </w:trPr>
        <w:tc>
          <w:tcPr>
            <w:tcW w:w="538"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5</w:t>
            </w:r>
          </w:p>
        </w:tc>
        <w:tc>
          <w:tcPr>
            <w:tcW w:w="1234"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bCs/>
                <w:kern w:val="0"/>
                <w:sz w:val="20"/>
                <w:szCs w:val="20"/>
              </w:rPr>
              <w:t>项坑、松坑生态河道整治提升工程</w:t>
            </w:r>
          </w:p>
        </w:tc>
        <w:tc>
          <w:tcPr>
            <w:tcW w:w="4324"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bCs/>
                <w:kern w:val="0"/>
                <w:sz w:val="20"/>
                <w:szCs w:val="20"/>
              </w:rPr>
              <w:t>河道整治，防洪堤提升，配套道路改造提升，护栏建设，河道疏浚等</w:t>
            </w:r>
          </w:p>
        </w:tc>
        <w:tc>
          <w:tcPr>
            <w:tcW w:w="127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bCs/>
                <w:kern w:val="0"/>
                <w:sz w:val="20"/>
                <w:szCs w:val="20"/>
              </w:rPr>
              <w:t>珊溪镇项坑村、松坑村</w:t>
            </w:r>
          </w:p>
        </w:tc>
        <w:tc>
          <w:tcPr>
            <w:tcW w:w="101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一级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bCs/>
                <w:kern w:val="0"/>
                <w:sz w:val="20"/>
                <w:szCs w:val="20"/>
              </w:rPr>
              <w:t>三级</w:t>
            </w:r>
          </w:p>
        </w:tc>
        <w:tc>
          <w:tcPr>
            <w:tcW w:w="111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bCs/>
                <w:kern w:val="0"/>
                <w:sz w:val="20"/>
                <w:szCs w:val="20"/>
              </w:rPr>
              <w:t>2025-2030</w:t>
            </w:r>
          </w:p>
        </w:tc>
      </w:tr>
    </w:tbl>
    <w:p>
      <w:pPr>
        <w:spacing w:line="240" w:lineRule="auto"/>
        <w:ind w:firstLine="0" w:firstLineChars="0"/>
        <w:rPr>
          <w:rFonts w:eastAsia="黑体"/>
          <w:bCs/>
          <w:kern w:val="0"/>
        </w:rPr>
      </w:pPr>
    </w:p>
    <w:p>
      <w:pPr>
        <w:keepNext/>
        <w:keepLines/>
        <w:spacing w:before="156" w:beforeLines="50"/>
        <w:ind w:left="142" w:firstLine="360" w:firstLineChars="150"/>
        <w:outlineLvl w:val="2"/>
        <w:rPr>
          <w:rFonts w:eastAsia="黑体"/>
          <w:bCs/>
          <w:kern w:val="0"/>
        </w:rPr>
      </w:pPr>
      <w:r>
        <w:rPr>
          <w:rFonts w:hint="eastAsia" w:eastAsia="黑体"/>
          <w:bCs/>
          <w:kern w:val="0"/>
        </w:rPr>
        <w:t>（二）景区建设类</w:t>
      </w:r>
    </w:p>
    <w:p>
      <w:pPr>
        <w:pStyle w:val="17"/>
        <w:ind w:firstLine="480"/>
      </w:pPr>
      <w:r>
        <w:rPr>
          <w:rFonts w:hint="eastAsia"/>
        </w:rPr>
        <w:t>重点提升建设朱阳九峰景区、岩门大峡谷景区、</w:t>
      </w:r>
      <w:r>
        <w:rPr>
          <w:rFonts w:hint="eastAsia" w:cs="宋体"/>
        </w:rPr>
        <w:t>飞云湖景区、石垟景区</w:t>
      </w:r>
      <w:r>
        <w:rPr>
          <w:rFonts w:hint="eastAsia"/>
        </w:rPr>
        <w:t>等，实施岩门大峡谷综合保护与整治提升工程、朱阳九峰景区文旅开发及基础设施配套项目、牛栏湾景区综合开发项目等一系列</w:t>
      </w:r>
      <w:r>
        <w:rPr>
          <w:rFonts w:hint="eastAsia" w:cs="宋体"/>
        </w:rPr>
        <w:t>游赏规划（景区建设）类项目，重点提升红枫古道等具有资源代表性和吸引力的景点，加强景点之间的串联</w:t>
      </w:r>
      <w:r>
        <w:rPr>
          <w:rFonts w:hint="eastAsia"/>
        </w:rPr>
        <w:t>。</w:t>
      </w:r>
      <w:r>
        <w:rPr>
          <w:rFonts w:hint="eastAsia" w:cs="宋体"/>
        </w:rPr>
        <w:t>整合原峡谷景廊景区、百丈漈景区、天顶湖景区形成百丈飞瀑景区，景区北面做好环天顶湖产业带开发。</w:t>
      </w:r>
    </w:p>
    <w:p>
      <w:pPr>
        <w:pStyle w:val="13"/>
        <w:keepNext/>
        <w:spacing w:before="93"/>
        <w:ind w:firstLine="422"/>
        <w:jc w:val="center"/>
        <w:rPr>
          <w:rFonts w:ascii="宋体" w:hAnsi="宋体"/>
          <w:b/>
          <w:kern w:val="0"/>
          <w:sz w:val="21"/>
          <w:szCs w:val="21"/>
        </w:rPr>
      </w:pPr>
      <w:r>
        <w:rPr>
          <w:rFonts w:hint="eastAsia" w:ascii="宋体" w:hAnsi="宋体" w:eastAsia="宋体"/>
          <w:b/>
          <w:kern w:val="0"/>
          <w:sz w:val="21"/>
          <w:szCs w:val="21"/>
        </w:rPr>
        <w:t>表7</w:t>
      </w:r>
      <w:r>
        <w:rPr>
          <w:rFonts w:ascii="宋体" w:hAnsi="宋体" w:eastAsia="宋体"/>
          <w:b/>
          <w:kern w:val="0"/>
          <w:sz w:val="21"/>
          <w:szCs w:val="21"/>
        </w:rPr>
        <w:t xml:space="preserve">-2 </w:t>
      </w:r>
      <w:r>
        <w:rPr>
          <w:rFonts w:hint="eastAsia" w:ascii="宋体" w:hAnsi="宋体" w:eastAsia="宋体"/>
          <w:b/>
          <w:kern w:val="0"/>
          <w:sz w:val="21"/>
          <w:szCs w:val="21"/>
        </w:rPr>
        <w:t>景区建设类近期项目规划一览表</w:t>
      </w:r>
    </w:p>
    <w:tbl>
      <w:tblPr>
        <w:tblStyle w:val="42"/>
        <w:tblW w:w="8974" w:type="dxa"/>
        <w:jc w:val="center"/>
        <w:tblInd w:w="0" w:type="dxa"/>
        <w:tblLayout w:type="fixed"/>
        <w:tblCellMar>
          <w:top w:w="0" w:type="dxa"/>
          <w:left w:w="108" w:type="dxa"/>
          <w:bottom w:w="0" w:type="dxa"/>
          <w:right w:w="108" w:type="dxa"/>
        </w:tblCellMar>
      </w:tblPr>
      <w:tblGrid>
        <w:gridCol w:w="538"/>
        <w:gridCol w:w="1448"/>
        <w:gridCol w:w="4252"/>
        <w:gridCol w:w="1057"/>
        <w:gridCol w:w="850"/>
        <w:gridCol w:w="829"/>
      </w:tblGrid>
      <w:tr>
        <w:tblPrEx>
          <w:tblLayout w:type="fixed"/>
          <w:tblCellMar>
            <w:top w:w="0" w:type="dxa"/>
            <w:left w:w="108" w:type="dxa"/>
            <w:bottom w:w="0" w:type="dxa"/>
            <w:right w:w="108" w:type="dxa"/>
          </w:tblCellMar>
        </w:tblPrEx>
        <w:trPr>
          <w:trHeight w:val="480" w:hRule="atLeast"/>
          <w:tblHeader/>
          <w:jc w:val="center"/>
        </w:trPr>
        <w:tc>
          <w:tcPr>
            <w:tcW w:w="538" w:type="dxa"/>
            <w:tcBorders>
              <w:top w:val="single" w:color="auto" w:sz="4" w:space="0"/>
              <w:left w:val="single" w:color="auto" w:sz="4" w:space="0"/>
              <w:bottom w:val="single" w:color="auto" w:sz="4" w:space="0"/>
              <w:right w:val="single" w:color="auto" w:sz="4" w:space="0"/>
            </w:tcBorders>
            <w:shd w:val="clear" w:color="auto" w:fill="E2E2E2"/>
          </w:tcPr>
          <w:p>
            <w:pPr>
              <w:widowControl/>
              <w:adjustRightInd w:val="0"/>
              <w:snapToGrid w:val="0"/>
              <w:spacing w:line="240" w:lineRule="auto"/>
              <w:ind w:firstLine="0" w:firstLineChars="0"/>
              <w:jc w:val="center"/>
              <w:rPr>
                <w:rFonts w:ascii="宋体" w:hAnsi="宋体" w:cs="宋体"/>
                <w:b/>
                <w:bCs/>
                <w:kern w:val="0"/>
                <w:sz w:val="20"/>
                <w:szCs w:val="20"/>
              </w:rPr>
            </w:pPr>
            <w:r>
              <w:rPr>
                <w:rFonts w:hint="eastAsia" w:ascii="宋体" w:hAnsi="宋体" w:cs="宋体"/>
                <w:b/>
                <w:bCs/>
                <w:kern w:val="0"/>
                <w:sz w:val="20"/>
                <w:szCs w:val="20"/>
              </w:rPr>
              <w:t>序号</w:t>
            </w:r>
          </w:p>
        </w:tc>
        <w:tc>
          <w:tcPr>
            <w:tcW w:w="1448" w:type="dxa"/>
            <w:tcBorders>
              <w:top w:val="single" w:color="auto" w:sz="4" w:space="0"/>
              <w:left w:val="single" w:color="auto" w:sz="4" w:space="0"/>
              <w:bottom w:val="single" w:color="auto" w:sz="4" w:space="0"/>
              <w:right w:val="single" w:color="auto" w:sz="4" w:space="0"/>
            </w:tcBorders>
            <w:shd w:val="clear" w:color="auto" w:fill="E2E2E2"/>
            <w:vAlign w:val="center"/>
          </w:tcPr>
          <w:p>
            <w:pPr>
              <w:widowControl/>
              <w:adjustRightInd w:val="0"/>
              <w:snapToGrid w:val="0"/>
              <w:spacing w:line="240" w:lineRule="auto"/>
              <w:ind w:firstLine="0" w:firstLineChars="0"/>
              <w:jc w:val="center"/>
              <w:rPr>
                <w:rFonts w:ascii="宋体" w:hAnsi="宋体" w:cs="宋体"/>
                <w:b/>
                <w:bCs/>
                <w:kern w:val="0"/>
                <w:sz w:val="20"/>
                <w:szCs w:val="20"/>
              </w:rPr>
            </w:pPr>
            <w:r>
              <w:rPr>
                <w:rFonts w:hint="eastAsia" w:ascii="宋体" w:hAnsi="宋体" w:cs="宋体"/>
                <w:b/>
                <w:bCs/>
                <w:kern w:val="0"/>
                <w:sz w:val="20"/>
                <w:szCs w:val="20"/>
              </w:rPr>
              <w:t>项目名称</w:t>
            </w:r>
          </w:p>
        </w:tc>
        <w:tc>
          <w:tcPr>
            <w:tcW w:w="4252" w:type="dxa"/>
            <w:tcBorders>
              <w:top w:val="single" w:color="auto" w:sz="4" w:space="0"/>
              <w:left w:val="nil"/>
              <w:bottom w:val="single" w:color="auto" w:sz="4" w:space="0"/>
              <w:right w:val="single" w:color="auto" w:sz="4" w:space="0"/>
            </w:tcBorders>
            <w:shd w:val="clear" w:color="auto" w:fill="E2E2E2"/>
            <w:vAlign w:val="center"/>
          </w:tcPr>
          <w:p>
            <w:pPr>
              <w:widowControl/>
              <w:adjustRightInd w:val="0"/>
              <w:snapToGrid w:val="0"/>
              <w:spacing w:line="240" w:lineRule="auto"/>
              <w:ind w:firstLine="0" w:firstLineChars="0"/>
              <w:jc w:val="center"/>
              <w:rPr>
                <w:rFonts w:ascii="宋体" w:hAnsi="宋体" w:cs="宋体"/>
                <w:b/>
                <w:bCs/>
                <w:kern w:val="0"/>
                <w:sz w:val="20"/>
                <w:szCs w:val="20"/>
              </w:rPr>
            </w:pPr>
            <w:r>
              <w:rPr>
                <w:rFonts w:hint="eastAsia" w:ascii="宋体" w:hAnsi="宋体" w:cs="宋体"/>
                <w:b/>
                <w:bCs/>
                <w:kern w:val="0"/>
                <w:sz w:val="20"/>
                <w:szCs w:val="20"/>
              </w:rPr>
              <w:t>建设内容</w:t>
            </w:r>
          </w:p>
        </w:tc>
        <w:tc>
          <w:tcPr>
            <w:tcW w:w="1057" w:type="dxa"/>
            <w:tcBorders>
              <w:top w:val="single" w:color="auto" w:sz="4" w:space="0"/>
              <w:left w:val="nil"/>
              <w:bottom w:val="single" w:color="auto" w:sz="4" w:space="0"/>
              <w:right w:val="single" w:color="auto" w:sz="4" w:space="0"/>
            </w:tcBorders>
            <w:shd w:val="clear" w:color="auto" w:fill="E2E2E2"/>
            <w:vAlign w:val="center"/>
          </w:tcPr>
          <w:p>
            <w:pPr>
              <w:widowControl/>
              <w:adjustRightInd w:val="0"/>
              <w:snapToGrid w:val="0"/>
              <w:spacing w:line="240" w:lineRule="auto"/>
              <w:ind w:firstLine="0" w:firstLineChars="0"/>
              <w:jc w:val="center"/>
              <w:rPr>
                <w:rFonts w:ascii="宋体" w:hAnsi="宋体" w:cs="宋体"/>
                <w:b/>
                <w:bCs/>
                <w:kern w:val="0"/>
                <w:sz w:val="20"/>
                <w:szCs w:val="20"/>
              </w:rPr>
            </w:pPr>
            <w:r>
              <w:rPr>
                <w:rFonts w:hint="eastAsia" w:ascii="宋体" w:hAnsi="宋体" w:cs="宋体"/>
                <w:b/>
                <w:bCs/>
                <w:kern w:val="0"/>
                <w:sz w:val="20"/>
                <w:szCs w:val="20"/>
              </w:rPr>
              <w:t>建设地点</w:t>
            </w:r>
          </w:p>
        </w:tc>
        <w:tc>
          <w:tcPr>
            <w:tcW w:w="850" w:type="dxa"/>
            <w:tcBorders>
              <w:top w:val="single" w:color="auto" w:sz="4" w:space="0"/>
              <w:left w:val="nil"/>
              <w:bottom w:val="single" w:color="auto" w:sz="4" w:space="0"/>
              <w:right w:val="single" w:color="auto" w:sz="4" w:space="0"/>
            </w:tcBorders>
            <w:shd w:val="clear" w:color="auto" w:fill="E2E2E2"/>
            <w:vAlign w:val="center"/>
          </w:tcPr>
          <w:p>
            <w:pPr>
              <w:widowControl/>
              <w:adjustRightInd w:val="0"/>
              <w:snapToGrid w:val="0"/>
              <w:spacing w:line="240" w:lineRule="auto"/>
              <w:ind w:firstLine="0" w:firstLineChars="0"/>
              <w:jc w:val="center"/>
              <w:rPr>
                <w:rFonts w:ascii="宋体" w:hAnsi="宋体" w:cs="宋体"/>
                <w:b/>
                <w:bCs/>
                <w:kern w:val="0"/>
                <w:sz w:val="20"/>
                <w:szCs w:val="20"/>
              </w:rPr>
            </w:pPr>
            <w:r>
              <w:rPr>
                <w:rFonts w:hint="eastAsia" w:ascii="宋体" w:hAnsi="宋体" w:cs="宋体"/>
                <w:b/>
                <w:bCs/>
                <w:kern w:val="0"/>
                <w:sz w:val="20"/>
                <w:szCs w:val="20"/>
              </w:rPr>
              <w:t>涉及保护分区</w:t>
            </w:r>
          </w:p>
        </w:tc>
        <w:tc>
          <w:tcPr>
            <w:tcW w:w="829" w:type="dxa"/>
            <w:tcBorders>
              <w:top w:val="single" w:color="auto" w:sz="4" w:space="0"/>
              <w:left w:val="nil"/>
              <w:bottom w:val="single" w:color="auto" w:sz="4" w:space="0"/>
              <w:right w:val="single" w:color="auto" w:sz="4" w:space="0"/>
            </w:tcBorders>
            <w:shd w:val="clear" w:color="auto" w:fill="E2E2E2"/>
            <w:vAlign w:val="center"/>
          </w:tcPr>
          <w:p>
            <w:pPr>
              <w:widowControl/>
              <w:adjustRightInd w:val="0"/>
              <w:snapToGrid w:val="0"/>
              <w:spacing w:line="240" w:lineRule="auto"/>
              <w:ind w:firstLine="0" w:firstLineChars="0"/>
              <w:jc w:val="center"/>
              <w:rPr>
                <w:rFonts w:ascii="宋体" w:hAnsi="宋体" w:cs="宋体"/>
                <w:b/>
                <w:bCs/>
                <w:kern w:val="0"/>
                <w:sz w:val="20"/>
                <w:szCs w:val="20"/>
              </w:rPr>
            </w:pPr>
            <w:r>
              <w:rPr>
                <w:rFonts w:hint="eastAsia" w:ascii="宋体" w:hAnsi="宋体" w:cs="宋体"/>
                <w:b/>
                <w:bCs/>
                <w:kern w:val="0"/>
                <w:sz w:val="20"/>
                <w:szCs w:val="20"/>
              </w:rPr>
              <w:t>实施年限</w:t>
            </w:r>
          </w:p>
        </w:tc>
      </w:tr>
      <w:tr>
        <w:tblPrEx>
          <w:tblLayout w:type="fixed"/>
          <w:tblCellMar>
            <w:top w:w="0" w:type="dxa"/>
            <w:left w:w="108" w:type="dxa"/>
            <w:bottom w:w="0" w:type="dxa"/>
            <w:right w:w="108" w:type="dxa"/>
          </w:tblCellMar>
        </w:tblPrEx>
        <w:trPr>
          <w:trHeight w:val="720" w:hRule="atLeast"/>
          <w:jc w:val="center"/>
        </w:trPr>
        <w:tc>
          <w:tcPr>
            <w:tcW w:w="538"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1</w:t>
            </w:r>
          </w:p>
        </w:tc>
        <w:tc>
          <w:tcPr>
            <w:tcW w:w="144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岩门大峡谷综合保护与整治提升工程</w:t>
            </w:r>
          </w:p>
        </w:tc>
        <w:tc>
          <w:tcPr>
            <w:tcW w:w="425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加强岩门大峡谷景区内的景点建设，完善游步道、通景公路、停车场、索道等游览交通体系，新建游客中心、服务部等旅游服务设施。</w:t>
            </w:r>
          </w:p>
        </w:tc>
        <w:tc>
          <w:tcPr>
            <w:tcW w:w="105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铜铃山镇、黄坦镇</w:t>
            </w:r>
          </w:p>
        </w:tc>
        <w:tc>
          <w:tcPr>
            <w:tcW w:w="85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一级</w:t>
            </w:r>
          </w:p>
        </w:tc>
        <w:tc>
          <w:tcPr>
            <w:tcW w:w="8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2027-2030</w:t>
            </w:r>
          </w:p>
        </w:tc>
      </w:tr>
      <w:tr>
        <w:tblPrEx>
          <w:tblLayout w:type="fixed"/>
          <w:tblCellMar>
            <w:top w:w="0" w:type="dxa"/>
            <w:left w:w="108" w:type="dxa"/>
            <w:bottom w:w="0" w:type="dxa"/>
            <w:right w:w="108" w:type="dxa"/>
          </w:tblCellMar>
        </w:tblPrEx>
        <w:trPr>
          <w:trHeight w:val="1147" w:hRule="atLeast"/>
          <w:jc w:val="center"/>
        </w:trPr>
        <w:tc>
          <w:tcPr>
            <w:tcW w:w="538"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w:t>
            </w:r>
          </w:p>
        </w:tc>
        <w:tc>
          <w:tcPr>
            <w:tcW w:w="144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牛栏湾景区综合开发项目</w:t>
            </w:r>
          </w:p>
        </w:tc>
        <w:tc>
          <w:tcPr>
            <w:tcW w:w="425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包括仙乌岩尖资源保护与展示工程、九台禅林文化休闲项目、牛栏湾森林康养项目、飞瀑生态体验项目、通景道路提升改造工程等，详见牛栏湾景区规划。</w:t>
            </w:r>
          </w:p>
        </w:tc>
        <w:tc>
          <w:tcPr>
            <w:tcW w:w="105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珊溪镇</w:t>
            </w:r>
          </w:p>
        </w:tc>
        <w:tc>
          <w:tcPr>
            <w:tcW w:w="85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tc>
        <w:tc>
          <w:tcPr>
            <w:tcW w:w="8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2025-2035</w:t>
            </w:r>
          </w:p>
        </w:tc>
      </w:tr>
      <w:tr>
        <w:tblPrEx>
          <w:tblLayout w:type="fixed"/>
          <w:tblCellMar>
            <w:top w:w="0" w:type="dxa"/>
            <w:left w:w="108" w:type="dxa"/>
            <w:bottom w:w="0" w:type="dxa"/>
            <w:right w:w="108" w:type="dxa"/>
          </w:tblCellMar>
        </w:tblPrEx>
        <w:trPr>
          <w:trHeight w:val="808" w:hRule="atLeast"/>
          <w:jc w:val="center"/>
        </w:trPr>
        <w:tc>
          <w:tcPr>
            <w:tcW w:w="538"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3</w:t>
            </w:r>
          </w:p>
        </w:tc>
        <w:tc>
          <w:tcPr>
            <w:tcW w:w="144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林场森林康养游步道</w:t>
            </w:r>
          </w:p>
        </w:tc>
        <w:tc>
          <w:tcPr>
            <w:tcW w:w="425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利用好林场森林资源，结合康养产业开发林间景区资源，利用防火道进行改造提升成游步道</w:t>
            </w:r>
          </w:p>
        </w:tc>
        <w:tc>
          <w:tcPr>
            <w:tcW w:w="105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各景区</w:t>
            </w:r>
          </w:p>
        </w:tc>
        <w:tc>
          <w:tcPr>
            <w:tcW w:w="85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一级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tc>
        <w:tc>
          <w:tcPr>
            <w:tcW w:w="8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2025-2027</w:t>
            </w:r>
          </w:p>
        </w:tc>
      </w:tr>
      <w:tr>
        <w:tblPrEx>
          <w:tblLayout w:type="fixed"/>
          <w:tblCellMar>
            <w:top w:w="0" w:type="dxa"/>
            <w:left w:w="108" w:type="dxa"/>
            <w:bottom w:w="0" w:type="dxa"/>
            <w:right w:w="108" w:type="dxa"/>
          </w:tblCellMar>
        </w:tblPrEx>
        <w:trPr>
          <w:trHeight w:val="867" w:hRule="atLeast"/>
          <w:jc w:val="center"/>
        </w:trPr>
        <w:tc>
          <w:tcPr>
            <w:tcW w:w="538"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4</w:t>
            </w:r>
          </w:p>
        </w:tc>
        <w:tc>
          <w:tcPr>
            <w:tcW w:w="144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雅庄历史文化保护和开发项目</w:t>
            </w:r>
          </w:p>
        </w:tc>
        <w:tc>
          <w:tcPr>
            <w:tcW w:w="425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在合理保护古村落风貌基础上开发红色历史文化资源，建设红色教育基地。根据需要建设雅庄古民居相关配套设施，用地面积约</w:t>
            </w:r>
            <w:r>
              <w:rPr>
                <w:rFonts w:ascii="宋体" w:hAnsi="宋体" w:cs="宋体"/>
                <w:kern w:val="0"/>
                <w:sz w:val="20"/>
                <w:szCs w:val="20"/>
              </w:rPr>
              <w:t>7.5亩。</w:t>
            </w:r>
          </w:p>
        </w:tc>
        <w:tc>
          <w:tcPr>
            <w:tcW w:w="105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铜铃山镇雅庄村</w:t>
            </w:r>
          </w:p>
        </w:tc>
        <w:tc>
          <w:tcPr>
            <w:tcW w:w="85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8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2025-2027</w:t>
            </w:r>
          </w:p>
        </w:tc>
      </w:tr>
      <w:tr>
        <w:tblPrEx>
          <w:tblLayout w:type="fixed"/>
          <w:tblCellMar>
            <w:top w:w="0" w:type="dxa"/>
            <w:left w:w="108" w:type="dxa"/>
            <w:bottom w:w="0" w:type="dxa"/>
            <w:right w:w="108" w:type="dxa"/>
          </w:tblCellMar>
        </w:tblPrEx>
        <w:trPr>
          <w:trHeight w:val="1200" w:hRule="atLeast"/>
          <w:jc w:val="center"/>
        </w:trPr>
        <w:tc>
          <w:tcPr>
            <w:tcW w:w="538"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5</w:t>
            </w:r>
          </w:p>
        </w:tc>
        <w:tc>
          <w:tcPr>
            <w:tcW w:w="144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月老山童话森林景区提升项目</w:t>
            </w:r>
          </w:p>
        </w:tc>
        <w:tc>
          <w:tcPr>
            <w:tcW w:w="425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通过元宇宙、</w:t>
            </w:r>
            <w:r>
              <w:rPr>
                <w:rFonts w:ascii="宋体" w:hAnsi="宋体" w:cs="宋体"/>
                <w:kern w:val="0"/>
                <w:sz w:val="20"/>
                <w:szCs w:val="20"/>
              </w:rPr>
              <w:t>VR等技术，在月老山打造格林童话的魔法森林，突出灯光秀、沉浸式体验等。</w:t>
            </w:r>
          </w:p>
        </w:tc>
        <w:tc>
          <w:tcPr>
            <w:tcW w:w="105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铜铃山镇月老山</w:t>
            </w:r>
          </w:p>
        </w:tc>
        <w:tc>
          <w:tcPr>
            <w:tcW w:w="85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tc>
        <w:tc>
          <w:tcPr>
            <w:tcW w:w="8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2025-2027</w:t>
            </w:r>
          </w:p>
        </w:tc>
      </w:tr>
      <w:tr>
        <w:tblPrEx>
          <w:tblLayout w:type="fixed"/>
          <w:tblCellMar>
            <w:top w:w="0" w:type="dxa"/>
            <w:left w:w="108" w:type="dxa"/>
            <w:bottom w:w="0" w:type="dxa"/>
            <w:right w:w="108" w:type="dxa"/>
          </w:tblCellMar>
        </w:tblPrEx>
        <w:trPr>
          <w:trHeight w:val="720" w:hRule="atLeast"/>
          <w:jc w:val="center"/>
        </w:trPr>
        <w:tc>
          <w:tcPr>
            <w:tcW w:w="538"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6</w:t>
            </w:r>
          </w:p>
        </w:tc>
        <w:tc>
          <w:tcPr>
            <w:tcW w:w="144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铜铃山镇红色文化旅游带项目</w:t>
            </w:r>
          </w:p>
        </w:tc>
        <w:tc>
          <w:tcPr>
            <w:tcW w:w="425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围绕雅庄、都铺、石角林区、铜铃山景区等红色文化遗迹，关联西坑伟人像章馆、周定纪念馆等红色景点，把点状分散的红色景点串联起来，围绕红色主题主线，打造一条独具文成特色的红色旅游崇军服务示范带。</w:t>
            </w:r>
          </w:p>
        </w:tc>
        <w:tc>
          <w:tcPr>
            <w:tcW w:w="105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铜铃山镇雅庄、都铺、石角林区、铜铃山景区</w:t>
            </w:r>
          </w:p>
        </w:tc>
        <w:tc>
          <w:tcPr>
            <w:tcW w:w="85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一级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8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2026-2029</w:t>
            </w:r>
          </w:p>
        </w:tc>
      </w:tr>
      <w:tr>
        <w:tblPrEx>
          <w:tblLayout w:type="fixed"/>
          <w:tblCellMar>
            <w:top w:w="0" w:type="dxa"/>
            <w:left w:w="108" w:type="dxa"/>
            <w:bottom w:w="0" w:type="dxa"/>
            <w:right w:w="108" w:type="dxa"/>
          </w:tblCellMar>
        </w:tblPrEx>
        <w:trPr>
          <w:trHeight w:val="480" w:hRule="atLeast"/>
          <w:jc w:val="center"/>
        </w:trPr>
        <w:tc>
          <w:tcPr>
            <w:tcW w:w="538"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7</w:t>
            </w:r>
          </w:p>
        </w:tc>
        <w:tc>
          <w:tcPr>
            <w:tcW w:w="144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浙南非遗文化传承与开发项目</w:t>
            </w:r>
          </w:p>
        </w:tc>
        <w:tc>
          <w:tcPr>
            <w:tcW w:w="425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建设浙南民俗非遗工坊，培养木偶戏、串灯舞非遗传承人，定期开展研学活动，保留白露传统路会申报国家非遗。</w:t>
            </w:r>
          </w:p>
        </w:tc>
        <w:tc>
          <w:tcPr>
            <w:tcW w:w="105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铜铃山镇下垟村</w:t>
            </w:r>
          </w:p>
        </w:tc>
        <w:tc>
          <w:tcPr>
            <w:tcW w:w="85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tc>
        <w:tc>
          <w:tcPr>
            <w:tcW w:w="8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2025-2027</w:t>
            </w:r>
          </w:p>
        </w:tc>
      </w:tr>
      <w:tr>
        <w:tblPrEx>
          <w:tblLayout w:type="fixed"/>
          <w:tblCellMar>
            <w:top w:w="0" w:type="dxa"/>
            <w:left w:w="108" w:type="dxa"/>
            <w:bottom w:w="0" w:type="dxa"/>
            <w:right w:w="108" w:type="dxa"/>
          </w:tblCellMar>
        </w:tblPrEx>
        <w:trPr>
          <w:trHeight w:val="1200" w:hRule="atLeast"/>
          <w:jc w:val="center"/>
        </w:trPr>
        <w:tc>
          <w:tcPr>
            <w:tcW w:w="538"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8</w:t>
            </w:r>
          </w:p>
        </w:tc>
        <w:tc>
          <w:tcPr>
            <w:tcW w:w="144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红枫古道提升及配套服务设施建设项目</w:t>
            </w:r>
          </w:p>
        </w:tc>
        <w:tc>
          <w:tcPr>
            <w:tcW w:w="425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对红枫古道进行修缮，植入休闲游玩元素，增加体验性，打造一条有江南特色的“浙南第一红枫古道”</w:t>
            </w:r>
          </w:p>
        </w:tc>
        <w:tc>
          <w:tcPr>
            <w:tcW w:w="105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百丈漈镇</w:t>
            </w:r>
          </w:p>
        </w:tc>
        <w:tc>
          <w:tcPr>
            <w:tcW w:w="85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tc>
        <w:tc>
          <w:tcPr>
            <w:tcW w:w="8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2024-2027</w:t>
            </w:r>
          </w:p>
        </w:tc>
      </w:tr>
      <w:tr>
        <w:tblPrEx>
          <w:tblLayout w:type="fixed"/>
          <w:tblCellMar>
            <w:top w:w="0" w:type="dxa"/>
            <w:left w:w="108" w:type="dxa"/>
            <w:bottom w:w="0" w:type="dxa"/>
            <w:right w:w="108" w:type="dxa"/>
          </w:tblCellMar>
        </w:tblPrEx>
        <w:trPr>
          <w:trHeight w:val="720" w:hRule="atLeast"/>
          <w:jc w:val="center"/>
        </w:trPr>
        <w:tc>
          <w:tcPr>
            <w:tcW w:w="538"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9</w:t>
            </w:r>
          </w:p>
        </w:tc>
        <w:tc>
          <w:tcPr>
            <w:tcW w:w="144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龙麒源景区旅游配套设施整改提升工程</w:t>
            </w:r>
          </w:p>
        </w:tc>
        <w:tc>
          <w:tcPr>
            <w:tcW w:w="425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整改提升萌宠乐园、昆虫科普教育基地、龙头景点、百鸟园、月亮岛、漂流观景台</w:t>
            </w:r>
            <w:r>
              <w:rPr>
                <w:rFonts w:ascii="宋体" w:hAnsi="宋体" w:cs="宋体"/>
                <w:kern w:val="0"/>
                <w:sz w:val="20"/>
                <w:szCs w:val="20"/>
              </w:rPr>
              <w:t>+摩天塔、锦鲤池及景区商铺、漂流终点廊桥等现状景点/设施，使其符合风景区环境协调与保护要求</w:t>
            </w:r>
            <w:r>
              <w:rPr>
                <w:rFonts w:hint="eastAsia" w:ascii="宋体" w:hAnsi="宋体" w:cs="宋体"/>
                <w:kern w:val="0"/>
                <w:sz w:val="20"/>
                <w:szCs w:val="20"/>
              </w:rPr>
              <w:t>。</w:t>
            </w:r>
          </w:p>
        </w:tc>
        <w:tc>
          <w:tcPr>
            <w:tcW w:w="105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西坑镇、南田镇</w:t>
            </w:r>
          </w:p>
        </w:tc>
        <w:tc>
          <w:tcPr>
            <w:tcW w:w="85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一级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tc>
        <w:tc>
          <w:tcPr>
            <w:tcW w:w="8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2022-2027</w:t>
            </w:r>
          </w:p>
        </w:tc>
      </w:tr>
      <w:tr>
        <w:tblPrEx>
          <w:tblLayout w:type="fixed"/>
          <w:tblCellMar>
            <w:top w:w="0" w:type="dxa"/>
            <w:left w:w="108" w:type="dxa"/>
            <w:bottom w:w="0" w:type="dxa"/>
            <w:right w:w="108" w:type="dxa"/>
          </w:tblCellMar>
        </w:tblPrEx>
        <w:trPr>
          <w:trHeight w:val="960" w:hRule="atLeast"/>
          <w:jc w:val="center"/>
        </w:trPr>
        <w:tc>
          <w:tcPr>
            <w:tcW w:w="538"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highlight w:val="yellow"/>
              </w:rPr>
            </w:pPr>
            <w:r>
              <w:rPr>
                <w:rFonts w:ascii="宋体" w:hAnsi="宋体" w:cs="宋体"/>
                <w:kern w:val="0"/>
                <w:sz w:val="20"/>
                <w:szCs w:val="20"/>
              </w:rPr>
              <w:t>10</w:t>
            </w:r>
          </w:p>
        </w:tc>
        <w:tc>
          <w:tcPr>
            <w:tcW w:w="144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西坑畲族镇天圣山文化园改造提升工程</w:t>
            </w:r>
          </w:p>
        </w:tc>
        <w:tc>
          <w:tcPr>
            <w:tcW w:w="425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在西坑村天圣山顶建设一处休憩驿站及沿路游步道部分节点提升打造</w:t>
            </w:r>
          </w:p>
        </w:tc>
        <w:tc>
          <w:tcPr>
            <w:tcW w:w="105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西坑镇西坑民族村天圣山</w:t>
            </w:r>
          </w:p>
        </w:tc>
        <w:tc>
          <w:tcPr>
            <w:tcW w:w="85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8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2023-2030</w:t>
            </w:r>
          </w:p>
        </w:tc>
      </w:tr>
      <w:tr>
        <w:tblPrEx>
          <w:tblLayout w:type="fixed"/>
          <w:tblCellMar>
            <w:top w:w="0" w:type="dxa"/>
            <w:left w:w="108" w:type="dxa"/>
            <w:bottom w:w="0" w:type="dxa"/>
            <w:right w:w="108" w:type="dxa"/>
          </w:tblCellMar>
        </w:tblPrEx>
        <w:trPr>
          <w:trHeight w:val="720" w:hRule="atLeast"/>
          <w:jc w:val="center"/>
        </w:trPr>
        <w:tc>
          <w:tcPr>
            <w:tcW w:w="538"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11</w:t>
            </w:r>
          </w:p>
        </w:tc>
        <w:tc>
          <w:tcPr>
            <w:tcW w:w="144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谈阳巡检司传统文化保护与综合开发项目</w:t>
            </w:r>
          </w:p>
        </w:tc>
        <w:tc>
          <w:tcPr>
            <w:tcW w:w="425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立足谈阳村文化底蕴和文化遗址资源，梳理村庄肌理与文化肌理，在现存遗址基础上修复还原遗址，加强历史文物保护、旅游基础设施建设和环境综合整治，再现巡检司历史风貌。同时以明代文化为主题，开发多种形式的演艺、展览和体验活动，打造集文化、旅游、娱乐、演艺为一体的综合性旅游村。</w:t>
            </w:r>
          </w:p>
        </w:tc>
        <w:tc>
          <w:tcPr>
            <w:tcW w:w="105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朱阳九峰景区周边，谈阳村</w:t>
            </w:r>
          </w:p>
        </w:tc>
        <w:tc>
          <w:tcPr>
            <w:tcW w:w="85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8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2024-2029</w:t>
            </w:r>
          </w:p>
        </w:tc>
      </w:tr>
      <w:tr>
        <w:tblPrEx>
          <w:tblLayout w:type="fixed"/>
          <w:tblCellMar>
            <w:top w:w="0" w:type="dxa"/>
            <w:left w:w="108" w:type="dxa"/>
            <w:bottom w:w="0" w:type="dxa"/>
            <w:right w:w="108" w:type="dxa"/>
          </w:tblCellMar>
        </w:tblPrEx>
        <w:trPr>
          <w:trHeight w:val="1200" w:hRule="atLeast"/>
          <w:jc w:val="center"/>
        </w:trPr>
        <w:tc>
          <w:tcPr>
            <w:tcW w:w="538"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12</w:t>
            </w:r>
          </w:p>
        </w:tc>
        <w:tc>
          <w:tcPr>
            <w:tcW w:w="144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朱阳九峰景区文旅开发及基础配套设施项目</w:t>
            </w:r>
          </w:p>
        </w:tc>
        <w:tc>
          <w:tcPr>
            <w:tcW w:w="425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left"/>
              <w:rPr>
                <w:rFonts w:ascii="宋体" w:hAnsi="宋体" w:cs="宋体"/>
                <w:kern w:val="0"/>
                <w:sz w:val="20"/>
                <w:szCs w:val="20"/>
              </w:rPr>
            </w:pPr>
            <w:r>
              <w:rPr>
                <w:rFonts w:hint="eastAsia"/>
                <w:kern w:val="0"/>
                <w:sz w:val="20"/>
                <w:szCs w:val="20"/>
              </w:rPr>
              <w:t>①</w:t>
            </w:r>
            <w:r>
              <w:rPr>
                <w:rFonts w:hint="eastAsia" w:ascii="宋体" w:hAnsi="宋体" w:cs="宋体"/>
                <w:kern w:val="0"/>
                <w:sz w:val="20"/>
                <w:szCs w:val="20"/>
              </w:rPr>
              <w:t>建设“四季有景”户外体验休闲区；②丰富景区智慧服务和产品供给，改善提升接待、娱乐、医疗、餐饮、住宿等公共服务设施；③新建碧坑村、谈阳村游客中心及朱山旅游点，改造提升好汉山庄旅游点，配建停车场，新建、改建景区内管理服务用房，配建旅游公厕约</w:t>
            </w:r>
            <w:r>
              <w:rPr>
                <w:rFonts w:ascii="宋体" w:hAnsi="宋体" w:cs="宋体"/>
                <w:kern w:val="0"/>
                <w:sz w:val="20"/>
                <w:szCs w:val="20"/>
              </w:rPr>
              <w:t>6</w:t>
            </w:r>
            <w:r>
              <w:rPr>
                <w:rFonts w:hint="eastAsia" w:ascii="宋体" w:hAnsi="宋体" w:cs="宋体"/>
                <w:kern w:val="0"/>
                <w:sz w:val="20"/>
                <w:szCs w:val="20"/>
              </w:rPr>
              <w:t>处；</w:t>
            </w:r>
            <w:r>
              <w:rPr>
                <w:rFonts w:hint="eastAsia"/>
                <w:kern w:val="0"/>
                <w:sz w:val="20"/>
                <w:szCs w:val="20"/>
              </w:rPr>
              <w:t>④</w:t>
            </w:r>
            <w:r>
              <w:rPr>
                <w:rFonts w:hint="eastAsia" w:ascii="宋体" w:hAnsi="宋体" w:cs="宋体"/>
                <w:kern w:val="0"/>
                <w:sz w:val="20"/>
                <w:szCs w:val="20"/>
              </w:rPr>
              <w:t>完善通景公路建设，建设两处垂直交通，完善景区内部游步道系统；</w:t>
            </w:r>
            <w:r>
              <w:rPr>
                <w:rFonts w:hint="eastAsia"/>
                <w:kern w:val="0"/>
                <w:sz w:val="20"/>
                <w:szCs w:val="20"/>
              </w:rPr>
              <w:t>⑤</w:t>
            </w:r>
            <w:r>
              <w:rPr>
                <w:rFonts w:hint="eastAsia" w:ascii="宋体" w:hAnsi="宋体" w:cs="宋体"/>
                <w:kern w:val="0"/>
                <w:sz w:val="20"/>
                <w:szCs w:val="20"/>
              </w:rPr>
              <w:t>完善综合管线系统，铺设电力管道（含配置</w:t>
            </w:r>
            <w:r>
              <w:rPr>
                <w:rFonts w:ascii="宋体" w:hAnsi="宋体" w:cs="宋体"/>
                <w:kern w:val="0"/>
                <w:sz w:val="20"/>
                <w:szCs w:val="20"/>
              </w:rPr>
              <w:t>10-0.4KV变配电）、通信光缆、给水等综合管道。</w:t>
            </w:r>
          </w:p>
        </w:tc>
        <w:tc>
          <w:tcPr>
            <w:tcW w:w="105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朱阳九峰景区</w:t>
            </w:r>
          </w:p>
        </w:tc>
        <w:tc>
          <w:tcPr>
            <w:tcW w:w="85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一级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tc>
        <w:tc>
          <w:tcPr>
            <w:tcW w:w="8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2024-2029</w:t>
            </w:r>
          </w:p>
        </w:tc>
      </w:tr>
      <w:tr>
        <w:tblPrEx>
          <w:tblLayout w:type="fixed"/>
          <w:tblCellMar>
            <w:top w:w="0" w:type="dxa"/>
            <w:left w:w="108" w:type="dxa"/>
            <w:bottom w:w="0" w:type="dxa"/>
            <w:right w:w="108" w:type="dxa"/>
          </w:tblCellMar>
        </w:tblPrEx>
        <w:trPr>
          <w:trHeight w:val="480" w:hRule="atLeast"/>
          <w:jc w:val="center"/>
        </w:trPr>
        <w:tc>
          <w:tcPr>
            <w:tcW w:w="538"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13</w:t>
            </w:r>
          </w:p>
        </w:tc>
        <w:tc>
          <w:tcPr>
            <w:tcW w:w="144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生态水循环保护利用综合体验区</w:t>
            </w:r>
          </w:p>
        </w:tc>
        <w:tc>
          <w:tcPr>
            <w:tcW w:w="425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left"/>
              <w:rPr>
                <w:rFonts w:ascii="宋体" w:hAnsi="宋体" w:cs="宋体"/>
                <w:kern w:val="0"/>
                <w:sz w:val="20"/>
                <w:szCs w:val="20"/>
              </w:rPr>
            </w:pPr>
            <w:r>
              <w:rPr>
                <w:rFonts w:hint="eastAsia" w:ascii="宋体" w:hAnsi="宋体" w:cs="宋体"/>
                <w:kern w:val="0"/>
                <w:sz w:val="20"/>
                <w:szCs w:val="20"/>
              </w:rPr>
              <w:t>利用天顶湖水库及吴垟水库的天然地势高差，开展生态水循环利用，建设水生态展示与水文化体验工程，完善码头布局，开展水上游览。</w:t>
            </w:r>
          </w:p>
        </w:tc>
        <w:tc>
          <w:tcPr>
            <w:tcW w:w="105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百丈漈镇、大峃镇</w:t>
            </w:r>
          </w:p>
        </w:tc>
        <w:tc>
          <w:tcPr>
            <w:tcW w:w="85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tc>
        <w:tc>
          <w:tcPr>
            <w:tcW w:w="8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2025-2030</w:t>
            </w:r>
          </w:p>
        </w:tc>
      </w:tr>
      <w:tr>
        <w:tblPrEx>
          <w:tblLayout w:type="fixed"/>
          <w:tblCellMar>
            <w:top w:w="0" w:type="dxa"/>
            <w:left w:w="108" w:type="dxa"/>
            <w:bottom w:w="0" w:type="dxa"/>
            <w:right w:w="108" w:type="dxa"/>
          </w:tblCellMar>
        </w:tblPrEx>
        <w:trPr>
          <w:trHeight w:val="639" w:hRule="atLeast"/>
          <w:jc w:val="center"/>
        </w:trPr>
        <w:tc>
          <w:tcPr>
            <w:tcW w:w="538"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14</w:t>
            </w:r>
          </w:p>
        </w:tc>
        <w:tc>
          <w:tcPr>
            <w:tcW w:w="144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千峡湖景区综合开发项目</w:t>
            </w:r>
          </w:p>
        </w:tc>
        <w:tc>
          <w:tcPr>
            <w:tcW w:w="425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完善景点建设及基础设施、旅游服务配套设施建设。</w:t>
            </w:r>
          </w:p>
        </w:tc>
        <w:tc>
          <w:tcPr>
            <w:tcW w:w="105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武阳村</w:t>
            </w:r>
          </w:p>
        </w:tc>
        <w:tc>
          <w:tcPr>
            <w:tcW w:w="85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8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2028-2035</w:t>
            </w:r>
          </w:p>
        </w:tc>
      </w:tr>
      <w:tr>
        <w:tblPrEx>
          <w:tblLayout w:type="fixed"/>
          <w:tblCellMar>
            <w:top w:w="0" w:type="dxa"/>
            <w:left w:w="108" w:type="dxa"/>
            <w:bottom w:w="0" w:type="dxa"/>
            <w:right w:w="108" w:type="dxa"/>
          </w:tblCellMar>
        </w:tblPrEx>
        <w:trPr>
          <w:trHeight w:val="973" w:hRule="atLeast"/>
          <w:jc w:val="center"/>
        </w:trPr>
        <w:tc>
          <w:tcPr>
            <w:tcW w:w="538"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1</w:t>
            </w:r>
            <w:r>
              <w:rPr>
                <w:rFonts w:ascii="宋体" w:hAnsi="宋体" w:cs="宋体"/>
                <w:kern w:val="0"/>
                <w:sz w:val="20"/>
                <w:szCs w:val="20"/>
              </w:rPr>
              <w:t>5</w:t>
            </w:r>
          </w:p>
        </w:tc>
        <w:tc>
          <w:tcPr>
            <w:tcW w:w="144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刘伯温故里景区综合改造提升工程</w:t>
            </w:r>
          </w:p>
        </w:tc>
        <w:tc>
          <w:tcPr>
            <w:tcW w:w="425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left"/>
              <w:rPr>
                <w:rFonts w:ascii="宋体" w:hAnsi="宋体" w:cs="宋体"/>
                <w:kern w:val="0"/>
                <w:sz w:val="20"/>
                <w:szCs w:val="20"/>
              </w:rPr>
            </w:pPr>
            <w:r>
              <w:rPr>
                <w:rFonts w:hint="eastAsia" w:ascii="宋体" w:hAnsi="宋体" w:cs="宋体"/>
                <w:kern w:val="0"/>
                <w:sz w:val="20"/>
                <w:szCs w:val="20"/>
              </w:rPr>
              <w:t>包括环镇绿道、旅游集散中心、游步道建设、景观节点打造、华盖山公园建设提升等。</w:t>
            </w:r>
          </w:p>
        </w:tc>
        <w:tc>
          <w:tcPr>
            <w:tcW w:w="105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南田镇武阳村等</w:t>
            </w:r>
            <w:r>
              <w:rPr>
                <w:rFonts w:ascii="宋体" w:hAnsi="宋体" w:cs="宋体"/>
                <w:kern w:val="0"/>
                <w:sz w:val="20"/>
                <w:szCs w:val="20"/>
              </w:rPr>
              <w:t>11</w:t>
            </w:r>
            <w:r>
              <w:rPr>
                <w:rFonts w:hint="eastAsia" w:ascii="宋体" w:hAnsi="宋体" w:cs="宋体"/>
                <w:kern w:val="0"/>
                <w:sz w:val="20"/>
                <w:szCs w:val="20"/>
              </w:rPr>
              <w:t>村</w:t>
            </w:r>
          </w:p>
        </w:tc>
        <w:tc>
          <w:tcPr>
            <w:tcW w:w="85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tc>
        <w:tc>
          <w:tcPr>
            <w:tcW w:w="8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2026-2032</w:t>
            </w:r>
          </w:p>
        </w:tc>
      </w:tr>
      <w:tr>
        <w:tblPrEx>
          <w:tblLayout w:type="fixed"/>
          <w:tblCellMar>
            <w:top w:w="0" w:type="dxa"/>
            <w:left w:w="108" w:type="dxa"/>
            <w:bottom w:w="0" w:type="dxa"/>
            <w:right w:w="108" w:type="dxa"/>
          </w:tblCellMar>
        </w:tblPrEx>
        <w:trPr>
          <w:trHeight w:val="720" w:hRule="atLeast"/>
          <w:jc w:val="center"/>
        </w:trPr>
        <w:tc>
          <w:tcPr>
            <w:tcW w:w="538"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16</w:t>
            </w:r>
          </w:p>
        </w:tc>
        <w:tc>
          <w:tcPr>
            <w:tcW w:w="144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文成县红色旅游资源挖掘与保护提升项目</w:t>
            </w:r>
          </w:p>
        </w:tc>
        <w:tc>
          <w:tcPr>
            <w:tcW w:w="425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深入挖掘李山书、红色侨联、珊溪孝文化等具有极高价值的特色红色文化挖掘，规划文成县红色旅游带，提升并新建一批红色文化场馆。</w:t>
            </w:r>
          </w:p>
        </w:tc>
        <w:tc>
          <w:tcPr>
            <w:tcW w:w="105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县域</w:t>
            </w:r>
          </w:p>
        </w:tc>
        <w:tc>
          <w:tcPr>
            <w:tcW w:w="85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w:t>
            </w:r>
          </w:p>
        </w:tc>
        <w:tc>
          <w:tcPr>
            <w:tcW w:w="82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2018-2027</w:t>
            </w:r>
          </w:p>
        </w:tc>
      </w:tr>
    </w:tbl>
    <w:p>
      <w:pPr>
        <w:keepNext/>
        <w:keepLines/>
        <w:spacing w:before="156" w:beforeLines="50"/>
        <w:ind w:left="142" w:firstLine="360" w:firstLineChars="150"/>
        <w:outlineLvl w:val="2"/>
        <w:rPr>
          <w:rFonts w:eastAsia="黑体"/>
          <w:bCs/>
          <w:kern w:val="0"/>
        </w:rPr>
      </w:pPr>
      <w:r>
        <w:rPr>
          <w:rFonts w:hint="eastAsia" w:eastAsia="黑体"/>
          <w:bCs/>
          <w:kern w:val="0"/>
        </w:rPr>
        <w:t>（三）旅游服务类</w:t>
      </w:r>
    </w:p>
    <w:p>
      <w:pPr>
        <w:ind w:firstLine="480"/>
      </w:pPr>
      <w:r>
        <w:rPr>
          <w:rFonts w:hint="eastAsia" w:cs="宋体"/>
        </w:rPr>
        <w:t>重点建设各级旅游服务设施，在环天顶湖、环飞云湖区域实施文旅振兴等项目，建设集旅游服务、滨水娱乐、休闲度假、民宿集群等多功能于一体的旅游综合项目，与景区形成旅游业态的互补。基本形成布局均衡、功能完善的旅游服务体系，完善高品质服务设施供给。</w:t>
      </w:r>
    </w:p>
    <w:p>
      <w:pPr>
        <w:ind w:firstLine="422"/>
        <w:jc w:val="center"/>
        <w:rPr>
          <w:b/>
          <w:sz w:val="21"/>
          <w:szCs w:val="21"/>
        </w:rPr>
      </w:pPr>
      <w:r>
        <w:rPr>
          <w:rFonts w:hint="eastAsia"/>
          <w:b/>
          <w:sz w:val="21"/>
          <w:szCs w:val="21"/>
        </w:rPr>
        <w:t>表7</w:t>
      </w:r>
      <w:r>
        <w:rPr>
          <w:b/>
          <w:sz w:val="21"/>
          <w:szCs w:val="21"/>
        </w:rPr>
        <w:t xml:space="preserve">-3 </w:t>
      </w:r>
      <w:r>
        <w:rPr>
          <w:rFonts w:hint="eastAsia"/>
          <w:b/>
          <w:sz w:val="21"/>
          <w:szCs w:val="21"/>
        </w:rPr>
        <w:t>旅游服务类近期项目规划一览表</w:t>
      </w:r>
    </w:p>
    <w:tbl>
      <w:tblPr>
        <w:tblStyle w:val="42"/>
        <w:tblW w:w="9044" w:type="dxa"/>
        <w:tblInd w:w="-5" w:type="dxa"/>
        <w:tblLayout w:type="fixed"/>
        <w:tblCellMar>
          <w:top w:w="0" w:type="dxa"/>
          <w:left w:w="108" w:type="dxa"/>
          <w:bottom w:w="0" w:type="dxa"/>
          <w:right w:w="108" w:type="dxa"/>
        </w:tblCellMar>
      </w:tblPr>
      <w:tblGrid>
        <w:gridCol w:w="618"/>
        <w:gridCol w:w="1133"/>
        <w:gridCol w:w="4061"/>
        <w:gridCol w:w="1307"/>
        <w:gridCol w:w="1126"/>
        <w:gridCol w:w="799"/>
      </w:tblGrid>
      <w:tr>
        <w:tblPrEx>
          <w:tblLayout w:type="fixed"/>
          <w:tblCellMar>
            <w:top w:w="0" w:type="dxa"/>
            <w:left w:w="108" w:type="dxa"/>
            <w:bottom w:w="0" w:type="dxa"/>
            <w:right w:w="108" w:type="dxa"/>
          </w:tblCellMar>
        </w:tblPrEx>
        <w:trPr>
          <w:trHeight w:val="480" w:hRule="atLeast"/>
          <w:tblHeader/>
        </w:trPr>
        <w:tc>
          <w:tcPr>
            <w:tcW w:w="618" w:type="dxa"/>
            <w:tcBorders>
              <w:top w:val="single" w:color="auto" w:sz="4" w:space="0"/>
              <w:left w:val="single" w:color="auto" w:sz="4" w:space="0"/>
              <w:bottom w:val="single" w:color="auto" w:sz="4" w:space="0"/>
              <w:right w:val="single" w:color="auto" w:sz="4" w:space="0"/>
            </w:tcBorders>
            <w:shd w:val="clear" w:color="auto" w:fill="E2E2E2"/>
            <w:vAlign w:val="center"/>
          </w:tcPr>
          <w:p>
            <w:pPr>
              <w:widowControl/>
              <w:adjustRightInd w:val="0"/>
              <w:snapToGrid w:val="0"/>
              <w:spacing w:line="240" w:lineRule="auto"/>
              <w:ind w:firstLine="0" w:firstLineChars="0"/>
              <w:jc w:val="center"/>
              <w:rPr>
                <w:rFonts w:ascii="宋体" w:hAnsi="宋体" w:cs="宋体"/>
                <w:b/>
                <w:bCs/>
                <w:kern w:val="0"/>
                <w:sz w:val="20"/>
                <w:szCs w:val="20"/>
              </w:rPr>
            </w:pPr>
            <w:r>
              <w:rPr>
                <w:rFonts w:hint="eastAsia" w:ascii="宋体" w:hAnsi="宋体" w:cs="宋体"/>
                <w:b/>
                <w:bCs/>
                <w:kern w:val="0"/>
                <w:sz w:val="20"/>
                <w:szCs w:val="20"/>
              </w:rPr>
              <w:t>序号</w:t>
            </w:r>
          </w:p>
        </w:tc>
        <w:tc>
          <w:tcPr>
            <w:tcW w:w="1133" w:type="dxa"/>
            <w:tcBorders>
              <w:top w:val="single" w:color="auto" w:sz="4" w:space="0"/>
              <w:left w:val="single" w:color="auto" w:sz="4" w:space="0"/>
              <w:bottom w:val="single" w:color="auto" w:sz="4" w:space="0"/>
              <w:right w:val="single" w:color="auto" w:sz="4" w:space="0"/>
            </w:tcBorders>
            <w:shd w:val="clear" w:color="auto" w:fill="E2E2E2"/>
            <w:vAlign w:val="center"/>
          </w:tcPr>
          <w:p>
            <w:pPr>
              <w:widowControl/>
              <w:adjustRightInd w:val="0"/>
              <w:snapToGrid w:val="0"/>
              <w:spacing w:line="240" w:lineRule="auto"/>
              <w:ind w:firstLine="0" w:firstLineChars="0"/>
              <w:jc w:val="center"/>
              <w:rPr>
                <w:rFonts w:ascii="宋体" w:hAnsi="宋体" w:cs="宋体"/>
                <w:b/>
                <w:bCs/>
                <w:kern w:val="0"/>
                <w:sz w:val="20"/>
                <w:szCs w:val="20"/>
              </w:rPr>
            </w:pPr>
            <w:r>
              <w:rPr>
                <w:rFonts w:hint="eastAsia" w:ascii="宋体" w:hAnsi="宋体" w:cs="宋体"/>
                <w:b/>
                <w:bCs/>
                <w:kern w:val="0"/>
                <w:sz w:val="20"/>
                <w:szCs w:val="20"/>
              </w:rPr>
              <w:t>项目名称</w:t>
            </w:r>
          </w:p>
        </w:tc>
        <w:tc>
          <w:tcPr>
            <w:tcW w:w="4061" w:type="dxa"/>
            <w:tcBorders>
              <w:top w:val="single" w:color="auto" w:sz="4" w:space="0"/>
              <w:left w:val="nil"/>
              <w:bottom w:val="single" w:color="auto" w:sz="4" w:space="0"/>
              <w:right w:val="single" w:color="auto" w:sz="4" w:space="0"/>
            </w:tcBorders>
            <w:shd w:val="clear" w:color="auto" w:fill="E2E2E2"/>
            <w:vAlign w:val="center"/>
          </w:tcPr>
          <w:p>
            <w:pPr>
              <w:widowControl/>
              <w:adjustRightInd w:val="0"/>
              <w:snapToGrid w:val="0"/>
              <w:spacing w:line="240" w:lineRule="auto"/>
              <w:ind w:firstLine="0" w:firstLineChars="0"/>
              <w:jc w:val="center"/>
              <w:rPr>
                <w:rFonts w:ascii="宋体" w:hAnsi="宋体" w:cs="宋体"/>
                <w:b/>
                <w:bCs/>
                <w:kern w:val="0"/>
                <w:sz w:val="20"/>
                <w:szCs w:val="20"/>
              </w:rPr>
            </w:pPr>
            <w:r>
              <w:rPr>
                <w:rFonts w:hint="eastAsia" w:ascii="宋体" w:hAnsi="宋体" w:cs="宋体"/>
                <w:b/>
                <w:bCs/>
                <w:kern w:val="0"/>
                <w:sz w:val="20"/>
                <w:szCs w:val="20"/>
              </w:rPr>
              <w:t>建设内容</w:t>
            </w:r>
          </w:p>
        </w:tc>
        <w:tc>
          <w:tcPr>
            <w:tcW w:w="1307" w:type="dxa"/>
            <w:tcBorders>
              <w:top w:val="single" w:color="auto" w:sz="4" w:space="0"/>
              <w:left w:val="nil"/>
              <w:bottom w:val="single" w:color="auto" w:sz="4" w:space="0"/>
              <w:right w:val="single" w:color="auto" w:sz="4" w:space="0"/>
            </w:tcBorders>
            <w:shd w:val="clear" w:color="auto" w:fill="E2E2E2"/>
            <w:vAlign w:val="center"/>
          </w:tcPr>
          <w:p>
            <w:pPr>
              <w:widowControl/>
              <w:adjustRightInd w:val="0"/>
              <w:snapToGrid w:val="0"/>
              <w:spacing w:line="240" w:lineRule="auto"/>
              <w:ind w:firstLine="0" w:firstLineChars="0"/>
              <w:jc w:val="center"/>
              <w:rPr>
                <w:rFonts w:ascii="宋体" w:hAnsi="宋体" w:cs="宋体"/>
                <w:b/>
                <w:bCs/>
                <w:kern w:val="0"/>
                <w:sz w:val="20"/>
                <w:szCs w:val="20"/>
              </w:rPr>
            </w:pPr>
            <w:r>
              <w:rPr>
                <w:rFonts w:hint="eastAsia" w:ascii="宋体" w:hAnsi="宋体" w:cs="宋体"/>
                <w:b/>
                <w:bCs/>
                <w:kern w:val="0"/>
                <w:sz w:val="20"/>
                <w:szCs w:val="20"/>
              </w:rPr>
              <w:t>建设地点</w:t>
            </w:r>
          </w:p>
        </w:tc>
        <w:tc>
          <w:tcPr>
            <w:tcW w:w="1126" w:type="dxa"/>
            <w:tcBorders>
              <w:top w:val="single" w:color="auto" w:sz="4" w:space="0"/>
              <w:left w:val="nil"/>
              <w:bottom w:val="single" w:color="auto" w:sz="4" w:space="0"/>
              <w:right w:val="single" w:color="auto" w:sz="4" w:space="0"/>
            </w:tcBorders>
            <w:shd w:val="clear" w:color="auto" w:fill="E2E2E2"/>
            <w:vAlign w:val="center"/>
          </w:tcPr>
          <w:p>
            <w:pPr>
              <w:widowControl/>
              <w:adjustRightInd w:val="0"/>
              <w:snapToGrid w:val="0"/>
              <w:spacing w:line="240" w:lineRule="auto"/>
              <w:ind w:firstLine="0" w:firstLineChars="0"/>
              <w:jc w:val="center"/>
              <w:rPr>
                <w:rFonts w:ascii="宋体" w:hAnsi="宋体" w:cs="宋体"/>
                <w:b/>
                <w:bCs/>
                <w:kern w:val="0"/>
                <w:sz w:val="20"/>
                <w:szCs w:val="20"/>
              </w:rPr>
            </w:pPr>
            <w:r>
              <w:rPr>
                <w:rFonts w:hint="eastAsia" w:ascii="宋体" w:hAnsi="宋体" w:cs="宋体"/>
                <w:b/>
                <w:bCs/>
                <w:kern w:val="0"/>
                <w:sz w:val="20"/>
                <w:szCs w:val="20"/>
              </w:rPr>
              <w:t>涉及保护分区</w:t>
            </w:r>
          </w:p>
        </w:tc>
        <w:tc>
          <w:tcPr>
            <w:tcW w:w="799" w:type="dxa"/>
            <w:tcBorders>
              <w:top w:val="single" w:color="auto" w:sz="4" w:space="0"/>
              <w:left w:val="nil"/>
              <w:bottom w:val="single" w:color="auto" w:sz="4" w:space="0"/>
              <w:right w:val="single" w:color="auto" w:sz="4" w:space="0"/>
            </w:tcBorders>
            <w:shd w:val="clear" w:color="auto" w:fill="E2E2E2"/>
            <w:vAlign w:val="center"/>
          </w:tcPr>
          <w:p>
            <w:pPr>
              <w:widowControl/>
              <w:adjustRightInd w:val="0"/>
              <w:snapToGrid w:val="0"/>
              <w:spacing w:line="240" w:lineRule="auto"/>
              <w:ind w:firstLine="0" w:firstLineChars="0"/>
              <w:jc w:val="center"/>
              <w:rPr>
                <w:rFonts w:ascii="宋体" w:hAnsi="宋体" w:cs="宋体"/>
                <w:b/>
                <w:bCs/>
                <w:kern w:val="0"/>
                <w:sz w:val="20"/>
                <w:szCs w:val="20"/>
              </w:rPr>
            </w:pPr>
            <w:r>
              <w:rPr>
                <w:rFonts w:hint="eastAsia" w:ascii="宋体" w:hAnsi="宋体" w:cs="宋体"/>
                <w:b/>
                <w:bCs/>
                <w:kern w:val="0"/>
                <w:sz w:val="20"/>
                <w:szCs w:val="20"/>
              </w:rPr>
              <w:t>实施年限</w:t>
            </w:r>
          </w:p>
        </w:tc>
      </w:tr>
      <w:tr>
        <w:tblPrEx>
          <w:tblLayout w:type="fixed"/>
          <w:tblCellMar>
            <w:top w:w="0" w:type="dxa"/>
            <w:left w:w="108" w:type="dxa"/>
            <w:bottom w:w="0" w:type="dxa"/>
            <w:right w:w="108" w:type="dxa"/>
          </w:tblCellMar>
        </w:tblPrEx>
        <w:trPr>
          <w:trHeight w:val="312" w:hRule="atLeast"/>
        </w:trPr>
        <w:tc>
          <w:tcPr>
            <w:tcW w:w="618"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1</w:t>
            </w:r>
          </w:p>
        </w:tc>
        <w:tc>
          <w:tcPr>
            <w:tcW w:w="113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梅花坑旅游服务提升工程</w:t>
            </w:r>
          </w:p>
        </w:tc>
        <w:tc>
          <w:tcPr>
            <w:tcW w:w="406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建设景区配套旅游服务设施，占地面积约</w:t>
            </w:r>
            <w:r>
              <w:rPr>
                <w:rFonts w:ascii="宋体" w:hAnsi="宋体" w:cs="宋体"/>
                <w:kern w:val="0"/>
                <w:sz w:val="20"/>
                <w:szCs w:val="20"/>
              </w:rPr>
              <w:t>2400亩</w:t>
            </w:r>
          </w:p>
        </w:tc>
        <w:tc>
          <w:tcPr>
            <w:tcW w:w="13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黄坦镇沙垟村</w:t>
            </w:r>
          </w:p>
        </w:tc>
        <w:tc>
          <w:tcPr>
            <w:tcW w:w="112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79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2026-2028</w:t>
            </w:r>
          </w:p>
        </w:tc>
      </w:tr>
      <w:tr>
        <w:tblPrEx>
          <w:tblLayout w:type="fixed"/>
          <w:tblCellMar>
            <w:top w:w="0" w:type="dxa"/>
            <w:left w:w="108" w:type="dxa"/>
            <w:bottom w:w="0" w:type="dxa"/>
            <w:right w:w="108" w:type="dxa"/>
          </w:tblCellMar>
        </w:tblPrEx>
        <w:trPr>
          <w:trHeight w:val="452" w:hRule="atLeast"/>
        </w:trPr>
        <w:tc>
          <w:tcPr>
            <w:tcW w:w="618"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2</w:t>
            </w:r>
          </w:p>
        </w:tc>
        <w:tc>
          <w:tcPr>
            <w:tcW w:w="113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环飞云湖文旅振兴项目</w:t>
            </w:r>
          </w:p>
        </w:tc>
        <w:tc>
          <w:tcPr>
            <w:tcW w:w="406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围绕飞云湖打造云湖旅游康养度假中心，完善环湖码头布局，建设观景平台；依托周边村落建设特色民宿、垂钓基地、环湖绿道、露营基地、房车基地、非遗体验地等文旅新型经济业态项目。</w:t>
            </w:r>
          </w:p>
        </w:tc>
        <w:tc>
          <w:tcPr>
            <w:tcW w:w="13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黄坦镇</w:t>
            </w:r>
            <w:r>
              <w:rPr>
                <w:rFonts w:ascii="宋体" w:hAnsi="宋体" w:cs="宋体"/>
                <w:kern w:val="0"/>
                <w:sz w:val="20"/>
                <w:szCs w:val="20"/>
              </w:rPr>
              <w:t>、珊溪镇</w:t>
            </w:r>
          </w:p>
        </w:tc>
        <w:tc>
          <w:tcPr>
            <w:tcW w:w="112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一级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tc>
        <w:tc>
          <w:tcPr>
            <w:tcW w:w="79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2025-2030</w:t>
            </w:r>
          </w:p>
        </w:tc>
      </w:tr>
      <w:tr>
        <w:tblPrEx>
          <w:tblLayout w:type="fixed"/>
          <w:tblCellMar>
            <w:top w:w="0" w:type="dxa"/>
            <w:left w:w="108" w:type="dxa"/>
            <w:bottom w:w="0" w:type="dxa"/>
            <w:right w:w="108" w:type="dxa"/>
          </w:tblCellMar>
        </w:tblPrEx>
        <w:trPr>
          <w:trHeight w:val="312" w:hRule="atLeast"/>
        </w:trPr>
        <w:tc>
          <w:tcPr>
            <w:tcW w:w="618"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3</w:t>
            </w:r>
          </w:p>
        </w:tc>
        <w:tc>
          <w:tcPr>
            <w:tcW w:w="113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稽垟田园风光旅游基地</w:t>
            </w:r>
          </w:p>
        </w:tc>
        <w:tc>
          <w:tcPr>
            <w:tcW w:w="406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结合田园景观打造度假露营基地</w:t>
            </w:r>
          </w:p>
        </w:tc>
        <w:tc>
          <w:tcPr>
            <w:tcW w:w="13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稽垟乡</w:t>
            </w:r>
          </w:p>
        </w:tc>
        <w:tc>
          <w:tcPr>
            <w:tcW w:w="112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79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2026-2028</w:t>
            </w:r>
          </w:p>
        </w:tc>
      </w:tr>
      <w:tr>
        <w:tblPrEx>
          <w:tblLayout w:type="fixed"/>
          <w:tblCellMar>
            <w:top w:w="0" w:type="dxa"/>
            <w:left w:w="108" w:type="dxa"/>
            <w:bottom w:w="0" w:type="dxa"/>
            <w:right w:w="108" w:type="dxa"/>
          </w:tblCellMar>
        </w:tblPrEx>
        <w:trPr>
          <w:trHeight w:val="1440" w:hRule="atLeast"/>
        </w:trPr>
        <w:tc>
          <w:tcPr>
            <w:tcW w:w="618"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4</w:t>
            </w:r>
          </w:p>
        </w:tc>
        <w:tc>
          <w:tcPr>
            <w:tcW w:w="113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珊溪水库移民村落乡村共富游览带</w:t>
            </w:r>
          </w:p>
        </w:tc>
        <w:tc>
          <w:tcPr>
            <w:tcW w:w="406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1、建设杨梅产业孵化园、杨梅出口基地、观光平台、游步道、杨梅品种园、杨梅采摘、避雨大棚、轨道车等；2、建设旅游接待服务中心等相关配套设施；3、建设农耕文化研学中心等相关配套设施；4、建设田园天然泳池、生态养殖基地、美丽田园等休闲设施</w:t>
            </w:r>
            <w:r>
              <w:rPr>
                <w:rFonts w:hint="eastAsia" w:ascii="宋体" w:hAnsi="宋体" w:cs="宋体"/>
                <w:kern w:val="0"/>
                <w:sz w:val="20"/>
                <w:szCs w:val="20"/>
              </w:rPr>
              <w:t>；5、建设仰山片万亩农业观光产业园</w:t>
            </w:r>
            <w:r>
              <w:rPr>
                <w:rFonts w:ascii="宋体" w:hAnsi="宋体" w:cs="宋体"/>
                <w:kern w:val="0"/>
                <w:sz w:val="20"/>
                <w:szCs w:val="20"/>
              </w:rPr>
              <w:t>。</w:t>
            </w:r>
          </w:p>
        </w:tc>
        <w:tc>
          <w:tcPr>
            <w:tcW w:w="13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珊溪镇</w:t>
            </w:r>
          </w:p>
        </w:tc>
        <w:tc>
          <w:tcPr>
            <w:tcW w:w="112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79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2025-2035</w:t>
            </w:r>
          </w:p>
        </w:tc>
      </w:tr>
      <w:tr>
        <w:tblPrEx>
          <w:tblLayout w:type="fixed"/>
          <w:tblCellMar>
            <w:top w:w="0" w:type="dxa"/>
            <w:left w:w="108" w:type="dxa"/>
            <w:bottom w:w="0" w:type="dxa"/>
            <w:right w:w="108" w:type="dxa"/>
          </w:tblCellMar>
        </w:tblPrEx>
        <w:trPr>
          <w:trHeight w:val="960" w:hRule="atLeast"/>
        </w:trPr>
        <w:tc>
          <w:tcPr>
            <w:tcW w:w="618"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5</w:t>
            </w:r>
          </w:p>
        </w:tc>
        <w:tc>
          <w:tcPr>
            <w:tcW w:w="113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福首源流域精品旅游带项目</w:t>
            </w:r>
          </w:p>
        </w:tc>
        <w:tc>
          <w:tcPr>
            <w:tcW w:w="406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改造利用现有古村落，建设精品民宿、露营地、康养基地等旅游服务设施，发展水上游赏、生态农业、健身康养、文创艺展等项目，形成精品旅游带。</w:t>
            </w:r>
          </w:p>
        </w:tc>
        <w:tc>
          <w:tcPr>
            <w:tcW w:w="13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珊溪镇</w:t>
            </w:r>
          </w:p>
        </w:tc>
        <w:tc>
          <w:tcPr>
            <w:tcW w:w="112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79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2025-2035</w:t>
            </w:r>
          </w:p>
        </w:tc>
      </w:tr>
      <w:tr>
        <w:tblPrEx>
          <w:tblLayout w:type="fixed"/>
          <w:tblCellMar>
            <w:top w:w="0" w:type="dxa"/>
            <w:left w:w="108" w:type="dxa"/>
            <w:bottom w:w="0" w:type="dxa"/>
            <w:right w:w="108" w:type="dxa"/>
          </w:tblCellMar>
        </w:tblPrEx>
        <w:trPr>
          <w:trHeight w:val="720" w:hRule="atLeast"/>
        </w:trPr>
        <w:tc>
          <w:tcPr>
            <w:tcW w:w="618"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6</w:t>
            </w:r>
          </w:p>
        </w:tc>
        <w:tc>
          <w:tcPr>
            <w:tcW w:w="113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松坑未来文旅融合村</w:t>
            </w:r>
          </w:p>
        </w:tc>
        <w:tc>
          <w:tcPr>
            <w:tcW w:w="406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建设民宿、星空迷彩农家乐、游步道、停车场、垂钓、公厕、游客服务中心、松根码头等旅游配套设施。</w:t>
            </w:r>
          </w:p>
        </w:tc>
        <w:tc>
          <w:tcPr>
            <w:tcW w:w="13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珊溪镇松坑村</w:t>
            </w:r>
          </w:p>
        </w:tc>
        <w:tc>
          <w:tcPr>
            <w:tcW w:w="112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79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2025-2035</w:t>
            </w:r>
          </w:p>
        </w:tc>
      </w:tr>
      <w:tr>
        <w:tblPrEx>
          <w:tblLayout w:type="fixed"/>
          <w:tblCellMar>
            <w:top w:w="0" w:type="dxa"/>
            <w:left w:w="108" w:type="dxa"/>
            <w:bottom w:w="0" w:type="dxa"/>
            <w:right w:w="108" w:type="dxa"/>
          </w:tblCellMar>
        </w:tblPrEx>
        <w:trPr>
          <w:trHeight w:val="480" w:hRule="atLeast"/>
        </w:trPr>
        <w:tc>
          <w:tcPr>
            <w:tcW w:w="618"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7</w:t>
            </w:r>
          </w:p>
        </w:tc>
        <w:tc>
          <w:tcPr>
            <w:tcW w:w="113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云江文旅体休闲带项目</w:t>
            </w:r>
          </w:p>
        </w:tc>
        <w:tc>
          <w:tcPr>
            <w:tcW w:w="406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依托飞云江地形地貌，深入挖掘云江文化，植入云江文艺人才孵化项目，发展水文化体育运动，建设沿江跑道、体育场馆、游泳基地、水文化博物馆等设施，打造月光山水文化水上展影带。</w:t>
            </w:r>
          </w:p>
        </w:tc>
        <w:tc>
          <w:tcPr>
            <w:tcW w:w="13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珊溪镇</w:t>
            </w:r>
          </w:p>
        </w:tc>
        <w:tc>
          <w:tcPr>
            <w:tcW w:w="112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79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2025-2035</w:t>
            </w:r>
          </w:p>
        </w:tc>
      </w:tr>
      <w:tr>
        <w:tblPrEx>
          <w:tblLayout w:type="fixed"/>
          <w:tblCellMar>
            <w:top w:w="0" w:type="dxa"/>
            <w:left w:w="108" w:type="dxa"/>
            <w:bottom w:w="0" w:type="dxa"/>
            <w:right w:w="108" w:type="dxa"/>
          </w:tblCellMar>
        </w:tblPrEx>
        <w:trPr>
          <w:trHeight w:val="480" w:hRule="atLeast"/>
        </w:trPr>
        <w:tc>
          <w:tcPr>
            <w:tcW w:w="618"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8</w:t>
            </w:r>
          </w:p>
        </w:tc>
        <w:tc>
          <w:tcPr>
            <w:tcW w:w="113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珊溪坑流域旅游发展项目</w:t>
            </w:r>
          </w:p>
        </w:tc>
        <w:tc>
          <w:tcPr>
            <w:tcW w:w="406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以新西坑水库建设为契机，充分利用珊溪坑河道资源，锚定</w:t>
            </w:r>
            <w:r>
              <w:rPr>
                <w:rFonts w:ascii="宋体" w:hAnsi="宋体" w:cs="宋体"/>
                <w:kern w:val="0"/>
                <w:sz w:val="20"/>
                <w:szCs w:val="20"/>
              </w:rPr>
              <w:t>4A</w:t>
            </w:r>
            <w:r>
              <w:rPr>
                <w:rFonts w:hint="eastAsia" w:ascii="宋体" w:hAnsi="宋体" w:cs="宋体"/>
                <w:kern w:val="0"/>
                <w:sz w:val="20"/>
                <w:szCs w:val="20"/>
              </w:rPr>
              <w:t>级旅游景区目标，打造集亲子娱乐、文化传承、旅游观光为一体的园区，建设新西坑水库、天然泳池、漂流、沙滩、环库绿道及景观桥等配套设施。</w:t>
            </w:r>
          </w:p>
        </w:tc>
        <w:tc>
          <w:tcPr>
            <w:tcW w:w="13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珊溪镇</w:t>
            </w:r>
          </w:p>
        </w:tc>
        <w:tc>
          <w:tcPr>
            <w:tcW w:w="112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79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2025-2035</w:t>
            </w:r>
          </w:p>
        </w:tc>
      </w:tr>
      <w:tr>
        <w:tblPrEx>
          <w:tblLayout w:type="fixed"/>
          <w:tblCellMar>
            <w:top w:w="0" w:type="dxa"/>
            <w:left w:w="108" w:type="dxa"/>
            <w:bottom w:w="0" w:type="dxa"/>
            <w:right w:w="108" w:type="dxa"/>
          </w:tblCellMar>
        </w:tblPrEx>
        <w:trPr>
          <w:trHeight w:val="720" w:hRule="atLeast"/>
        </w:trPr>
        <w:tc>
          <w:tcPr>
            <w:tcW w:w="618"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9</w:t>
            </w:r>
          </w:p>
        </w:tc>
        <w:tc>
          <w:tcPr>
            <w:tcW w:w="113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环江月光经济区</w:t>
            </w:r>
          </w:p>
        </w:tc>
        <w:tc>
          <w:tcPr>
            <w:tcW w:w="406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依托飞云江鱼头品牌效益，打造“江湖鲜”风情美食街、云澜观邸移民产业街，改造提升大桥路</w:t>
            </w:r>
            <w:r>
              <w:rPr>
                <w:rFonts w:ascii="宋体" w:hAnsi="宋体" w:cs="宋体"/>
                <w:kern w:val="0"/>
                <w:sz w:val="20"/>
                <w:szCs w:val="20"/>
              </w:rPr>
              <w:t>-</w:t>
            </w:r>
            <w:r>
              <w:rPr>
                <w:rFonts w:hint="eastAsia" w:ascii="宋体" w:hAnsi="宋体" w:cs="宋体"/>
                <w:kern w:val="0"/>
                <w:sz w:val="20"/>
                <w:szCs w:val="20"/>
              </w:rPr>
              <w:t>坦岐桥</w:t>
            </w:r>
            <w:r>
              <w:rPr>
                <w:rFonts w:ascii="宋体" w:hAnsi="宋体" w:cs="宋体"/>
                <w:kern w:val="0"/>
                <w:sz w:val="20"/>
                <w:szCs w:val="20"/>
              </w:rPr>
              <w:t>-</w:t>
            </w:r>
            <w:r>
              <w:rPr>
                <w:rFonts w:hint="eastAsia" w:ascii="宋体" w:hAnsi="宋体" w:cs="宋体"/>
                <w:kern w:val="0"/>
                <w:sz w:val="20"/>
                <w:szCs w:val="20"/>
              </w:rPr>
              <w:t>滩头驿站</w:t>
            </w:r>
            <w:r>
              <w:rPr>
                <w:rFonts w:ascii="宋体" w:hAnsi="宋体" w:cs="宋体"/>
                <w:kern w:val="0"/>
                <w:sz w:val="20"/>
                <w:szCs w:val="20"/>
              </w:rPr>
              <w:t>-</w:t>
            </w:r>
            <w:r>
              <w:rPr>
                <w:rFonts w:hint="eastAsia" w:ascii="宋体" w:hAnsi="宋体" w:cs="宋体"/>
                <w:kern w:val="0"/>
                <w:sz w:val="20"/>
                <w:szCs w:val="20"/>
              </w:rPr>
              <w:t>滩头美食，植入夜间文化演艺等现代经济业态，谋划环江夜间赛事、夜间研学培训等，打造吃住行娱游购为一体的月光经济集聚区。</w:t>
            </w:r>
          </w:p>
        </w:tc>
        <w:tc>
          <w:tcPr>
            <w:tcW w:w="13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珊溪镇</w:t>
            </w:r>
          </w:p>
        </w:tc>
        <w:tc>
          <w:tcPr>
            <w:tcW w:w="112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79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2025-2035</w:t>
            </w:r>
          </w:p>
        </w:tc>
      </w:tr>
      <w:tr>
        <w:tblPrEx>
          <w:tblLayout w:type="fixed"/>
          <w:tblCellMar>
            <w:top w:w="0" w:type="dxa"/>
            <w:left w:w="108" w:type="dxa"/>
            <w:bottom w:w="0" w:type="dxa"/>
            <w:right w:w="108" w:type="dxa"/>
          </w:tblCellMar>
        </w:tblPrEx>
        <w:trPr>
          <w:trHeight w:val="1200" w:hRule="atLeast"/>
        </w:trPr>
        <w:tc>
          <w:tcPr>
            <w:tcW w:w="618"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1</w:t>
            </w:r>
            <w:r>
              <w:rPr>
                <w:rFonts w:ascii="宋体" w:hAnsi="宋体" w:cs="宋体"/>
                <w:kern w:val="0"/>
                <w:sz w:val="20"/>
                <w:szCs w:val="20"/>
              </w:rPr>
              <w:t>0</w:t>
            </w:r>
          </w:p>
        </w:tc>
        <w:tc>
          <w:tcPr>
            <w:tcW w:w="113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珊溪医养综合体项目</w:t>
            </w:r>
          </w:p>
        </w:tc>
        <w:tc>
          <w:tcPr>
            <w:tcW w:w="406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依托珊溪镇森林等自然资源，打造以康养为主的百万山医养综合体项目，用地面积</w:t>
            </w:r>
            <w:r>
              <w:rPr>
                <w:rFonts w:ascii="宋体" w:hAnsi="宋体" w:cs="宋体"/>
                <w:kern w:val="0"/>
                <w:sz w:val="20"/>
                <w:szCs w:val="20"/>
              </w:rPr>
              <w:t>228.89</w:t>
            </w:r>
            <w:r>
              <w:rPr>
                <w:rFonts w:hint="eastAsia" w:ascii="宋体" w:hAnsi="宋体" w:cs="宋体"/>
                <w:kern w:val="0"/>
                <w:sz w:val="20"/>
                <w:szCs w:val="20"/>
              </w:rPr>
              <w:t>亩，开发潭湾片区康养项目，用地面积</w:t>
            </w:r>
            <w:r>
              <w:rPr>
                <w:rFonts w:ascii="宋体" w:hAnsi="宋体" w:cs="宋体"/>
                <w:kern w:val="0"/>
                <w:sz w:val="20"/>
                <w:szCs w:val="20"/>
              </w:rPr>
              <w:t>18252</w:t>
            </w:r>
            <w:r>
              <w:rPr>
                <w:rFonts w:hint="eastAsia" w:ascii="宋体" w:hAnsi="宋体" w:cs="宋体"/>
                <w:kern w:val="0"/>
                <w:sz w:val="20"/>
                <w:szCs w:val="20"/>
              </w:rPr>
              <w:t>平方米，发展森林康养新业态新产品。</w:t>
            </w:r>
          </w:p>
        </w:tc>
        <w:tc>
          <w:tcPr>
            <w:tcW w:w="13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珊溪镇</w:t>
            </w:r>
          </w:p>
        </w:tc>
        <w:tc>
          <w:tcPr>
            <w:tcW w:w="112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79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2025-2035</w:t>
            </w:r>
          </w:p>
        </w:tc>
      </w:tr>
      <w:tr>
        <w:tblPrEx>
          <w:tblLayout w:type="fixed"/>
          <w:tblCellMar>
            <w:top w:w="0" w:type="dxa"/>
            <w:left w:w="108" w:type="dxa"/>
            <w:bottom w:w="0" w:type="dxa"/>
            <w:right w:w="108" w:type="dxa"/>
          </w:tblCellMar>
        </w:tblPrEx>
        <w:trPr>
          <w:trHeight w:val="480" w:hRule="atLeast"/>
        </w:trPr>
        <w:tc>
          <w:tcPr>
            <w:tcW w:w="618"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1</w:t>
            </w:r>
            <w:r>
              <w:rPr>
                <w:rFonts w:ascii="宋体" w:hAnsi="宋体" w:cs="宋体"/>
                <w:kern w:val="0"/>
                <w:sz w:val="20"/>
                <w:szCs w:val="20"/>
              </w:rPr>
              <w:t>1</w:t>
            </w:r>
          </w:p>
        </w:tc>
        <w:tc>
          <w:tcPr>
            <w:tcW w:w="113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铜铃山户外探险补给营地项目</w:t>
            </w:r>
          </w:p>
        </w:tc>
        <w:tc>
          <w:tcPr>
            <w:tcW w:w="406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主要针对镇域范围内适用于发展营地经济的地块进行整治提升，加强基础配套建设，形成经济产业。</w:t>
            </w:r>
          </w:p>
        </w:tc>
        <w:tc>
          <w:tcPr>
            <w:tcW w:w="13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铜铃山镇</w:t>
            </w:r>
          </w:p>
        </w:tc>
        <w:tc>
          <w:tcPr>
            <w:tcW w:w="112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tc>
        <w:tc>
          <w:tcPr>
            <w:tcW w:w="79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2025-2027</w:t>
            </w:r>
          </w:p>
        </w:tc>
      </w:tr>
      <w:tr>
        <w:tblPrEx>
          <w:tblLayout w:type="fixed"/>
          <w:tblCellMar>
            <w:top w:w="0" w:type="dxa"/>
            <w:left w:w="108" w:type="dxa"/>
            <w:bottom w:w="0" w:type="dxa"/>
            <w:right w:w="108" w:type="dxa"/>
          </w:tblCellMar>
        </w:tblPrEx>
        <w:trPr>
          <w:trHeight w:val="832" w:hRule="atLeast"/>
        </w:trPr>
        <w:tc>
          <w:tcPr>
            <w:tcW w:w="618"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1</w:t>
            </w:r>
            <w:r>
              <w:rPr>
                <w:rFonts w:ascii="宋体" w:hAnsi="宋体" w:cs="宋体"/>
                <w:kern w:val="0"/>
                <w:sz w:val="20"/>
                <w:szCs w:val="20"/>
              </w:rPr>
              <w:t>2</w:t>
            </w:r>
          </w:p>
        </w:tc>
        <w:tc>
          <w:tcPr>
            <w:tcW w:w="113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铜铃山旅游研学培训综合体项目</w:t>
            </w:r>
          </w:p>
        </w:tc>
        <w:tc>
          <w:tcPr>
            <w:tcW w:w="406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构建一个集教育培训、生态康养、运动拓展、休闲度假、文化体验为一体的综合配套区，实现吃住行娱游购教育培训的一条龙服务。</w:t>
            </w:r>
          </w:p>
        </w:tc>
        <w:tc>
          <w:tcPr>
            <w:tcW w:w="13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铜铃山镇</w:t>
            </w:r>
          </w:p>
        </w:tc>
        <w:tc>
          <w:tcPr>
            <w:tcW w:w="112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79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2025-2035</w:t>
            </w:r>
          </w:p>
        </w:tc>
      </w:tr>
      <w:tr>
        <w:tblPrEx>
          <w:tblLayout w:type="fixed"/>
          <w:tblCellMar>
            <w:top w:w="0" w:type="dxa"/>
            <w:left w:w="108" w:type="dxa"/>
            <w:bottom w:w="0" w:type="dxa"/>
            <w:right w:w="108" w:type="dxa"/>
          </w:tblCellMar>
        </w:tblPrEx>
        <w:trPr>
          <w:trHeight w:val="960" w:hRule="atLeast"/>
        </w:trPr>
        <w:tc>
          <w:tcPr>
            <w:tcW w:w="618"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1</w:t>
            </w:r>
            <w:r>
              <w:rPr>
                <w:rFonts w:ascii="宋体" w:hAnsi="宋体" w:cs="宋体"/>
                <w:kern w:val="0"/>
                <w:sz w:val="20"/>
                <w:szCs w:val="20"/>
              </w:rPr>
              <w:t>3</w:t>
            </w:r>
          </w:p>
        </w:tc>
        <w:tc>
          <w:tcPr>
            <w:tcW w:w="113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铜铃山高山运动基地建设项目</w:t>
            </w:r>
          </w:p>
        </w:tc>
        <w:tc>
          <w:tcPr>
            <w:tcW w:w="406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left"/>
              <w:rPr>
                <w:rFonts w:ascii="宋体" w:hAnsi="宋体" w:cs="宋体"/>
                <w:kern w:val="0"/>
                <w:sz w:val="20"/>
                <w:szCs w:val="20"/>
              </w:rPr>
            </w:pPr>
            <w:r>
              <w:rPr>
                <w:rFonts w:hint="eastAsia" w:ascii="宋体" w:hAnsi="宋体" w:cs="宋体"/>
                <w:kern w:val="0"/>
                <w:sz w:val="20"/>
                <w:szCs w:val="20"/>
              </w:rPr>
              <w:t>发展高山特色运动产业，开发建设冰雪运动、丛林越野、汽摩公园、野外露营等相关体育场地及配套。</w:t>
            </w:r>
          </w:p>
        </w:tc>
        <w:tc>
          <w:tcPr>
            <w:tcW w:w="13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铜铃山镇猴王谷、月老山</w:t>
            </w:r>
          </w:p>
        </w:tc>
        <w:tc>
          <w:tcPr>
            <w:tcW w:w="112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tc>
        <w:tc>
          <w:tcPr>
            <w:tcW w:w="79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2025-2027</w:t>
            </w:r>
          </w:p>
        </w:tc>
      </w:tr>
      <w:tr>
        <w:tblPrEx>
          <w:tblLayout w:type="fixed"/>
          <w:tblCellMar>
            <w:top w:w="0" w:type="dxa"/>
            <w:left w:w="108" w:type="dxa"/>
            <w:bottom w:w="0" w:type="dxa"/>
            <w:right w:w="108" w:type="dxa"/>
          </w:tblCellMar>
        </w:tblPrEx>
        <w:trPr>
          <w:trHeight w:val="960" w:hRule="atLeast"/>
        </w:trPr>
        <w:tc>
          <w:tcPr>
            <w:tcW w:w="618"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1</w:t>
            </w:r>
            <w:r>
              <w:rPr>
                <w:rFonts w:ascii="宋体" w:hAnsi="宋体" w:cs="宋体"/>
                <w:kern w:val="0"/>
                <w:sz w:val="20"/>
                <w:szCs w:val="20"/>
              </w:rPr>
              <w:t>4</w:t>
            </w:r>
          </w:p>
        </w:tc>
        <w:tc>
          <w:tcPr>
            <w:tcW w:w="113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文成县西段休闲村（海陆空）基地配套项目</w:t>
            </w:r>
          </w:p>
        </w:tc>
        <w:tc>
          <w:tcPr>
            <w:tcW w:w="406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left"/>
              <w:rPr>
                <w:rFonts w:ascii="宋体" w:hAnsi="宋体" w:cs="宋体"/>
                <w:kern w:val="0"/>
                <w:sz w:val="20"/>
                <w:szCs w:val="20"/>
              </w:rPr>
            </w:pPr>
            <w:r>
              <w:rPr>
                <w:rFonts w:hint="eastAsia" w:ascii="宋体" w:hAnsi="宋体" w:cs="宋体"/>
                <w:kern w:val="0"/>
                <w:sz w:val="20"/>
                <w:szCs w:val="20"/>
              </w:rPr>
              <w:t>完善西段基础设施系统、植入网红体育经济项目，打造以“海陆空”为主题的网红经济，户外运动探险体验的全域三栖运动特色村</w:t>
            </w:r>
          </w:p>
        </w:tc>
        <w:tc>
          <w:tcPr>
            <w:tcW w:w="13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百丈漈镇</w:t>
            </w:r>
          </w:p>
        </w:tc>
        <w:tc>
          <w:tcPr>
            <w:tcW w:w="112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tc>
        <w:tc>
          <w:tcPr>
            <w:tcW w:w="79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2024-2026</w:t>
            </w:r>
          </w:p>
        </w:tc>
      </w:tr>
      <w:tr>
        <w:tblPrEx>
          <w:tblLayout w:type="fixed"/>
          <w:tblCellMar>
            <w:top w:w="0" w:type="dxa"/>
            <w:left w:w="108" w:type="dxa"/>
            <w:bottom w:w="0" w:type="dxa"/>
            <w:right w:w="108" w:type="dxa"/>
          </w:tblCellMar>
        </w:tblPrEx>
        <w:trPr>
          <w:trHeight w:val="1440" w:hRule="atLeast"/>
        </w:trPr>
        <w:tc>
          <w:tcPr>
            <w:tcW w:w="618"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1</w:t>
            </w:r>
            <w:r>
              <w:rPr>
                <w:rFonts w:ascii="宋体" w:hAnsi="宋体" w:cs="宋体"/>
                <w:kern w:val="0"/>
                <w:sz w:val="20"/>
                <w:szCs w:val="20"/>
              </w:rPr>
              <w:t>5</w:t>
            </w:r>
          </w:p>
        </w:tc>
        <w:tc>
          <w:tcPr>
            <w:tcW w:w="113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篁庄村岙底、曲龙底村综合整治开发项目</w:t>
            </w:r>
          </w:p>
        </w:tc>
        <w:tc>
          <w:tcPr>
            <w:tcW w:w="406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挖掘岙底、曲龙底村旅游资源，对整村进行统一规划，打造原生态休闲度假村，促进古村落旅游业发展，提升当地经济发展水平，增加农民收入。优化古村落人居环境，提升乡村整体形象。整治提升篁庄村排污管道，建设智能化排水系统。</w:t>
            </w:r>
          </w:p>
        </w:tc>
        <w:tc>
          <w:tcPr>
            <w:tcW w:w="13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百丈漈镇篁庄村</w:t>
            </w:r>
          </w:p>
        </w:tc>
        <w:tc>
          <w:tcPr>
            <w:tcW w:w="112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tc>
        <w:tc>
          <w:tcPr>
            <w:tcW w:w="79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2025-2027</w:t>
            </w:r>
          </w:p>
        </w:tc>
      </w:tr>
      <w:tr>
        <w:tblPrEx>
          <w:tblLayout w:type="fixed"/>
          <w:tblCellMar>
            <w:top w:w="0" w:type="dxa"/>
            <w:left w:w="108" w:type="dxa"/>
            <w:bottom w:w="0" w:type="dxa"/>
            <w:right w:w="108" w:type="dxa"/>
          </w:tblCellMar>
        </w:tblPrEx>
        <w:trPr>
          <w:trHeight w:val="720" w:hRule="atLeast"/>
        </w:trPr>
        <w:tc>
          <w:tcPr>
            <w:tcW w:w="618"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1</w:t>
            </w:r>
            <w:r>
              <w:rPr>
                <w:rFonts w:ascii="宋体" w:hAnsi="宋体" w:cs="宋体"/>
                <w:kern w:val="0"/>
                <w:sz w:val="20"/>
                <w:szCs w:val="20"/>
              </w:rPr>
              <w:t>6</w:t>
            </w:r>
          </w:p>
        </w:tc>
        <w:tc>
          <w:tcPr>
            <w:tcW w:w="113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天顶湖水上经济项目</w:t>
            </w:r>
          </w:p>
        </w:tc>
        <w:tc>
          <w:tcPr>
            <w:tcW w:w="406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开展水上运动、水上演绎、夜游等项目，用地面积约</w:t>
            </w:r>
            <w:r>
              <w:rPr>
                <w:rFonts w:ascii="宋体" w:hAnsi="宋体" w:cs="宋体"/>
                <w:kern w:val="0"/>
                <w:sz w:val="20"/>
                <w:szCs w:val="20"/>
              </w:rPr>
              <w:t>70亩。</w:t>
            </w:r>
          </w:p>
        </w:tc>
        <w:tc>
          <w:tcPr>
            <w:tcW w:w="13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百丈漈镇</w:t>
            </w:r>
          </w:p>
        </w:tc>
        <w:tc>
          <w:tcPr>
            <w:tcW w:w="112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tc>
        <w:tc>
          <w:tcPr>
            <w:tcW w:w="79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2025-2030</w:t>
            </w:r>
          </w:p>
        </w:tc>
      </w:tr>
      <w:tr>
        <w:tblPrEx>
          <w:tblLayout w:type="fixed"/>
          <w:tblCellMar>
            <w:top w:w="0" w:type="dxa"/>
            <w:left w:w="108" w:type="dxa"/>
            <w:bottom w:w="0" w:type="dxa"/>
            <w:right w:w="108" w:type="dxa"/>
          </w:tblCellMar>
        </w:tblPrEx>
        <w:trPr>
          <w:trHeight w:val="960" w:hRule="atLeast"/>
        </w:trPr>
        <w:tc>
          <w:tcPr>
            <w:tcW w:w="618"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1</w:t>
            </w:r>
            <w:r>
              <w:rPr>
                <w:rFonts w:ascii="宋体" w:hAnsi="宋体" w:cs="宋体"/>
                <w:kern w:val="0"/>
                <w:sz w:val="20"/>
                <w:szCs w:val="20"/>
              </w:rPr>
              <w:t>7</w:t>
            </w:r>
          </w:p>
        </w:tc>
        <w:tc>
          <w:tcPr>
            <w:tcW w:w="113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天湖山地休闲运动度假胜地</w:t>
            </w:r>
          </w:p>
        </w:tc>
        <w:tc>
          <w:tcPr>
            <w:tcW w:w="406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建设天湖森林康养中心，完善林间游步道系统；建设天顶湖生态农庄二期，打造国内一流的山地型休闲运动度假胜地</w:t>
            </w:r>
          </w:p>
        </w:tc>
        <w:tc>
          <w:tcPr>
            <w:tcW w:w="13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百丈漈镇大会村</w:t>
            </w:r>
          </w:p>
        </w:tc>
        <w:tc>
          <w:tcPr>
            <w:tcW w:w="112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tc>
        <w:tc>
          <w:tcPr>
            <w:tcW w:w="79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2023-2026</w:t>
            </w:r>
          </w:p>
        </w:tc>
      </w:tr>
      <w:tr>
        <w:tblPrEx>
          <w:tblLayout w:type="fixed"/>
          <w:tblCellMar>
            <w:top w:w="0" w:type="dxa"/>
            <w:left w:w="108" w:type="dxa"/>
            <w:bottom w:w="0" w:type="dxa"/>
            <w:right w:w="108" w:type="dxa"/>
          </w:tblCellMar>
        </w:tblPrEx>
        <w:trPr>
          <w:trHeight w:val="1200" w:hRule="atLeast"/>
        </w:trPr>
        <w:tc>
          <w:tcPr>
            <w:tcW w:w="618"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highlight w:val="yellow"/>
              </w:rPr>
            </w:pPr>
            <w:r>
              <w:rPr>
                <w:rFonts w:hint="eastAsia" w:ascii="宋体" w:hAnsi="宋体" w:cs="宋体"/>
                <w:kern w:val="0"/>
                <w:sz w:val="20"/>
                <w:szCs w:val="20"/>
              </w:rPr>
              <w:t>1</w:t>
            </w:r>
            <w:r>
              <w:rPr>
                <w:rFonts w:ascii="宋体" w:hAnsi="宋体" w:cs="宋体"/>
                <w:kern w:val="0"/>
                <w:sz w:val="20"/>
                <w:szCs w:val="20"/>
              </w:rPr>
              <w:t>8</w:t>
            </w:r>
          </w:p>
        </w:tc>
        <w:tc>
          <w:tcPr>
            <w:tcW w:w="113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highlight w:val="yellow"/>
              </w:rPr>
            </w:pPr>
            <w:r>
              <w:rPr>
                <w:rFonts w:hint="eastAsia" w:ascii="宋体" w:hAnsi="宋体" w:cs="宋体"/>
                <w:kern w:val="0"/>
                <w:sz w:val="20"/>
                <w:szCs w:val="20"/>
              </w:rPr>
              <w:t>环天湖环境综合整治和生态旅游产业融合开发</w:t>
            </w:r>
            <w:r>
              <w:rPr>
                <w:rFonts w:ascii="宋体" w:hAnsi="宋体" w:cs="宋体"/>
                <w:kern w:val="0"/>
                <w:sz w:val="20"/>
                <w:szCs w:val="20"/>
              </w:rPr>
              <w:t>(EOD)</w:t>
            </w:r>
            <w:r>
              <w:rPr>
                <w:rFonts w:hint="eastAsia" w:ascii="宋体" w:hAnsi="宋体" w:cs="宋体"/>
                <w:kern w:val="0"/>
                <w:sz w:val="20"/>
                <w:szCs w:val="20"/>
              </w:rPr>
              <w:t>项目</w:t>
            </w:r>
          </w:p>
        </w:tc>
        <w:tc>
          <w:tcPr>
            <w:tcW w:w="406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总投资</w:t>
            </w:r>
            <w:r>
              <w:rPr>
                <w:rFonts w:ascii="宋体" w:hAnsi="宋体" w:cs="宋体"/>
                <w:kern w:val="0"/>
                <w:sz w:val="20"/>
                <w:szCs w:val="20"/>
              </w:rPr>
              <w:t>14.76</w:t>
            </w:r>
            <w:r>
              <w:rPr>
                <w:rFonts w:hint="eastAsia" w:ascii="宋体" w:hAnsi="宋体" w:cs="宋体"/>
                <w:kern w:val="0"/>
                <w:sz w:val="20"/>
                <w:szCs w:val="20"/>
              </w:rPr>
              <w:t>亿元，包括天顶湖生态环境综合整治项目、天顶湖大峡谷生态旅游开发项目、天顶湖体育运动中心开发项目和天顶湖旅游服务体开发项目等</w:t>
            </w:r>
            <w:r>
              <w:rPr>
                <w:rFonts w:ascii="宋体" w:hAnsi="宋体" w:cs="宋体"/>
                <w:kern w:val="0"/>
                <w:sz w:val="20"/>
                <w:szCs w:val="20"/>
              </w:rPr>
              <w:t>4</w:t>
            </w:r>
            <w:r>
              <w:rPr>
                <w:rFonts w:hint="eastAsia" w:ascii="宋体" w:hAnsi="宋体" w:cs="宋体"/>
                <w:kern w:val="0"/>
                <w:sz w:val="20"/>
                <w:szCs w:val="20"/>
              </w:rPr>
              <w:t>个子项目。</w:t>
            </w:r>
          </w:p>
        </w:tc>
        <w:tc>
          <w:tcPr>
            <w:tcW w:w="13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南田镇</w:t>
            </w:r>
            <w:r>
              <w:rPr>
                <w:rFonts w:ascii="宋体" w:hAnsi="宋体" w:cs="宋体"/>
                <w:kern w:val="0"/>
                <w:sz w:val="20"/>
                <w:szCs w:val="20"/>
              </w:rPr>
              <w:t xml:space="preserve"> </w:t>
            </w:r>
            <w:r>
              <w:rPr>
                <w:rFonts w:hint="eastAsia" w:ascii="宋体" w:hAnsi="宋体" w:cs="宋体"/>
                <w:kern w:val="0"/>
                <w:sz w:val="20"/>
                <w:szCs w:val="20"/>
              </w:rPr>
              <w:t>、二源镇、百丈漈镇</w:t>
            </w:r>
          </w:p>
        </w:tc>
        <w:tc>
          <w:tcPr>
            <w:tcW w:w="112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tc>
        <w:tc>
          <w:tcPr>
            <w:tcW w:w="79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2025-2027</w:t>
            </w:r>
          </w:p>
        </w:tc>
      </w:tr>
      <w:tr>
        <w:tblPrEx>
          <w:tblLayout w:type="fixed"/>
          <w:tblCellMar>
            <w:top w:w="0" w:type="dxa"/>
            <w:left w:w="108" w:type="dxa"/>
            <w:bottom w:w="0" w:type="dxa"/>
            <w:right w:w="108" w:type="dxa"/>
          </w:tblCellMar>
        </w:tblPrEx>
        <w:trPr>
          <w:trHeight w:val="480" w:hRule="atLeast"/>
        </w:trPr>
        <w:tc>
          <w:tcPr>
            <w:tcW w:w="618"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1</w:t>
            </w:r>
            <w:r>
              <w:rPr>
                <w:rFonts w:ascii="宋体" w:hAnsi="宋体" w:cs="宋体"/>
                <w:kern w:val="0"/>
                <w:sz w:val="20"/>
                <w:szCs w:val="20"/>
              </w:rPr>
              <w:t>9</w:t>
            </w:r>
          </w:p>
        </w:tc>
        <w:tc>
          <w:tcPr>
            <w:tcW w:w="113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highlight w:val="yellow"/>
              </w:rPr>
            </w:pPr>
            <w:r>
              <w:rPr>
                <w:rFonts w:hint="eastAsia" w:ascii="宋体" w:hAnsi="宋体" w:cs="宋体"/>
                <w:kern w:val="0"/>
                <w:sz w:val="20"/>
                <w:szCs w:val="20"/>
              </w:rPr>
              <w:t>龙麒源景区综合服务设施提升工程</w:t>
            </w:r>
          </w:p>
        </w:tc>
        <w:tc>
          <w:tcPr>
            <w:tcW w:w="406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打造游览综合服务设施，完善旅游设施配备。建设开元酒店游泳池、芳草地酒店热气球馆；建设景区入口售票观景平台、龙麒源</w:t>
            </w:r>
            <w:r>
              <w:rPr>
                <w:rFonts w:ascii="宋体" w:hAnsi="宋体" w:cs="宋体"/>
                <w:kern w:val="0"/>
                <w:sz w:val="20"/>
                <w:szCs w:val="20"/>
              </w:rPr>
              <w:t>B地块酒店、景区民宿，应避让核心景区。</w:t>
            </w:r>
          </w:p>
        </w:tc>
        <w:tc>
          <w:tcPr>
            <w:tcW w:w="13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西坑镇、南田镇的梧溪村、驮湖村</w:t>
            </w:r>
          </w:p>
        </w:tc>
        <w:tc>
          <w:tcPr>
            <w:tcW w:w="112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79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2023-2027</w:t>
            </w:r>
          </w:p>
        </w:tc>
      </w:tr>
      <w:tr>
        <w:tblPrEx>
          <w:tblLayout w:type="fixed"/>
          <w:tblCellMar>
            <w:top w:w="0" w:type="dxa"/>
            <w:left w:w="108" w:type="dxa"/>
            <w:bottom w:w="0" w:type="dxa"/>
            <w:right w:w="108" w:type="dxa"/>
          </w:tblCellMar>
        </w:tblPrEx>
        <w:trPr>
          <w:trHeight w:val="1440" w:hRule="atLeast"/>
        </w:trPr>
        <w:tc>
          <w:tcPr>
            <w:tcW w:w="618"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2</w:t>
            </w:r>
            <w:r>
              <w:rPr>
                <w:rFonts w:ascii="宋体" w:hAnsi="宋体" w:cs="宋体"/>
                <w:kern w:val="0"/>
                <w:sz w:val="20"/>
                <w:szCs w:val="20"/>
              </w:rPr>
              <w:t>0</w:t>
            </w:r>
          </w:p>
        </w:tc>
        <w:tc>
          <w:tcPr>
            <w:tcW w:w="113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五角仙山云上休闲康养度假项目</w:t>
            </w:r>
          </w:p>
        </w:tc>
        <w:tc>
          <w:tcPr>
            <w:tcW w:w="406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计划建设亲子乐园、悬崖民宿、观星平台、科普长廊、森林泳池、露营营地、太空舱区等，打造集户外拓展、森林康养、观星露营、天文科普于一体的休闲微度假目的地。</w:t>
            </w:r>
          </w:p>
        </w:tc>
        <w:tc>
          <w:tcPr>
            <w:tcW w:w="13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五角仙山，位于武阳村</w:t>
            </w:r>
          </w:p>
        </w:tc>
        <w:tc>
          <w:tcPr>
            <w:tcW w:w="112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79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2026-2030</w:t>
            </w:r>
          </w:p>
        </w:tc>
      </w:tr>
      <w:tr>
        <w:tblPrEx>
          <w:tblLayout w:type="fixed"/>
          <w:tblCellMar>
            <w:top w:w="0" w:type="dxa"/>
            <w:left w:w="108" w:type="dxa"/>
            <w:bottom w:w="0" w:type="dxa"/>
            <w:right w:w="108" w:type="dxa"/>
          </w:tblCellMar>
        </w:tblPrEx>
        <w:trPr>
          <w:trHeight w:val="1440" w:hRule="atLeast"/>
        </w:trPr>
        <w:tc>
          <w:tcPr>
            <w:tcW w:w="61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2</w:t>
            </w:r>
            <w:r>
              <w:rPr>
                <w:rFonts w:ascii="宋体" w:hAnsi="宋体" w:cs="宋体"/>
                <w:kern w:val="0"/>
                <w:sz w:val="20"/>
                <w:szCs w:val="20"/>
              </w:rPr>
              <w:t>1</w:t>
            </w:r>
          </w:p>
        </w:tc>
        <w:tc>
          <w:tcPr>
            <w:tcW w:w="11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云上畲风民宿群开发项目</w:t>
            </w:r>
          </w:p>
        </w:tc>
        <w:tc>
          <w:tcPr>
            <w:tcW w:w="4061"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挖掘陈钟村畲族历史文化资源优势，盘活闲置农宅，引入乡村旅游运营公司进行整村连片民宿项目开发，在衣食住行中植入畲族文化元素，探索“民宿</w:t>
            </w:r>
            <w:r>
              <w:rPr>
                <w:rFonts w:ascii="宋体" w:hAnsi="宋体" w:cs="宋体"/>
                <w:kern w:val="0"/>
                <w:sz w:val="20"/>
                <w:szCs w:val="20"/>
              </w:rPr>
              <w:t>+”模式，根据不同客群的差异性需求，定制IP属性活动,如团建、商务、亲子游等，打造集吃、住、玩、游为一体的精品民宿群。</w:t>
            </w:r>
          </w:p>
        </w:tc>
        <w:tc>
          <w:tcPr>
            <w:tcW w:w="1307"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百丈漈景区周边，位于新东片区，核心区为陈钟民族村</w:t>
            </w:r>
          </w:p>
        </w:tc>
        <w:tc>
          <w:tcPr>
            <w:tcW w:w="1126"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799"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2024-2029</w:t>
            </w:r>
          </w:p>
        </w:tc>
      </w:tr>
      <w:tr>
        <w:tblPrEx>
          <w:tblLayout w:type="fixed"/>
          <w:tblCellMar>
            <w:top w:w="0" w:type="dxa"/>
            <w:left w:w="108" w:type="dxa"/>
            <w:bottom w:w="0" w:type="dxa"/>
            <w:right w:w="108" w:type="dxa"/>
          </w:tblCellMar>
        </w:tblPrEx>
        <w:trPr>
          <w:trHeight w:val="738" w:hRule="atLeast"/>
        </w:trPr>
        <w:tc>
          <w:tcPr>
            <w:tcW w:w="61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2</w:t>
            </w:r>
            <w:r>
              <w:rPr>
                <w:rFonts w:ascii="宋体" w:hAnsi="宋体" w:cs="宋体"/>
                <w:kern w:val="0"/>
                <w:sz w:val="20"/>
                <w:szCs w:val="20"/>
              </w:rPr>
              <w:t>2</w:t>
            </w:r>
          </w:p>
        </w:tc>
        <w:tc>
          <w:tcPr>
            <w:tcW w:w="11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浙南高山台地</w:t>
            </w:r>
            <w:r>
              <w:rPr>
                <w:rFonts w:ascii="宋体" w:hAnsi="宋体" w:cs="宋体"/>
                <w:kern w:val="0"/>
                <w:sz w:val="20"/>
                <w:szCs w:val="20"/>
              </w:rPr>
              <w:t>-仙岩峰康养基地</w:t>
            </w:r>
          </w:p>
        </w:tc>
        <w:tc>
          <w:tcPr>
            <w:tcW w:w="4061"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以万亩竹林、千亩稻田为基底，融合度假、疗休养、娱乐等项目，构建集吃、住、行、养、复等于一体的康养示范基地。</w:t>
            </w:r>
          </w:p>
        </w:tc>
        <w:tc>
          <w:tcPr>
            <w:tcW w:w="1307"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桂山乡</w:t>
            </w:r>
          </w:p>
        </w:tc>
        <w:tc>
          <w:tcPr>
            <w:tcW w:w="1126"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799"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2025-2028</w:t>
            </w:r>
          </w:p>
        </w:tc>
      </w:tr>
      <w:tr>
        <w:tblPrEx>
          <w:tblLayout w:type="fixed"/>
          <w:tblCellMar>
            <w:top w:w="0" w:type="dxa"/>
            <w:left w:w="108" w:type="dxa"/>
            <w:bottom w:w="0" w:type="dxa"/>
            <w:right w:w="108" w:type="dxa"/>
          </w:tblCellMar>
        </w:tblPrEx>
        <w:trPr>
          <w:trHeight w:val="1440" w:hRule="atLeast"/>
        </w:trPr>
        <w:tc>
          <w:tcPr>
            <w:tcW w:w="61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2</w:t>
            </w:r>
            <w:r>
              <w:rPr>
                <w:rFonts w:ascii="宋体" w:hAnsi="宋体" w:cs="宋体"/>
                <w:kern w:val="0"/>
                <w:sz w:val="20"/>
                <w:szCs w:val="20"/>
              </w:rPr>
              <w:t>3</w:t>
            </w:r>
          </w:p>
        </w:tc>
        <w:tc>
          <w:tcPr>
            <w:tcW w:w="11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双尖红色旅游村提升改造项目</w:t>
            </w:r>
          </w:p>
        </w:tc>
        <w:tc>
          <w:tcPr>
            <w:tcW w:w="4061"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双尖自然村总面积</w:t>
            </w:r>
            <w:r>
              <w:rPr>
                <w:rFonts w:ascii="宋体" w:hAnsi="宋体" w:cs="宋体"/>
                <w:kern w:val="0"/>
                <w:sz w:val="20"/>
                <w:szCs w:val="20"/>
              </w:rPr>
              <w:t>2.2平方千米。建设内容1.对村庄环境进行整治；2.村内道路提升（路面拓宽及白改黑）；3.建设红色教育基地、文化广场，并对广场周边绿化进行提升。</w:t>
            </w:r>
          </w:p>
        </w:tc>
        <w:tc>
          <w:tcPr>
            <w:tcW w:w="1307"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巨屿镇方前村</w:t>
            </w:r>
          </w:p>
        </w:tc>
        <w:tc>
          <w:tcPr>
            <w:tcW w:w="1126"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799"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2027-2032</w:t>
            </w:r>
          </w:p>
        </w:tc>
      </w:tr>
      <w:tr>
        <w:tblPrEx>
          <w:tblLayout w:type="fixed"/>
          <w:tblCellMar>
            <w:top w:w="0" w:type="dxa"/>
            <w:left w:w="108" w:type="dxa"/>
            <w:bottom w:w="0" w:type="dxa"/>
            <w:right w:w="108" w:type="dxa"/>
          </w:tblCellMar>
        </w:tblPrEx>
        <w:trPr>
          <w:trHeight w:val="1440" w:hRule="atLeast"/>
        </w:trPr>
        <w:tc>
          <w:tcPr>
            <w:tcW w:w="61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2</w:t>
            </w:r>
            <w:r>
              <w:rPr>
                <w:rFonts w:ascii="宋体" w:hAnsi="宋体" w:cs="宋体"/>
                <w:kern w:val="0"/>
                <w:sz w:val="20"/>
                <w:szCs w:val="20"/>
              </w:rPr>
              <w:t>4</w:t>
            </w:r>
          </w:p>
        </w:tc>
        <w:tc>
          <w:tcPr>
            <w:tcW w:w="11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侨城乐园</w:t>
            </w:r>
          </w:p>
        </w:tc>
        <w:tc>
          <w:tcPr>
            <w:tcW w:w="4061"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以环城东路为依托，串点成线打造侨城旅游乐园：</w:t>
            </w:r>
            <w:r>
              <w:rPr>
                <w:rFonts w:ascii="宋体" w:hAnsi="宋体" w:cs="宋体"/>
                <w:kern w:val="0"/>
                <w:sz w:val="20"/>
                <w:szCs w:val="20"/>
              </w:rPr>
              <w:t>1规划建设珊门片岩庵特色观景平台；2、规划建设吴岭片水上乐园。同时，沿线植入环城山体绿道、泗溪“水经济”、跨境侨商产业区等多元业态，提升侨城乐园吸引力。</w:t>
            </w:r>
          </w:p>
        </w:tc>
        <w:tc>
          <w:tcPr>
            <w:tcW w:w="1307"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大峃镇</w:t>
            </w:r>
          </w:p>
        </w:tc>
        <w:tc>
          <w:tcPr>
            <w:tcW w:w="1126"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三级（部分涉及）</w:t>
            </w:r>
          </w:p>
        </w:tc>
        <w:tc>
          <w:tcPr>
            <w:tcW w:w="799"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2025-2030</w:t>
            </w:r>
          </w:p>
        </w:tc>
      </w:tr>
    </w:tbl>
    <w:p>
      <w:pPr>
        <w:ind w:firstLine="0" w:firstLineChars="0"/>
        <w:rPr>
          <w:sz w:val="18"/>
        </w:rPr>
      </w:pPr>
    </w:p>
    <w:p>
      <w:pPr>
        <w:keepNext/>
        <w:keepLines/>
        <w:spacing w:before="156" w:beforeLines="50"/>
        <w:ind w:left="142" w:firstLine="360" w:firstLineChars="150"/>
        <w:outlineLvl w:val="2"/>
        <w:rPr>
          <w:rFonts w:eastAsia="黑体"/>
          <w:bCs/>
          <w:kern w:val="0"/>
        </w:rPr>
      </w:pPr>
      <w:r>
        <w:rPr>
          <w:rFonts w:hint="eastAsia" w:eastAsia="黑体"/>
          <w:bCs/>
          <w:kern w:val="0"/>
        </w:rPr>
        <w:t>（四）道路交通类</w:t>
      </w:r>
    </w:p>
    <w:p>
      <w:pPr>
        <w:ind w:firstLine="480"/>
        <w:rPr>
          <w:rFonts w:cs="宋体"/>
        </w:rPr>
      </w:pPr>
      <w:r>
        <w:rPr>
          <w:rFonts w:hint="eastAsia" w:cs="宋体"/>
        </w:rPr>
        <w:t>完善通景公路、景区游步道、旅游特色交通等旅游交通体系。建设以大峃镇为核心，辐射各景区景点的通景道路；完善景区内部游步道、索道、缆车等游览交通的建设；推进农村道路改造提升，实施“四好农村路”新建和改扩建项目。</w:t>
      </w:r>
    </w:p>
    <w:p>
      <w:pPr>
        <w:ind w:firstLine="422"/>
        <w:jc w:val="center"/>
        <w:rPr>
          <w:b/>
          <w:sz w:val="21"/>
          <w:szCs w:val="21"/>
        </w:rPr>
      </w:pPr>
      <w:r>
        <w:rPr>
          <w:rFonts w:hint="eastAsia"/>
          <w:b/>
          <w:sz w:val="21"/>
          <w:szCs w:val="21"/>
        </w:rPr>
        <w:t>表7</w:t>
      </w:r>
      <w:r>
        <w:rPr>
          <w:b/>
          <w:sz w:val="21"/>
          <w:szCs w:val="21"/>
        </w:rPr>
        <w:t>-4</w:t>
      </w:r>
      <w:r>
        <w:rPr>
          <w:rFonts w:hint="eastAsia"/>
          <w:b/>
          <w:sz w:val="21"/>
          <w:szCs w:val="21"/>
        </w:rPr>
        <w:t>道路交通类近期项目规划一览表</w:t>
      </w:r>
    </w:p>
    <w:tbl>
      <w:tblPr>
        <w:tblStyle w:val="42"/>
        <w:tblW w:w="904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530"/>
        <w:gridCol w:w="3729"/>
        <w:gridCol w:w="1260"/>
        <w:gridCol w:w="983"/>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blHeader/>
        </w:trPr>
        <w:tc>
          <w:tcPr>
            <w:tcW w:w="426" w:type="dxa"/>
            <w:shd w:val="clear" w:color="auto" w:fill="E2E2E2"/>
            <w:vAlign w:val="center"/>
          </w:tcPr>
          <w:p>
            <w:pPr>
              <w:widowControl/>
              <w:adjustRightInd w:val="0"/>
              <w:snapToGrid w:val="0"/>
              <w:spacing w:line="240" w:lineRule="auto"/>
              <w:ind w:firstLine="0" w:firstLineChars="0"/>
              <w:jc w:val="center"/>
              <w:rPr>
                <w:rFonts w:ascii="宋体" w:hAnsi="宋体" w:cs="宋体"/>
                <w:b/>
                <w:bCs/>
                <w:kern w:val="0"/>
                <w:sz w:val="20"/>
                <w:szCs w:val="20"/>
              </w:rPr>
            </w:pPr>
            <w:r>
              <w:rPr>
                <w:rFonts w:hint="eastAsia" w:ascii="宋体" w:hAnsi="宋体" w:cs="宋体"/>
                <w:b/>
                <w:bCs/>
                <w:kern w:val="0"/>
                <w:sz w:val="20"/>
                <w:szCs w:val="20"/>
              </w:rPr>
              <w:t>序号</w:t>
            </w:r>
          </w:p>
        </w:tc>
        <w:tc>
          <w:tcPr>
            <w:tcW w:w="1530" w:type="dxa"/>
            <w:shd w:val="clear" w:color="auto" w:fill="E2E2E2"/>
            <w:vAlign w:val="center"/>
          </w:tcPr>
          <w:p>
            <w:pPr>
              <w:widowControl/>
              <w:adjustRightInd w:val="0"/>
              <w:snapToGrid w:val="0"/>
              <w:spacing w:line="240" w:lineRule="auto"/>
              <w:ind w:firstLine="0" w:firstLineChars="0"/>
              <w:jc w:val="center"/>
              <w:rPr>
                <w:rFonts w:ascii="宋体" w:hAnsi="宋体" w:cs="宋体"/>
                <w:b/>
                <w:bCs/>
                <w:kern w:val="0"/>
                <w:sz w:val="20"/>
                <w:szCs w:val="20"/>
              </w:rPr>
            </w:pPr>
            <w:r>
              <w:rPr>
                <w:rFonts w:hint="eastAsia" w:ascii="宋体" w:hAnsi="宋体" w:cs="宋体"/>
                <w:b/>
                <w:bCs/>
                <w:kern w:val="0"/>
                <w:sz w:val="20"/>
                <w:szCs w:val="20"/>
              </w:rPr>
              <w:t>项目名称</w:t>
            </w:r>
          </w:p>
        </w:tc>
        <w:tc>
          <w:tcPr>
            <w:tcW w:w="3729" w:type="dxa"/>
            <w:shd w:val="clear" w:color="auto" w:fill="E2E2E2"/>
            <w:vAlign w:val="center"/>
          </w:tcPr>
          <w:p>
            <w:pPr>
              <w:widowControl/>
              <w:adjustRightInd w:val="0"/>
              <w:snapToGrid w:val="0"/>
              <w:spacing w:line="240" w:lineRule="auto"/>
              <w:ind w:firstLine="0" w:firstLineChars="0"/>
              <w:jc w:val="center"/>
              <w:rPr>
                <w:rFonts w:ascii="宋体" w:hAnsi="宋体" w:cs="宋体"/>
                <w:b/>
                <w:bCs/>
                <w:kern w:val="0"/>
                <w:sz w:val="20"/>
                <w:szCs w:val="20"/>
              </w:rPr>
            </w:pPr>
            <w:r>
              <w:rPr>
                <w:rFonts w:hint="eastAsia" w:ascii="宋体" w:hAnsi="宋体" w:cs="宋体"/>
                <w:b/>
                <w:bCs/>
                <w:kern w:val="0"/>
                <w:sz w:val="20"/>
                <w:szCs w:val="20"/>
              </w:rPr>
              <w:t>建设内容</w:t>
            </w:r>
          </w:p>
        </w:tc>
        <w:tc>
          <w:tcPr>
            <w:tcW w:w="1260" w:type="dxa"/>
            <w:shd w:val="clear" w:color="auto" w:fill="E2E2E2"/>
            <w:vAlign w:val="center"/>
          </w:tcPr>
          <w:p>
            <w:pPr>
              <w:widowControl/>
              <w:adjustRightInd w:val="0"/>
              <w:snapToGrid w:val="0"/>
              <w:spacing w:line="240" w:lineRule="auto"/>
              <w:ind w:firstLine="0" w:firstLineChars="0"/>
              <w:jc w:val="center"/>
              <w:rPr>
                <w:rFonts w:ascii="宋体" w:hAnsi="宋体" w:cs="宋体"/>
                <w:b/>
                <w:bCs/>
                <w:kern w:val="0"/>
                <w:sz w:val="20"/>
                <w:szCs w:val="20"/>
              </w:rPr>
            </w:pPr>
            <w:r>
              <w:rPr>
                <w:rFonts w:hint="eastAsia" w:ascii="宋体" w:hAnsi="宋体" w:cs="宋体"/>
                <w:b/>
                <w:bCs/>
                <w:kern w:val="0"/>
                <w:sz w:val="20"/>
                <w:szCs w:val="20"/>
              </w:rPr>
              <w:t>建设地点</w:t>
            </w:r>
          </w:p>
        </w:tc>
        <w:tc>
          <w:tcPr>
            <w:tcW w:w="983" w:type="dxa"/>
            <w:shd w:val="clear" w:color="auto" w:fill="E2E2E2"/>
            <w:vAlign w:val="center"/>
          </w:tcPr>
          <w:p>
            <w:pPr>
              <w:widowControl/>
              <w:adjustRightInd w:val="0"/>
              <w:snapToGrid w:val="0"/>
              <w:spacing w:line="240" w:lineRule="auto"/>
              <w:ind w:firstLine="0" w:firstLineChars="0"/>
              <w:jc w:val="center"/>
              <w:rPr>
                <w:rFonts w:ascii="宋体" w:hAnsi="宋体" w:cs="宋体"/>
                <w:b/>
                <w:bCs/>
                <w:kern w:val="0"/>
                <w:sz w:val="20"/>
                <w:szCs w:val="20"/>
              </w:rPr>
            </w:pPr>
            <w:r>
              <w:rPr>
                <w:rFonts w:hint="eastAsia" w:ascii="宋体" w:hAnsi="宋体" w:cs="宋体"/>
                <w:b/>
                <w:bCs/>
                <w:kern w:val="0"/>
                <w:sz w:val="20"/>
                <w:szCs w:val="20"/>
              </w:rPr>
              <w:t>涉及保护分区</w:t>
            </w:r>
          </w:p>
        </w:tc>
        <w:tc>
          <w:tcPr>
            <w:tcW w:w="1116" w:type="dxa"/>
            <w:shd w:val="clear" w:color="auto" w:fill="E2E2E2"/>
            <w:vAlign w:val="center"/>
          </w:tcPr>
          <w:p>
            <w:pPr>
              <w:widowControl/>
              <w:adjustRightInd w:val="0"/>
              <w:snapToGrid w:val="0"/>
              <w:spacing w:line="240" w:lineRule="auto"/>
              <w:ind w:firstLine="0" w:firstLineChars="0"/>
              <w:jc w:val="center"/>
              <w:rPr>
                <w:rFonts w:ascii="宋体" w:hAnsi="宋体" w:cs="宋体"/>
                <w:b/>
                <w:bCs/>
                <w:kern w:val="0"/>
                <w:sz w:val="20"/>
                <w:szCs w:val="20"/>
              </w:rPr>
            </w:pPr>
            <w:r>
              <w:rPr>
                <w:rFonts w:hint="eastAsia" w:ascii="宋体" w:hAnsi="宋体" w:cs="宋体"/>
                <w:b/>
                <w:bCs/>
                <w:kern w:val="0"/>
                <w:sz w:val="20"/>
                <w:szCs w:val="20"/>
              </w:rPr>
              <w:t>实施年限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trPr>
        <w:tc>
          <w:tcPr>
            <w:tcW w:w="426" w:type="dxa"/>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1</w:t>
            </w:r>
          </w:p>
        </w:tc>
        <w:tc>
          <w:tcPr>
            <w:tcW w:w="1530"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四好农村路新建和改扩建项目</w:t>
            </w:r>
          </w:p>
        </w:tc>
        <w:tc>
          <w:tcPr>
            <w:tcW w:w="3729"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1、南毛线道路提升；2、南林口-罗山村道提升工程；3、岩塔头-彭山，岩塔头-卓山村道提升工程；4、珊溪镇驮垄-黄坦镇徐山提升工程；5、毛坑至东坪村道新建工程；6、万里至牛栏湾森林公园村道提升工程；7、</w:t>
            </w:r>
            <w:r>
              <w:rPr>
                <w:rFonts w:hint="eastAsia" w:ascii="宋体" w:hAnsi="宋体" w:cs="宋体"/>
                <w:kern w:val="0"/>
                <w:sz w:val="20"/>
                <w:szCs w:val="20"/>
              </w:rPr>
              <w:t>石下线提升改造；8、桂山公路珊溪-东坪工程；9、</w:t>
            </w:r>
            <w:r>
              <w:rPr>
                <w:rFonts w:ascii="宋体" w:hAnsi="宋体" w:cs="宋体"/>
                <w:kern w:val="0"/>
                <w:sz w:val="20"/>
                <w:szCs w:val="20"/>
              </w:rPr>
              <w:t>范围内的农耕路、林区道路建设等</w:t>
            </w:r>
            <w:r>
              <w:rPr>
                <w:rFonts w:hint="eastAsia" w:ascii="宋体" w:hAnsi="宋体" w:cs="宋体"/>
                <w:kern w:val="0"/>
                <w:sz w:val="20"/>
                <w:szCs w:val="20"/>
              </w:rPr>
              <w:t>。</w:t>
            </w:r>
          </w:p>
        </w:tc>
        <w:tc>
          <w:tcPr>
            <w:tcW w:w="1260"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珊溪镇</w:t>
            </w:r>
          </w:p>
        </w:tc>
        <w:tc>
          <w:tcPr>
            <w:tcW w:w="983"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1116"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2028-2031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trPr>
        <w:tc>
          <w:tcPr>
            <w:tcW w:w="426" w:type="dxa"/>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w:t>
            </w:r>
          </w:p>
        </w:tc>
        <w:tc>
          <w:tcPr>
            <w:tcW w:w="1530"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铜铃山镇域路网提升工程</w:t>
            </w:r>
          </w:p>
        </w:tc>
        <w:tc>
          <w:tcPr>
            <w:tcW w:w="3729"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雅庄至岭后路段、上斜至吴坳路段、下垟至都铺路段等三个路段进行全面拓宽修坡提升。</w:t>
            </w:r>
          </w:p>
        </w:tc>
        <w:tc>
          <w:tcPr>
            <w:tcW w:w="1260"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铜铃山镇</w:t>
            </w:r>
          </w:p>
        </w:tc>
        <w:tc>
          <w:tcPr>
            <w:tcW w:w="983"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1116"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2025-2027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426" w:type="dxa"/>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3</w:t>
            </w:r>
          </w:p>
        </w:tc>
        <w:tc>
          <w:tcPr>
            <w:tcW w:w="1530"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大铜铃山交通路网建设项目</w:t>
            </w:r>
          </w:p>
        </w:tc>
        <w:tc>
          <w:tcPr>
            <w:tcW w:w="3729" w:type="dxa"/>
            <w:shd w:val="clear" w:color="auto" w:fill="auto"/>
            <w:vAlign w:val="center"/>
          </w:tcPr>
          <w:p>
            <w:pPr>
              <w:widowControl/>
              <w:adjustRightInd w:val="0"/>
              <w:snapToGrid w:val="0"/>
              <w:spacing w:line="240" w:lineRule="auto"/>
              <w:ind w:firstLine="0" w:firstLineChars="0"/>
              <w:jc w:val="left"/>
              <w:rPr>
                <w:rFonts w:ascii="宋体" w:hAnsi="宋体" w:cs="宋体"/>
                <w:kern w:val="0"/>
                <w:sz w:val="20"/>
                <w:szCs w:val="20"/>
              </w:rPr>
            </w:pPr>
            <w:r>
              <w:rPr>
                <w:rFonts w:hint="eastAsia" w:ascii="宋体" w:hAnsi="宋体" w:cs="宋体"/>
                <w:kern w:val="0"/>
                <w:sz w:val="20"/>
                <w:szCs w:val="20"/>
              </w:rPr>
              <w:t>完善串联飞云湖、叶胜林场、铜铃山景区的水陆、陆路交通建设。</w:t>
            </w:r>
          </w:p>
        </w:tc>
        <w:tc>
          <w:tcPr>
            <w:tcW w:w="1260"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铜铃山镇、黄坦镇、珊溪镇</w:t>
            </w:r>
          </w:p>
        </w:tc>
        <w:tc>
          <w:tcPr>
            <w:tcW w:w="983"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一级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1116"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2025-2030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trPr>
        <w:tc>
          <w:tcPr>
            <w:tcW w:w="426" w:type="dxa"/>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4</w:t>
            </w:r>
          </w:p>
        </w:tc>
        <w:tc>
          <w:tcPr>
            <w:tcW w:w="1530"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石垟林场至黄寮绿道提升项目</w:t>
            </w:r>
          </w:p>
        </w:tc>
        <w:tc>
          <w:tcPr>
            <w:tcW w:w="3729"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起点为石垟林场、终点为黄寮村，路基宽度</w:t>
            </w:r>
            <w:r>
              <w:rPr>
                <w:rFonts w:ascii="宋体" w:hAnsi="宋体" w:cs="宋体"/>
                <w:kern w:val="0"/>
                <w:sz w:val="20"/>
                <w:szCs w:val="20"/>
              </w:rPr>
              <w:t>6m。</w:t>
            </w:r>
          </w:p>
        </w:tc>
        <w:tc>
          <w:tcPr>
            <w:tcW w:w="1260"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石垟林场、黄寮</w:t>
            </w:r>
          </w:p>
        </w:tc>
        <w:tc>
          <w:tcPr>
            <w:tcW w:w="983"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一级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1116"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2025-2030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426" w:type="dxa"/>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5</w:t>
            </w:r>
          </w:p>
        </w:tc>
        <w:tc>
          <w:tcPr>
            <w:tcW w:w="1530"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龙麒源景区交通及应急设施改造提升工程</w:t>
            </w:r>
          </w:p>
        </w:tc>
        <w:tc>
          <w:tcPr>
            <w:tcW w:w="3729"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建设景区道路、停车场、休息驿站等交通设施。包括蟹坑农村道路、芳草地酒店停车场、梧溪至驮湖道路驿站。建设</w:t>
            </w:r>
            <w:r>
              <w:rPr>
                <w:rFonts w:ascii="宋体" w:hAnsi="宋体" w:cs="宋体"/>
                <w:kern w:val="0"/>
                <w:sz w:val="20"/>
                <w:szCs w:val="20"/>
              </w:rPr>
              <w:t>3条应急通道和应急疏散点。</w:t>
            </w:r>
          </w:p>
        </w:tc>
        <w:tc>
          <w:tcPr>
            <w:tcW w:w="1260"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西坑镇、南田镇的梧溪村、驮湖村</w:t>
            </w:r>
          </w:p>
        </w:tc>
        <w:tc>
          <w:tcPr>
            <w:tcW w:w="983"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一级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tc>
        <w:tc>
          <w:tcPr>
            <w:tcW w:w="1116"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2023-2024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trPr>
        <w:tc>
          <w:tcPr>
            <w:tcW w:w="426" w:type="dxa"/>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6</w:t>
            </w:r>
          </w:p>
        </w:tc>
        <w:tc>
          <w:tcPr>
            <w:tcW w:w="1530"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旅游通景公路改建提升工程</w:t>
            </w:r>
          </w:p>
        </w:tc>
        <w:tc>
          <w:tcPr>
            <w:tcW w:w="3729"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项目以大峃镇为中心，建设辐射各景区景点的交通路网，同时通过景区交通连接线建设，推动交通运输与旅游融合发展，增强旅游交通可持续发展能力。</w:t>
            </w:r>
          </w:p>
        </w:tc>
        <w:tc>
          <w:tcPr>
            <w:tcW w:w="1260"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县域</w:t>
            </w:r>
          </w:p>
        </w:tc>
        <w:tc>
          <w:tcPr>
            <w:tcW w:w="983"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1116"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2024-2029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0" w:hRule="atLeast"/>
        </w:trPr>
        <w:tc>
          <w:tcPr>
            <w:tcW w:w="426" w:type="dxa"/>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7</w:t>
            </w:r>
          </w:p>
        </w:tc>
        <w:tc>
          <w:tcPr>
            <w:tcW w:w="1530"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农村道路改造提升工程</w:t>
            </w:r>
          </w:p>
        </w:tc>
        <w:tc>
          <w:tcPr>
            <w:tcW w:w="3729"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①光明至坳垟道路：沿线经过光明村、朱雅、坳垟村，终点位于坳垟村汤垟自然村，路线全长</w:t>
            </w:r>
            <w:r>
              <w:rPr>
                <w:rFonts w:ascii="宋体" w:hAnsi="宋体" w:cs="宋体"/>
                <w:kern w:val="0"/>
                <w:sz w:val="20"/>
                <w:szCs w:val="20"/>
              </w:rPr>
              <w:t>10.348公里，道路路基宽度6米；②金岩农村道路：全线计划2公里，宽度6米。</w:t>
            </w:r>
          </w:p>
        </w:tc>
        <w:tc>
          <w:tcPr>
            <w:tcW w:w="1260"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玉壶镇光明村、坳垟村、金地民族村</w:t>
            </w:r>
          </w:p>
        </w:tc>
        <w:tc>
          <w:tcPr>
            <w:tcW w:w="983"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1116"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2024-2028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trPr>
        <w:tc>
          <w:tcPr>
            <w:tcW w:w="426" w:type="dxa"/>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8</w:t>
            </w:r>
          </w:p>
        </w:tc>
        <w:tc>
          <w:tcPr>
            <w:tcW w:w="1530"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南田镇交通基础设施建设提升项目</w:t>
            </w:r>
          </w:p>
        </w:tc>
        <w:tc>
          <w:tcPr>
            <w:tcW w:w="3729"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南田镇高村民族村、横山、梅树、武阳环城公路；南田至玉壶、南田至青田、南田至铜铃山等对外路网建设项目；四好农村公路提升等</w:t>
            </w:r>
          </w:p>
        </w:tc>
        <w:tc>
          <w:tcPr>
            <w:tcW w:w="1260"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南田镇</w:t>
            </w:r>
          </w:p>
        </w:tc>
        <w:tc>
          <w:tcPr>
            <w:tcW w:w="983"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1116"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2025-2030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trPr>
        <w:tc>
          <w:tcPr>
            <w:tcW w:w="426" w:type="dxa"/>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9</w:t>
            </w:r>
          </w:p>
        </w:tc>
        <w:tc>
          <w:tcPr>
            <w:tcW w:w="1530"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大南线百丈漈至南田二改一工程</w:t>
            </w:r>
          </w:p>
        </w:tc>
        <w:tc>
          <w:tcPr>
            <w:tcW w:w="3729"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百丈漈至南田二改一工程，起点大南线百丈漈镇洞洋村，途经百丈漈镇莲塘村、西里村、西段村、南田镇高村村、新南村、终点南田村，全线</w:t>
            </w:r>
            <w:r>
              <w:rPr>
                <w:rFonts w:ascii="宋体" w:hAnsi="宋体" w:cs="宋体"/>
                <w:kern w:val="0"/>
                <w:sz w:val="20"/>
                <w:szCs w:val="20"/>
              </w:rPr>
              <w:t>10.9公里。按一级公路标准建设，路基宽度20米，桥隧与路基同宽。全线主要工程量;隧道一座500米，桥梁4座420延米及涵洞工程，路基长度9980米，沥青混凝土路面16.5万平米。</w:t>
            </w:r>
          </w:p>
        </w:tc>
        <w:tc>
          <w:tcPr>
            <w:tcW w:w="1260"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百丈漈镇、南田镇</w:t>
            </w:r>
          </w:p>
        </w:tc>
        <w:tc>
          <w:tcPr>
            <w:tcW w:w="983"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1116"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2028-2031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0" w:hRule="atLeast"/>
        </w:trPr>
        <w:tc>
          <w:tcPr>
            <w:tcW w:w="426" w:type="dxa"/>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10</w:t>
            </w:r>
          </w:p>
        </w:tc>
        <w:tc>
          <w:tcPr>
            <w:tcW w:w="1530"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大南线至百丈漈景区南入口段工程</w:t>
            </w:r>
          </w:p>
        </w:tc>
        <w:tc>
          <w:tcPr>
            <w:tcW w:w="3729"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 xml:space="preserve"> 项目起点位于文成县大南线泗溪大桥前缓坡位置，终点设平交口接百丈漈景区南门老路，采用三级公路设计标准，路线全长约5.789km。</w:t>
            </w:r>
          </w:p>
        </w:tc>
        <w:tc>
          <w:tcPr>
            <w:tcW w:w="1260"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大峃镇、百丈漈镇</w:t>
            </w:r>
          </w:p>
        </w:tc>
        <w:tc>
          <w:tcPr>
            <w:tcW w:w="983"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一级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tc>
        <w:tc>
          <w:tcPr>
            <w:tcW w:w="1116"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2028-2031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0" w:hRule="atLeast"/>
        </w:trPr>
        <w:tc>
          <w:tcPr>
            <w:tcW w:w="426" w:type="dxa"/>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11</w:t>
            </w:r>
          </w:p>
        </w:tc>
        <w:tc>
          <w:tcPr>
            <w:tcW w:w="1530"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大南线南山医院至百丈漈景区北入口段提升工程</w:t>
            </w:r>
          </w:p>
        </w:tc>
        <w:tc>
          <w:tcPr>
            <w:tcW w:w="3729"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本项目起点位于文成南山医院西侧，与现状大南线平面交叉，路线沿现状十黄线向东北方向布设，将十黄线拓宽为双向六车道。至迦南美地东侧后与十黄线分离，在东侧山体内布线，终点接刘伯温故里景区停车场。路线全长约</w:t>
            </w:r>
            <w:r>
              <w:rPr>
                <w:rFonts w:ascii="宋体" w:hAnsi="宋体" w:cs="宋体"/>
                <w:kern w:val="0"/>
                <w:sz w:val="20"/>
                <w:szCs w:val="20"/>
              </w:rPr>
              <w:t>2.353公里，采用一级公路标准，设计时速60km/h。</w:t>
            </w:r>
          </w:p>
        </w:tc>
        <w:tc>
          <w:tcPr>
            <w:tcW w:w="1260"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百丈漈镇</w:t>
            </w:r>
          </w:p>
        </w:tc>
        <w:tc>
          <w:tcPr>
            <w:tcW w:w="983"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tc>
        <w:tc>
          <w:tcPr>
            <w:tcW w:w="1116"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2027-2030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3" w:hRule="atLeast"/>
        </w:trPr>
        <w:tc>
          <w:tcPr>
            <w:tcW w:w="426" w:type="dxa"/>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12</w:t>
            </w:r>
          </w:p>
        </w:tc>
        <w:tc>
          <w:tcPr>
            <w:tcW w:w="1530"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周墩大坑通景公路提升工程</w:t>
            </w:r>
          </w:p>
        </w:tc>
        <w:tc>
          <w:tcPr>
            <w:tcW w:w="3729"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连接周墩村与林场及沿线村庄的道路，道路加宽及硬化</w:t>
            </w:r>
          </w:p>
        </w:tc>
        <w:tc>
          <w:tcPr>
            <w:tcW w:w="1260"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周壤镇</w:t>
            </w:r>
          </w:p>
        </w:tc>
        <w:tc>
          <w:tcPr>
            <w:tcW w:w="983"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1116"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2</w:t>
            </w:r>
            <w:r>
              <w:rPr>
                <w:rFonts w:ascii="宋体" w:hAnsi="宋体" w:cs="宋体"/>
                <w:kern w:val="0"/>
                <w:sz w:val="20"/>
                <w:szCs w:val="20"/>
              </w:rPr>
              <w:t>025-2027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0" w:hRule="atLeast"/>
        </w:trPr>
        <w:tc>
          <w:tcPr>
            <w:tcW w:w="426" w:type="dxa"/>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1</w:t>
            </w:r>
            <w:r>
              <w:rPr>
                <w:rFonts w:hint="eastAsia" w:ascii="宋体" w:hAnsi="宋体" w:cs="宋体"/>
                <w:kern w:val="0"/>
                <w:sz w:val="20"/>
                <w:szCs w:val="20"/>
              </w:rPr>
              <w:t>3</w:t>
            </w:r>
          </w:p>
        </w:tc>
        <w:tc>
          <w:tcPr>
            <w:tcW w:w="1530"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219省道青田万阜至</w:t>
            </w:r>
            <w:r>
              <w:rPr>
                <w:rFonts w:hint="eastAsia" w:ascii="宋体" w:hAnsi="宋体" w:cs="宋体"/>
                <w:kern w:val="0"/>
                <w:sz w:val="20"/>
                <w:szCs w:val="20"/>
              </w:rPr>
              <w:t>平阳段</w:t>
            </w:r>
          </w:p>
        </w:tc>
        <w:tc>
          <w:tcPr>
            <w:tcW w:w="3729"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219省道从青田万阜至文成南田</w:t>
            </w:r>
            <w:r>
              <w:rPr>
                <w:rFonts w:hint="eastAsia" w:ascii="宋体" w:hAnsi="宋体" w:cs="宋体"/>
                <w:kern w:val="0"/>
                <w:sz w:val="20"/>
                <w:szCs w:val="20"/>
              </w:rPr>
              <w:t>，</w:t>
            </w:r>
            <w:r>
              <w:rPr>
                <w:rFonts w:ascii="宋体" w:hAnsi="宋体" w:cs="宋体"/>
                <w:kern w:val="0"/>
                <w:sz w:val="20"/>
                <w:szCs w:val="20"/>
              </w:rPr>
              <w:t>经龙岙、武阳、梅树、横山至大南公路南田坑大桥，利用大南公路、西坑互通百</w:t>
            </w:r>
            <w:r>
              <w:rPr>
                <w:rFonts w:hint="eastAsia" w:ascii="宋体" w:hAnsi="宋体" w:cs="宋体"/>
                <w:kern w:val="0"/>
                <w:sz w:val="20"/>
                <w:szCs w:val="20"/>
              </w:rPr>
              <w:t>丈</w:t>
            </w:r>
            <w:r>
              <w:rPr>
                <w:rFonts w:ascii="宋体" w:hAnsi="宋体" w:cs="宋体"/>
                <w:kern w:val="0"/>
                <w:sz w:val="20"/>
                <w:szCs w:val="20"/>
              </w:rPr>
              <w:t>漈连接线至西坑让村，利用322国道至黄坦，接入平阳，该路线在文成境内约55km，其中青田与文成交界至大南公路南田坑大桥段约13.5公里,二级公路标准，设计速度60Km/h，路基宽度为10m,估算投资约为3.5亿。</w:t>
            </w:r>
            <w:r>
              <w:rPr>
                <w:rFonts w:hint="eastAsia" w:ascii="宋体" w:hAnsi="宋体" w:cs="宋体"/>
                <w:kern w:val="0"/>
                <w:sz w:val="20"/>
                <w:szCs w:val="20"/>
              </w:rPr>
              <w:t>黄坦至珊溪段约19.5公里，二级公路和一级公路，路基宽度10米和20米，估算16亿。</w:t>
            </w:r>
          </w:p>
        </w:tc>
        <w:tc>
          <w:tcPr>
            <w:tcW w:w="1260"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南田镇、黄坦镇、珊溪镇</w:t>
            </w:r>
          </w:p>
        </w:tc>
        <w:tc>
          <w:tcPr>
            <w:tcW w:w="983"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1116"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2030-2033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3" w:hRule="atLeast"/>
        </w:trPr>
        <w:tc>
          <w:tcPr>
            <w:tcW w:w="426" w:type="dxa"/>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14</w:t>
            </w:r>
          </w:p>
        </w:tc>
        <w:tc>
          <w:tcPr>
            <w:tcW w:w="1530"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220省道青田至泰顺公路文成珊溪至泰顺交界段改建工程</w:t>
            </w:r>
          </w:p>
        </w:tc>
        <w:tc>
          <w:tcPr>
            <w:tcW w:w="3729"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项目起点位于李夏村附近，与219省道平交，终点与泰顺交界，路线长14.3公里，路基宽10米，总投资约9亿。</w:t>
            </w:r>
          </w:p>
        </w:tc>
        <w:tc>
          <w:tcPr>
            <w:tcW w:w="1260"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珊溪镇</w:t>
            </w:r>
          </w:p>
        </w:tc>
        <w:tc>
          <w:tcPr>
            <w:tcW w:w="983"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1116"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2029-2032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0" w:hRule="atLeast"/>
        </w:trPr>
        <w:tc>
          <w:tcPr>
            <w:tcW w:w="426" w:type="dxa"/>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15</w:t>
            </w:r>
          </w:p>
        </w:tc>
        <w:tc>
          <w:tcPr>
            <w:tcW w:w="1530"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珊溪至泰顺横坑公路珊溪至高山、福全至文泰交界段改建工程</w:t>
            </w:r>
          </w:p>
        </w:tc>
        <w:tc>
          <w:tcPr>
            <w:tcW w:w="3729"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第一段起点位于珊溪南阳村，与220省道相交、终点至高山，路线长10公里，路基宽8米，三级公路标准，投资约2亿；第二段起点位于福全，桂山乡政府附近，终点泰顺交界横坑，路线长4公路，路基宽8米，三级公路标准，投资约0.6亿。</w:t>
            </w:r>
          </w:p>
        </w:tc>
        <w:tc>
          <w:tcPr>
            <w:tcW w:w="1260"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珊溪镇、桂山乡</w:t>
            </w:r>
          </w:p>
        </w:tc>
        <w:tc>
          <w:tcPr>
            <w:tcW w:w="983"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1116"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2</w:t>
            </w:r>
            <w:r>
              <w:rPr>
                <w:rFonts w:ascii="宋体" w:hAnsi="宋体" w:cs="宋体"/>
                <w:kern w:val="0"/>
                <w:sz w:val="20"/>
                <w:szCs w:val="20"/>
              </w:rPr>
              <w:t>026-2029</w:t>
            </w:r>
          </w:p>
        </w:tc>
      </w:tr>
    </w:tbl>
    <w:p>
      <w:pPr>
        <w:keepNext/>
        <w:keepLines/>
        <w:spacing w:before="156" w:beforeLines="50"/>
        <w:ind w:firstLine="480"/>
        <w:outlineLvl w:val="2"/>
        <w:rPr>
          <w:rFonts w:eastAsia="黑体"/>
          <w:bCs/>
          <w:kern w:val="0"/>
        </w:rPr>
      </w:pPr>
      <w:r>
        <w:rPr>
          <w:rFonts w:hint="eastAsia" w:eastAsia="黑体"/>
          <w:bCs/>
          <w:kern w:val="0"/>
        </w:rPr>
        <w:t>（五）基础设施类</w:t>
      </w:r>
    </w:p>
    <w:p>
      <w:pPr>
        <w:ind w:firstLine="480"/>
        <w:rPr>
          <w:rFonts w:cs="宋体"/>
        </w:rPr>
      </w:pPr>
      <w:r>
        <w:rPr>
          <w:rFonts w:hint="eastAsia" w:cs="宋体"/>
        </w:rPr>
        <w:t>完善风景区范围内的基础设施配套，重点提升给水、排水、电力、燃气、通信、环卫、综合防灾、低空等基础设施，实施农村饮用水及灌溉用水提升、乡村现代化基础设施提升、低空基础设施建设等一系列项目，加强智慧景区建设与基础设施数字化改造。</w:t>
      </w:r>
    </w:p>
    <w:p>
      <w:pPr>
        <w:ind w:firstLine="422"/>
        <w:jc w:val="center"/>
        <w:rPr>
          <w:b/>
          <w:sz w:val="21"/>
          <w:szCs w:val="21"/>
        </w:rPr>
      </w:pPr>
      <w:r>
        <w:rPr>
          <w:rFonts w:hint="eastAsia"/>
          <w:b/>
          <w:sz w:val="21"/>
          <w:szCs w:val="21"/>
        </w:rPr>
        <w:t>表7</w:t>
      </w:r>
      <w:r>
        <w:rPr>
          <w:b/>
          <w:sz w:val="21"/>
          <w:szCs w:val="21"/>
        </w:rPr>
        <w:t xml:space="preserve">-5 </w:t>
      </w:r>
      <w:r>
        <w:rPr>
          <w:rFonts w:hint="eastAsia"/>
          <w:b/>
          <w:sz w:val="21"/>
          <w:szCs w:val="21"/>
        </w:rPr>
        <w:t>基础设施类近期项目规划一览表</w:t>
      </w:r>
    </w:p>
    <w:tbl>
      <w:tblPr>
        <w:tblStyle w:val="42"/>
        <w:tblW w:w="8931" w:type="dxa"/>
        <w:tblInd w:w="108" w:type="dxa"/>
        <w:tblLayout w:type="fixed"/>
        <w:tblCellMar>
          <w:top w:w="0" w:type="dxa"/>
          <w:left w:w="108" w:type="dxa"/>
          <w:bottom w:w="0" w:type="dxa"/>
          <w:right w:w="108" w:type="dxa"/>
        </w:tblCellMar>
      </w:tblPr>
      <w:tblGrid>
        <w:gridCol w:w="567"/>
        <w:gridCol w:w="1276"/>
        <w:gridCol w:w="3827"/>
        <w:gridCol w:w="1276"/>
        <w:gridCol w:w="992"/>
        <w:gridCol w:w="993"/>
      </w:tblGrid>
      <w:tr>
        <w:tblPrEx>
          <w:tblLayout w:type="fixed"/>
          <w:tblCellMar>
            <w:top w:w="0" w:type="dxa"/>
            <w:left w:w="108" w:type="dxa"/>
            <w:bottom w:w="0" w:type="dxa"/>
            <w:right w:w="108" w:type="dxa"/>
          </w:tblCellMar>
        </w:tblPrEx>
        <w:trPr>
          <w:trHeight w:val="480" w:hRule="atLeast"/>
          <w:tblHeader/>
        </w:trPr>
        <w:tc>
          <w:tcPr>
            <w:tcW w:w="567" w:type="dxa"/>
            <w:tcBorders>
              <w:top w:val="single" w:color="auto" w:sz="4" w:space="0"/>
              <w:left w:val="single" w:color="auto" w:sz="4" w:space="0"/>
              <w:bottom w:val="single" w:color="auto" w:sz="4" w:space="0"/>
              <w:right w:val="single" w:color="auto" w:sz="4" w:space="0"/>
            </w:tcBorders>
            <w:shd w:val="clear" w:color="auto" w:fill="E2E2E2"/>
            <w:vAlign w:val="center"/>
          </w:tcPr>
          <w:p>
            <w:pPr>
              <w:widowControl/>
              <w:adjustRightInd w:val="0"/>
              <w:snapToGrid w:val="0"/>
              <w:spacing w:line="240" w:lineRule="auto"/>
              <w:ind w:firstLine="0" w:firstLineChars="0"/>
              <w:jc w:val="center"/>
              <w:rPr>
                <w:rFonts w:ascii="宋体" w:hAnsi="宋体" w:cs="宋体"/>
                <w:b/>
                <w:bCs/>
                <w:kern w:val="0"/>
                <w:sz w:val="20"/>
                <w:szCs w:val="20"/>
              </w:rPr>
            </w:pPr>
            <w:r>
              <w:rPr>
                <w:rFonts w:hint="eastAsia" w:ascii="宋体" w:hAnsi="宋体" w:cs="宋体"/>
                <w:b/>
                <w:bCs/>
                <w:kern w:val="0"/>
                <w:sz w:val="20"/>
                <w:szCs w:val="20"/>
              </w:rPr>
              <w:t>序号</w:t>
            </w:r>
          </w:p>
        </w:tc>
        <w:tc>
          <w:tcPr>
            <w:tcW w:w="1276" w:type="dxa"/>
            <w:tcBorders>
              <w:top w:val="single" w:color="auto" w:sz="4" w:space="0"/>
              <w:left w:val="single" w:color="auto" w:sz="4" w:space="0"/>
              <w:bottom w:val="single" w:color="auto" w:sz="4" w:space="0"/>
              <w:right w:val="single" w:color="auto" w:sz="4" w:space="0"/>
            </w:tcBorders>
            <w:shd w:val="clear" w:color="auto" w:fill="E2E2E2"/>
            <w:vAlign w:val="center"/>
          </w:tcPr>
          <w:p>
            <w:pPr>
              <w:widowControl/>
              <w:adjustRightInd w:val="0"/>
              <w:snapToGrid w:val="0"/>
              <w:spacing w:line="240" w:lineRule="auto"/>
              <w:ind w:firstLine="0" w:firstLineChars="0"/>
              <w:jc w:val="center"/>
              <w:rPr>
                <w:rFonts w:ascii="宋体" w:hAnsi="宋体" w:cs="宋体"/>
                <w:b/>
                <w:bCs/>
                <w:kern w:val="0"/>
                <w:sz w:val="20"/>
                <w:szCs w:val="20"/>
              </w:rPr>
            </w:pPr>
            <w:r>
              <w:rPr>
                <w:rFonts w:hint="eastAsia" w:ascii="宋体" w:hAnsi="宋体" w:cs="宋体"/>
                <w:b/>
                <w:bCs/>
                <w:kern w:val="0"/>
                <w:sz w:val="20"/>
                <w:szCs w:val="20"/>
              </w:rPr>
              <w:t>项目名称</w:t>
            </w:r>
          </w:p>
        </w:tc>
        <w:tc>
          <w:tcPr>
            <w:tcW w:w="3827" w:type="dxa"/>
            <w:tcBorders>
              <w:top w:val="single" w:color="auto" w:sz="4" w:space="0"/>
              <w:left w:val="nil"/>
              <w:bottom w:val="single" w:color="auto" w:sz="4" w:space="0"/>
              <w:right w:val="single" w:color="auto" w:sz="4" w:space="0"/>
            </w:tcBorders>
            <w:shd w:val="clear" w:color="auto" w:fill="E2E2E2"/>
            <w:vAlign w:val="center"/>
          </w:tcPr>
          <w:p>
            <w:pPr>
              <w:widowControl/>
              <w:adjustRightInd w:val="0"/>
              <w:snapToGrid w:val="0"/>
              <w:spacing w:line="240" w:lineRule="auto"/>
              <w:ind w:firstLine="0" w:firstLineChars="0"/>
              <w:jc w:val="center"/>
              <w:rPr>
                <w:rFonts w:ascii="宋体" w:hAnsi="宋体" w:cs="宋体"/>
                <w:b/>
                <w:bCs/>
                <w:kern w:val="0"/>
                <w:sz w:val="20"/>
                <w:szCs w:val="20"/>
              </w:rPr>
            </w:pPr>
            <w:r>
              <w:rPr>
                <w:rFonts w:hint="eastAsia" w:ascii="宋体" w:hAnsi="宋体" w:cs="宋体"/>
                <w:b/>
                <w:bCs/>
                <w:kern w:val="0"/>
                <w:sz w:val="20"/>
                <w:szCs w:val="20"/>
              </w:rPr>
              <w:t>建设内容</w:t>
            </w:r>
          </w:p>
        </w:tc>
        <w:tc>
          <w:tcPr>
            <w:tcW w:w="1276" w:type="dxa"/>
            <w:tcBorders>
              <w:top w:val="single" w:color="auto" w:sz="4" w:space="0"/>
              <w:left w:val="nil"/>
              <w:bottom w:val="single" w:color="auto" w:sz="4" w:space="0"/>
              <w:right w:val="single" w:color="auto" w:sz="4" w:space="0"/>
            </w:tcBorders>
            <w:shd w:val="clear" w:color="auto" w:fill="E2E2E2"/>
            <w:vAlign w:val="center"/>
          </w:tcPr>
          <w:p>
            <w:pPr>
              <w:widowControl/>
              <w:adjustRightInd w:val="0"/>
              <w:snapToGrid w:val="0"/>
              <w:spacing w:line="240" w:lineRule="auto"/>
              <w:ind w:firstLine="0" w:firstLineChars="0"/>
              <w:jc w:val="center"/>
              <w:rPr>
                <w:rFonts w:ascii="宋体" w:hAnsi="宋体" w:cs="宋体"/>
                <w:b/>
                <w:bCs/>
                <w:kern w:val="0"/>
                <w:sz w:val="20"/>
                <w:szCs w:val="20"/>
              </w:rPr>
            </w:pPr>
            <w:r>
              <w:rPr>
                <w:rFonts w:hint="eastAsia" w:ascii="宋体" w:hAnsi="宋体" w:cs="宋体"/>
                <w:b/>
                <w:bCs/>
                <w:kern w:val="0"/>
                <w:sz w:val="20"/>
                <w:szCs w:val="20"/>
              </w:rPr>
              <w:t>建设地点</w:t>
            </w:r>
          </w:p>
        </w:tc>
        <w:tc>
          <w:tcPr>
            <w:tcW w:w="992" w:type="dxa"/>
            <w:tcBorders>
              <w:top w:val="single" w:color="auto" w:sz="4" w:space="0"/>
              <w:left w:val="nil"/>
              <w:bottom w:val="single" w:color="auto" w:sz="4" w:space="0"/>
              <w:right w:val="single" w:color="auto" w:sz="4" w:space="0"/>
            </w:tcBorders>
            <w:shd w:val="clear" w:color="auto" w:fill="E2E2E2"/>
            <w:vAlign w:val="center"/>
          </w:tcPr>
          <w:p>
            <w:pPr>
              <w:widowControl/>
              <w:adjustRightInd w:val="0"/>
              <w:snapToGrid w:val="0"/>
              <w:spacing w:line="240" w:lineRule="auto"/>
              <w:ind w:firstLine="0" w:firstLineChars="0"/>
              <w:jc w:val="center"/>
              <w:rPr>
                <w:rFonts w:ascii="宋体" w:hAnsi="宋体" w:cs="宋体"/>
                <w:b/>
                <w:bCs/>
                <w:kern w:val="0"/>
                <w:sz w:val="20"/>
                <w:szCs w:val="20"/>
              </w:rPr>
            </w:pPr>
            <w:r>
              <w:rPr>
                <w:rFonts w:hint="eastAsia" w:ascii="宋体" w:hAnsi="宋体" w:cs="宋体"/>
                <w:b/>
                <w:bCs/>
                <w:kern w:val="0"/>
                <w:sz w:val="20"/>
                <w:szCs w:val="20"/>
              </w:rPr>
              <w:t>涉及保护分区</w:t>
            </w:r>
          </w:p>
        </w:tc>
        <w:tc>
          <w:tcPr>
            <w:tcW w:w="993" w:type="dxa"/>
            <w:tcBorders>
              <w:top w:val="single" w:color="auto" w:sz="4" w:space="0"/>
              <w:left w:val="nil"/>
              <w:bottom w:val="single" w:color="auto" w:sz="4" w:space="0"/>
              <w:right w:val="single" w:color="auto" w:sz="4" w:space="0"/>
            </w:tcBorders>
            <w:shd w:val="clear" w:color="auto" w:fill="E2E2E2"/>
            <w:vAlign w:val="center"/>
          </w:tcPr>
          <w:p>
            <w:pPr>
              <w:widowControl/>
              <w:adjustRightInd w:val="0"/>
              <w:snapToGrid w:val="0"/>
              <w:spacing w:line="240" w:lineRule="auto"/>
              <w:ind w:firstLine="0" w:firstLineChars="0"/>
              <w:jc w:val="center"/>
              <w:rPr>
                <w:rFonts w:ascii="宋体" w:hAnsi="宋体" w:cs="宋体"/>
                <w:b/>
                <w:bCs/>
                <w:kern w:val="0"/>
                <w:sz w:val="20"/>
                <w:szCs w:val="20"/>
              </w:rPr>
            </w:pPr>
            <w:r>
              <w:rPr>
                <w:rFonts w:hint="eastAsia" w:ascii="宋体" w:hAnsi="宋体" w:cs="宋体"/>
                <w:b/>
                <w:bCs/>
                <w:kern w:val="0"/>
                <w:sz w:val="20"/>
                <w:szCs w:val="20"/>
              </w:rPr>
              <w:t>实施年限</w:t>
            </w:r>
          </w:p>
        </w:tc>
      </w:tr>
      <w:tr>
        <w:tblPrEx>
          <w:tblLayout w:type="fixed"/>
          <w:tblCellMar>
            <w:top w:w="0" w:type="dxa"/>
            <w:left w:w="108" w:type="dxa"/>
            <w:bottom w:w="0" w:type="dxa"/>
            <w:right w:w="108" w:type="dxa"/>
          </w:tblCellMar>
        </w:tblPrEx>
        <w:trPr>
          <w:trHeight w:val="720" w:hRule="atLeast"/>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1</w:t>
            </w:r>
          </w:p>
        </w:tc>
        <w:tc>
          <w:tcPr>
            <w:tcW w:w="1276"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仰山片农村饮用水及灌溉用水提升工程</w:t>
            </w:r>
          </w:p>
        </w:tc>
        <w:tc>
          <w:tcPr>
            <w:tcW w:w="382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建设浮船泵站，加压泵站，电源系统，电气系统，输水系统，配水管道，配水站，临时工程，自来水厂等。</w:t>
            </w:r>
          </w:p>
        </w:tc>
        <w:tc>
          <w:tcPr>
            <w:tcW w:w="127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珊溪镇雅坪村、塘山村、鳌洋村、松坑村</w:t>
            </w:r>
          </w:p>
        </w:tc>
        <w:tc>
          <w:tcPr>
            <w:tcW w:w="99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二级</w:t>
            </w:r>
          </w:p>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三级</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ascii="宋体" w:hAnsi="宋体" w:cs="宋体"/>
                <w:bCs/>
                <w:kern w:val="0"/>
                <w:sz w:val="20"/>
                <w:szCs w:val="20"/>
              </w:rPr>
              <w:t>2025-2030</w:t>
            </w:r>
          </w:p>
        </w:tc>
      </w:tr>
      <w:tr>
        <w:tblPrEx>
          <w:tblLayout w:type="fixed"/>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2</w:t>
            </w:r>
          </w:p>
        </w:tc>
        <w:tc>
          <w:tcPr>
            <w:tcW w:w="1276"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铜铃山镇水利综合提升工程</w:t>
            </w:r>
          </w:p>
        </w:tc>
        <w:tc>
          <w:tcPr>
            <w:tcW w:w="382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建设一水库大坝（观音堂水库），淹没区近</w:t>
            </w:r>
            <w:r>
              <w:rPr>
                <w:rFonts w:ascii="宋体" w:hAnsi="宋体" w:cs="宋体"/>
                <w:bCs/>
                <w:kern w:val="0"/>
                <w:sz w:val="20"/>
                <w:szCs w:val="20"/>
              </w:rPr>
              <w:t>41亩，解决铜铃山镇居民用水问题；镇域范围内的小水库水坝的加固提升等</w:t>
            </w:r>
          </w:p>
        </w:tc>
        <w:tc>
          <w:tcPr>
            <w:tcW w:w="127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铜铃山镇石垟林场吴垟林区</w:t>
            </w:r>
          </w:p>
        </w:tc>
        <w:tc>
          <w:tcPr>
            <w:tcW w:w="99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二级</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ascii="宋体" w:hAnsi="宋体" w:cs="宋体"/>
                <w:bCs/>
                <w:kern w:val="0"/>
                <w:sz w:val="20"/>
                <w:szCs w:val="20"/>
              </w:rPr>
              <w:t>2025-2027</w:t>
            </w:r>
          </w:p>
        </w:tc>
      </w:tr>
      <w:tr>
        <w:tblPrEx>
          <w:tblLayout w:type="fixed"/>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3</w:t>
            </w:r>
          </w:p>
        </w:tc>
        <w:tc>
          <w:tcPr>
            <w:tcW w:w="1276"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kern w:val="0"/>
                <w:sz w:val="20"/>
                <w:szCs w:val="20"/>
              </w:rPr>
              <w:t>文成县城防洪提升工程</w:t>
            </w:r>
          </w:p>
        </w:tc>
        <w:tc>
          <w:tcPr>
            <w:tcW w:w="382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kern w:val="0"/>
                <w:sz w:val="20"/>
                <w:szCs w:val="20"/>
              </w:rPr>
              <w:t>大峃镇吴岭村峡谷景廊上游新建吴垟水库1座（小型水库），将县城防洪标准提升至50年一遇。</w:t>
            </w:r>
          </w:p>
        </w:tc>
        <w:tc>
          <w:tcPr>
            <w:tcW w:w="127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kern w:val="0"/>
                <w:sz w:val="20"/>
                <w:szCs w:val="20"/>
              </w:rPr>
              <w:t>大峃镇</w:t>
            </w:r>
          </w:p>
        </w:tc>
        <w:tc>
          <w:tcPr>
            <w:tcW w:w="99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kern w:val="0"/>
                <w:sz w:val="20"/>
                <w:szCs w:val="20"/>
              </w:rPr>
              <w:t>二级</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ascii="宋体" w:hAnsi="宋体" w:cs="宋体"/>
                <w:kern w:val="0"/>
                <w:sz w:val="20"/>
                <w:szCs w:val="20"/>
              </w:rPr>
              <w:t>2025-2028</w:t>
            </w:r>
          </w:p>
        </w:tc>
      </w:tr>
      <w:tr>
        <w:tblPrEx>
          <w:tblLayout w:type="fixed"/>
          <w:tblCellMar>
            <w:top w:w="0" w:type="dxa"/>
            <w:left w:w="108" w:type="dxa"/>
            <w:bottom w:w="0" w:type="dxa"/>
            <w:right w:w="108" w:type="dxa"/>
          </w:tblCellMar>
        </w:tblPrEx>
        <w:trPr>
          <w:trHeight w:val="720" w:hRule="atLeast"/>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4</w:t>
            </w:r>
          </w:p>
        </w:tc>
        <w:tc>
          <w:tcPr>
            <w:tcW w:w="1276"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kern w:val="0"/>
                <w:sz w:val="20"/>
                <w:szCs w:val="20"/>
              </w:rPr>
              <w:t>文成县农村供水水源保障及数字化建设工程</w:t>
            </w:r>
          </w:p>
        </w:tc>
        <w:tc>
          <w:tcPr>
            <w:tcW w:w="3827" w:type="dxa"/>
            <w:tcBorders>
              <w:top w:val="nil"/>
              <w:left w:val="nil"/>
              <w:bottom w:val="single" w:color="auto" w:sz="4" w:space="0"/>
              <w:right w:val="single" w:color="auto" w:sz="4" w:space="0"/>
            </w:tcBorders>
            <w:shd w:val="clear" w:color="auto" w:fill="auto"/>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kern w:val="0"/>
                <w:sz w:val="20"/>
                <w:szCs w:val="20"/>
              </w:rPr>
              <w:t>对</w:t>
            </w:r>
            <w:r>
              <w:rPr>
                <w:rFonts w:ascii="宋体" w:hAnsi="宋体" w:cs="宋体"/>
                <w:kern w:val="0"/>
                <w:sz w:val="20"/>
                <w:szCs w:val="20"/>
              </w:rPr>
              <w:t>17</w:t>
            </w:r>
            <w:r>
              <w:rPr>
                <w:rFonts w:hint="eastAsia" w:ascii="宋体" w:hAnsi="宋体" w:cs="宋体"/>
                <w:kern w:val="0"/>
                <w:sz w:val="20"/>
                <w:szCs w:val="20"/>
              </w:rPr>
              <w:t>个乡镇已建座厂站的标准化提升，新建、改建水源工程，新增一体化净水消毒设备，新建、拆建清水池，新建管理房，新增、改造输配水管道，新增、改造城镇延伸管网等。</w:t>
            </w:r>
          </w:p>
        </w:tc>
        <w:tc>
          <w:tcPr>
            <w:tcW w:w="127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县域</w:t>
            </w:r>
          </w:p>
        </w:tc>
        <w:tc>
          <w:tcPr>
            <w:tcW w:w="99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二级</w:t>
            </w:r>
          </w:p>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三级（部分涉及）</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ascii="宋体" w:hAnsi="宋体" w:cs="宋体"/>
                <w:bCs/>
                <w:kern w:val="0"/>
                <w:sz w:val="20"/>
                <w:szCs w:val="20"/>
              </w:rPr>
              <w:t>2024-2026</w:t>
            </w:r>
          </w:p>
        </w:tc>
      </w:tr>
      <w:tr>
        <w:tblPrEx>
          <w:tblLayout w:type="fixed"/>
          <w:tblCellMar>
            <w:top w:w="0" w:type="dxa"/>
            <w:left w:w="108" w:type="dxa"/>
            <w:bottom w:w="0" w:type="dxa"/>
            <w:right w:w="108" w:type="dxa"/>
          </w:tblCellMar>
        </w:tblPrEx>
        <w:trPr>
          <w:trHeight w:val="720" w:hRule="atLeast"/>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5</w:t>
            </w:r>
          </w:p>
        </w:tc>
        <w:tc>
          <w:tcPr>
            <w:tcW w:w="1276"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kern w:val="0"/>
                <w:sz w:val="20"/>
                <w:szCs w:val="20"/>
              </w:rPr>
              <w:t>山塘水库综合提升工程</w:t>
            </w:r>
          </w:p>
        </w:tc>
        <w:tc>
          <w:tcPr>
            <w:tcW w:w="382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kern w:val="0"/>
                <w:sz w:val="20"/>
                <w:szCs w:val="20"/>
              </w:rPr>
              <w:t>对</w:t>
            </w:r>
            <w:r>
              <w:rPr>
                <w:rFonts w:ascii="宋体" w:hAnsi="宋体" w:cs="宋体"/>
                <w:kern w:val="0"/>
                <w:sz w:val="20"/>
                <w:szCs w:val="20"/>
              </w:rPr>
              <w:t>17</w:t>
            </w:r>
            <w:r>
              <w:rPr>
                <w:rFonts w:hint="eastAsia" w:ascii="宋体" w:hAnsi="宋体" w:cs="宋体"/>
                <w:kern w:val="0"/>
                <w:sz w:val="20"/>
                <w:szCs w:val="20"/>
              </w:rPr>
              <w:t>个乡镇的山塘、水库开展综合提升。改建驮猫降水库，功能为供水，总库容3.9万立方米。</w:t>
            </w:r>
          </w:p>
        </w:tc>
        <w:tc>
          <w:tcPr>
            <w:tcW w:w="127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kern w:val="0"/>
                <w:sz w:val="20"/>
                <w:szCs w:val="20"/>
              </w:rPr>
              <w:t>县域</w:t>
            </w:r>
          </w:p>
        </w:tc>
        <w:tc>
          <w:tcPr>
            <w:tcW w:w="99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一级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kern w:val="0"/>
                <w:sz w:val="20"/>
                <w:szCs w:val="20"/>
              </w:rPr>
              <w:t>三级</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ascii="宋体" w:hAnsi="宋体" w:cs="宋体"/>
                <w:kern w:val="0"/>
                <w:sz w:val="20"/>
                <w:szCs w:val="20"/>
              </w:rPr>
              <w:t>2024-2026</w:t>
            </w:r>
          </w:p>
        </w:tc>
      </w:tr>
      <w:tr>
        <w:tblPrEx>
          <w:tblLayout w:type="fixed"/>
          <w:tblCellMar>
            <w:top w:w="0" w:type="dxa"/>
            <w:left w:w="108" w:type="dxa"/>
            <w:bottom w:w="0" w:type="dxa"/>
            <w:right w:w="108" w:type="dxa"/>
          </w:tblCellMar>
        </w:tblPrEx>
        <w:trPr>
          <w:trHeight w:val="720" w:hRule="atLeast"/>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6</w:t>
            </w:r>
          </w:p>
        </w:tc>
        <w:tc>
          <w:tcPr>
            <w:tcW w:w="1276"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kern w:val="0"/>
                <w:sz w:val="20"/>
                <w:szCs w:val="20"/>
              </w:rPr>
              <w:t>三源水库工程</w:t>
            </w:r>
          </w:p>
        </w:tc>
        <w:tc>
          <w:tcPr>
            <w:tcW w:w="382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kern w:val="0"/>
                <w:sz w:val="20"/>
                <w:szCs w:val="20"/>
              </w:rPr>
              <w:t>南田镇三源村山长湾下游新建三源水库</w:t>
            </w:r>
            <w:r>
              <w:rPr>
                <w:rFonts w:ascii="宋体" w:hAnsi="宋体" w:cs="宋体"/>
                <w:kern w:val="0"/>
                <w:sz w:val="20"/>
                <w:szCs w:val="20"/>
              </w:rPr>
              <w:t>1</w:t>
            </w:r>
            <w:r>
              <w:rPr>
                <w:rFonts w:hint="eastAsia" w:ascii="宋体" w:hAnsi="宋体" w:cs="宋体"/>
                <w:kern w:val="0"/>
                <w:sz w:val="20"/>
                <w:szCs w:val="20"/>
              </w:rPr>
              <w:t>座（中型水库），解决百丈漈镇、玉壶镇城镇供水及改善下游百丈漈水库生态流量。</w:t>
            </w:r>
          </w:p>
        </w:tc>
        <w:tc>
          <w:tcPr>
            <w:tcW w:w="127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kern w:val="0"/>
                <w:sz w:val="20"/>
                <w:szCs w:val="20"/>
              </w:rPr>
              <w:t>南田镇</w:t>
            </w:r>
          </w:p>
        </w:tc>
        <w:tc>
          <w:tcPr>
            <w:tcW w:w="99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kern w:val="0"/>
                <w:sz w:val="20"/>
                <w:szCs w:val="20"/>
              </w:rPr>
              <w:t>三级</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ascii="宋体" w:hAnsi="宋体" w:cs="宋体"/>
                <w:kern w:val="0"/>
                <w:sz w:val="20"/>
                <w:szCs w:val="20"/>
              </w:rPr>
              <w:t>2026-2030</w:t>
            </w:r>
          </w:p>
        </w:tc>
      </w:tr>
      <w:tr>
        <w:tblPrEx>
          <w:tblLayout w:type="fixed"/>
          <w:tblCellMar>
            <w:top w:w="0" w:type="dxa"/>
            <w:left w:w="108" w:type="dxa"/>
            <w:bottom w:w="0" w:type="dxa"/>
            <w:right w:w="108" w:type="dxa"/>
          </w:tblCellMar>
        </w:tblPrEx>
        <w:trPr>
          <w:trHeight w:val="720" w:hRule="atLeast"/>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7</w:t>
            </w:r>
          </w:p>
        </w:tc>
        <w:tc>
          <w:tcPr>
            <w:tcW w:w="1276"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kern w:val="0"/>
                <w:sz w:val="20"/>
                <w:szCs w:val="20"/>
              </w:rPr>
              <w:t>梧溪防洪排涝工程</w:t>
            </w:r>
          </w:p>
        </w:tc>
        <w:tc>
          <w:tcPr>
            <w:tcW w:w="382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kern w:val="0"/>
                <w:sz w:val="20"/>
                <w:szCs w:val="20"/>
              </w:rPr>
              <w:t>梧溪流域综合治理，主要建设堤防护岸、桥梁、游步道、堰坝、滩地治理等。</w:t>
            </w:r>
          </w:p>
        </w:tc>
        <w:tc>
          <w:tcPr>
            <w:tcW w:w="127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kern w:val="0"/>
                <w:sz w:val="20"/>
                <w:szCs w:val="20"/>
              </w:rPr>
              <w:t>西坑畲族镇</w:t>
            </w:r>
          </w:p>
        </w:tc>
        <w:tc>
          <w:tcPr>
            <w:tcW w:w="99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一级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kern w:val="0"/>
                <w:sz w:val="20"/>
                <w:szCs w:val="20"/>
              </w:rPr>
              <w:t>三级</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ascii="宋体" w:hAnsi="宋体" w:cs="宋体"/>
                <w:kern w:val="0"/>
                <w:sz w:val="20"/>
                <w:szCs w:val="20"/>
              </w:rPr>
              <w:t>2025-2026</w:t>
            </w:r>
          </w:p>
        </w:tc>
      </w:tr>
      <w:tr>
        <w:tblPrEx>
          <w:tblLayout w:type="fixed"/>
          <w:tblCellMar>
            <w:top w:w="0" w:type="dxa"/>
            <w:left w:w="108" w:type="dxa"/>
            <w:bottom w:w="0" w:type="dxa"/>
            <w:right w:w="108" w:type="dxa"/>
          </w:tblCellMar>
        </w:tblPrEx>
        <w:trPr>
          <w:trHeight w:val="720" w:hRule="atLeast"/>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8</w:t>
            </w:r>
          </w:p>
        </w:tc>
        <w:tc>
          <w:tcPr>
            <w:tcW w:w="1276"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kern w:val="0"/>
                <w:sz w:val="20"/>
                <w:szCs w:val="20"/>
              </w:rPr>
              <w:t>桂竹水库流域综合保护与开发项目</w:t>
            </w:r>
          </w:p>
        </w:tc>
        <w:tc>
          <w:tcPr>
            <w:tcW w:w="382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kern w:val="0"/>
                <w:sz w:val="20"/>
                <w:szCs w:val="20"/>
              </w:rPr>
              <w:t>桂竹一级水库抽水蓄能电站建设，以及二级水库环炉西峡流域保护开发建设。</w:t>
            </w:r>
          </w:p>
        </w:tc>
        <w:tc>
          <w:tcPr>
            <w:tcW w:w="127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kern w:val="0"/>
                <w:sz w:val="20"/>
                <w:szCs w:val="20"/>
              </w:rPr>
              <w:t>桂竹水库流域</w:t>
            </w:r>
          </w:p>
        </w:tc>
        <w:tc>
          <w:tcPr>
            <w:tcW w:w="99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kern w:val="0"/>
                <w:sz w:val="20"/>
                <w:szCs w:val="20"/>
              </w:rPr>
              <w:t>三级</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ascii="宋体" w:hAnsi="宋体" w:cs="宋体"/>
                <w:kern w:val="0"/>
                <w:sz w:val="20"/>
                <w:szCs w:val="20"/>
              </w:rPr>
              <w:t>2025-2030</w:t>
            </w:r>
          </w:p>
        </w:tc>
      </w:tr>
      <w:tr>
        <w:tblPrEx>
          <w:tblLayout w:type="fixed"/>
          <w:tblCellMar>
            <w:top w:w="0" w:type="dxa"/>
            <w:left w:w="108" w:type="dxa"/>
            <w:bottom w:w="0" w:type="dxa"/>
            <w:right w:w="108" w:type="dxa"/>
          </w:tblCellMar>
        </w:tblPrEx>
        <w:trPr>
          <w:trHeight w:val="794" w:hRule="atLeast"/>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9</w:t>
            </w:r>
          </w:p>
        </w:tc>
        <w:tc>
          <w:tcPr>
            <w:tcW w:w="1276"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kern w:val="0"/>
                <w:sz w:val="20"/>
                <w:szCs w:val="20"/>
              </w:rPr>
              <w:t>李井坑生态河道提升及牛栏湾水库工程</w:t>
            </w:r>
          </w:p>
        </w:tc>
        <w:tc>
          <w:tcPr>
            <w:tcW w:w="382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kern w:val="0"/>
                <w:sz w:val="20"/>
                <w:szCs w:val="20"/>
              </w:rPr>
              <w:t>李井坑河道综合治理，主要建设堤防护岸、桥梁、游步道、堰坝、滩地治理等；建设牛栏湾水库，</w:t>
            </w:r>
            <w:r>
              <w:rPr>
                <w:rFonts w:hint="eastAsia" w:ascii="宋体" w:hAnsi="宋体" w:cs="宋体"/>
                <w:bCs/>
                <w:kern w:val="0"/>
                <w:sz w:val="20"/>
                <w:szCs w:val="20"/>
              </w:rPr>
              <w:t>新建挡水建筑物、泄洪建筑物及上坝道路。</w:t>
            </w:r>
          </w:p>
        </w:tc>
        <w:tc>
          <w:tcPr>
            <w:tcW w:w="127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kern w:val="0"/>
                <w:sz w:val="20"/>
                <w:szCs w:val="20"/>
              </w:rPr>
              <w:t>珊溪镇</w:t>
            </w:r>
          </w:p>
        </w:tc>
        <w:tc>
          <w:tcPr>
            <w:tcW w:w="99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kern w:val="0"/>
                <w:sz w:val="20"/>
                <w:szCs w:val="20"/>
              </w:rPr>
              <w:t>二级</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ascii="宋体" w:hAnsi="宋体" w:cs="宋体"/>
                <w:kern w:val="0"/>
                <w:sz w:val="20"/>
                <w:szCs w:val="20"/>
              </w:rPr>
              <w:t>2024-2030</w:t>
            </w:r>
          </w:p>
        </w:tc>
      </w:tr>
      <w:tr>
        <w:tblPrEx>
          <w:tblLayout w:type="fixed"/>
          <w:tblCellMar>
            <w:top w:w="0" w:type="dxa"/>
            <w:left w:w="108" w:type="dxa"/>
            <w:bottom w:w="0" w:type="dxa"/>
            <w:right w:w="108" w:type="dxa"/>
          </w:tblCellMar>
        </w:tblPrEx>
        <w:trPr>
          <w:trHeight w:val="310" w:hRule="atLeast"/>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1</w:t>
            </w:r>
            <w:r>
              <w:rPr>
                <w:rFonts w:ascii="宋体" w:hAnsi="宋体" w:cs="宋体"/>
                <w:bCs/>
                <w:kern w:val="0"/>
                <w:sz w:val="20"/>
                <w:szCs w:val="20"/>
              </w:rPr>
              <w:t>0</w:t>
            </w:r>
          </w:p>
        </w:tc>
        <w:tc>
          <w:tcPr>
            <w:tcW w:w="1276"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kern w:val="0"/>
                <w:sz w:val="20"/>
                <w:szCs w:val="20"/>
              </w:rPr>
              <w:t>巨屿镇流域综合整治工程</w:t>
            </w:r>
          </w:p>
        </w:tc>
        <w:tc>
          <w:tcPr>
            <w:tcW w:w="382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kern w:val="0"/>
                <w:sz w:val="20"/>
                <w:szCs w:val="20"/>
              </w:rPr>
              <w:t>主要建设堤防护岸、桥梁、游步道、堰坝、滩地治理等</w:t>
            </w:r>
          </w:p>
        </w:tc>
        <w:tc>
          <w:tcPr>
            <w:tcW w:w="127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kern w:val="0"/>
                <w:sz w:val="20"/>
                <w:szCs w:val="20"/>
              </w:rPr>
              <w:t>巨屿镇</w:t>
            </w:r>
          </w:p>
        </w:tc>
        <w:tc>
          <w:tcPr>
            <w:tcW w:w="99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kern w:val="0"/>
                <w:sz w:val="20"/>
                <w:szCs w:val="20"/>
              </w:rPr>
              <w:t>三级</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ascii="宋体" w:hAnsi="宋体" w:cs="宋体"/>
                <w:kern w:val="0"/>
                <w:sz w:val="20"/>
                <w:szCs w:val="20"/>
              </w:rPr>
              <w:t>2024-2025</w:t>
            </w:r>
          </w:p>
        </w:tc>
      </w:tr>
      <w:tr>
        <w:tblPrEx>
          <w:tblLayout w:type="fixed"/>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1</w:t>
            </w:r>
            <w:r>
              <w:rPr>
                <w:rFonts w:ascii="宋体" w:hAnsi="宋体" w:cs="宋体"/>
                <w:bCs/>
                <w:kern w:val="0"/>
                <w:sz w:val="20"/>
                <w:szCs w:val="20"/>
              </w:rPr>
              <w:t>1</w:t>
            </w:r>
          </w:p>
        </w:tc>
        <w:tc>
          <w:tcPr>
            <w:tcW w:w="1276"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铜铃山碳汇经济配套设施提升工程</w:t>
            </w:r>
          </w:p>
        </w:tc>
        <w:tc>
          <w:tcPr>
            <w:tcW w:w="382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依托两大国有林场，发挥森林碳汇资源，建设碳汇实验室，碳汇数据管理平台，通讯设施，防火设施等碳汇经济配套设施</w:t>
            </w:r>
          </w:p>
        </w:tc>
        <w:tc>
          <w:tcPr>
            <w:tcW w:w="127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铜铃山镇</w:t>
            </w:r>
          </w:p>
        </w:tc>
        <w:tc>
          <w:tcPr>
            <w:tcW w:w="99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一级</w:t>
            </w:r>
          </w:p>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二级</w:t>
            </w:r>
          </w:p>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三级</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ascii="宋体" w:hAnsi="宋体" w:cs="宋体"/>
                <w:bCs/>
                <w:kern w:val="0"/>
                <w:sz w:val="20"/>
                <w:szCs w:val="20"/>
              </w:rPr>
              <w:t>2025-2035</w:t>
            </w:r>
          </w:p>
        </w:tc>
      </w:tr>
      <w:tr>
        <w:tblPrEx>
          <w:tblLayout w:type="fixed"/>
          <w:tblCellMar>
            <w:top w:w="0" w:type="dxa"/>
            <w:left w:w="108" w:type="dxa"/>
            <w:bottom w:w="0" w:type="dxa"/>
            <w:right w:w="108" w:type="dxa"/>
          </w:tblCellMar>
        </w:tblPrEx>
        <w:trPr>
          <w:trHeight w:val="1200" w:hRule="atLeast"/>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1</w:t>
            </w:r>
            <w:r>
              <w:rPr>
                <w:rFonts w:ascii="宋体" w:hAnsi="宋体" w:cs="宋体"/>
                <w:bCs/>
                <w:kern w:val="0"/>
                <w:sz w:val="20"/>
                <w:szCs w:val="20"/>
              </w:rPr>
              <w:t>2</w:t>
            </w:r>
          </w:p>
        </w:tc>
        <w:tc>
          <w:tcPr>
            <w:tcW w:w="1276"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kern w:val="0"/>
                <w:sz w:val="20"/>
                <w:szCs w:val="20"/>
              </w:rPr>
              <w:t>铜铃山云途低空经济开发项目</w:t>
            </w:r>
          </w:p>
        </w:tc>
        <w:tc>
          <w:tcPr>
            <w:tcW w:w="382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kern w:val="0"/>
                <w:sz w:val="20"/>
                <w:szCs w:val="20"/>
              </w:rPr>
              <w:t>计划新建若干个停机坪（月老山、铜铃山、杨顶峰和猴王谷等），串联各景区及旅游专线，包含信号站、交通道路、飞行衍生产品等其他配套设施区块。用地面积约</w:t>
            </w:r>
            <w:r>
              <w:rPr>
                <w:rFonts w:ascii="宋体" w:hAnsi="宋体" w:cs="宋体"/>
                <w:kern w:val="0"/>
                <w:sz w:val="20"/>
                <w:szCs w:val="20"/>
              </w:rPr>
              <w:t>50亩。</w:t>
            </w:r>
          </w:p>
        </w:tc>
        <w:tc>
          <w:tcPr>
            <w:tcW w:w="127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kern w:val="0"/>
                <w:sz w:val="20"/>
                <w:szCs w:val="20"/>
              </w:rPr>
              <w:t>铜铃山镇</w:t>
            </w:r>
          </w:p>
        </w:tc>
        <w:tc>
          <w:tcPr>
            <w:tcW w:w="99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一级</w:t>
            </w:r>
          </w:p>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kern w:val="0"/>
                <w:sz w:val="20"/>
                <w:szCs w:val="20"/>
              </w:rPr>
              <w:t>二级</w:t>
            </w:r>
            <w:r>
              <w:rPr>
                <w:rFonts w:ascii="宋体" w:hAnsi="宋体" w:cs="宋体"/>
                <w:kern w:val="0"/>
                <w:sz w:val="20"/>
                <w:szCs w:val="20"/>
              </w:rPr>
              <w:t xml:space="preserve">   </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ascii="宋体" w:hAnsi="宋体" w:cs="宋体"/>
                <w:kern w:val="0"/>
                <w:sz w:val="20"/>
                <w:szCs w:val="20"/>
              </w:rPr>
              <w:t>2025-2027</w:t>
            </w:r>
          </w:p>
        </w:tc>
      </w:tr>
      <w:tr>
        <w:tblPrEx>
          <w:tblLayout w:type="fixed"/>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1</w:t>
            </w:r>
            <w:r>
              <w:rPr>
                <w:rFonts w:ascii="宋体" w:hAnsi="宋体" w:cs="宋体"/>
                <w:bCs/>
                <w:kern w:val="0"/>
                <w:sz w:val="20"/>
                <w:szCs w:val="20"/>
              </w:rPr>
              <w:t>3</w:t>
            </w:r>
          </w:p>
        </w:tc>
        <w:tc>
          <w:tcPr>
            <w:tcW w:w="1276"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乡村现代化基础设施提升工程</w:t>
            </w:r>
          </w:p>
        </w:tc>
        <w:tc>
          <w:tcPr>
            <w:tcW w:w="382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改善提升风景区内各行政村水、电、路、</w:t>
            </w:r>
            <w:r>
              <w:rPr>
                <w:rFonts w:ascii="宋体" w:hAnsi="宋体" w:cs="宋体"/>
                <w:bCs/>
                <w:kern w:val="0"/>
                <w:sz w:val="20"/>
                <w:szCs w:val="20"/>
              </w:rPr>
              <w:t>5G通信基站、污水管网、生态垃圾处理站等基础设施，优化便民服务“软件+硬件”，提升村庄功能品质。</w:t>
            </w:r>
          </w:p>
        </w:tc>
        <w:tc>
          <w:tcPr>
            <w:tcW w:w="127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县域</w:t>
            </w:r>
          </w:p>
        </w:tc>
        <w:tc>
          <w:tcPr>
            <w:tcW w:w="99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二级</w:t>
            </w:r>
          </w:p>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三级</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ascii="宋体" w:hAnsi="宋体" w:cs="宋体"/>
                <w:bCs/>
                <w:kern w:val="0"/>
                <w:sz w:val="20"/>
                <w:szCs w:val="20"/>
              </w:rPr>
              <w:t>2024-2029</w:t>
            </w:r>
          </w:p>
        </w:tc>
      </w:tr>
      <w:tr>
        <w:tblPrEx>
          <w:tblLayout w:type="fixed"/>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1</w:t>
            </w:r>
            <w:r>
              <w:rPr>
                <w:rFonts w:ascii="宋体" w:hAnsi="宋体" w:cs="宋体"/>
                <w:bCs/>
                <w:kern w:val="0"/>
                <w:sz w:val="20"/>
                <w:szCs w:val="20"/>
              </w:rPr>
              <w:t>4</w:t>
            </w:r>
          </w:p>
        </w:tc>
        <w:tc>
          <w:tcPr>
            <w:tcW w:w="1276"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低空全域基础设施项目</w:t>
            </w:r>
          </w:p>
        </w:tc>
        <w:tc>
          <w:tcPr>
            <w:tcW w:w="382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建设1个低空交通综合母港、4个无人机枢纽型起降场，40个无人机常态化起降点，打造低空物流、低空旅游、应急救援、物资投送、农林植保等多元行业融合发展。其他乡镇谋划的小型停靠点可以在各社区内选址。完善环飞云湖区域低空经济配套设施。</w:t>
            </w:r>
          </w:p>
        </w:tc>
        <w:tc>
          <w:tcPr>
            <w:tcW w:w="127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全县各乡镇内选点</w:t>
            </w:r>
          </w:p>
        </w:tc>
        <w:tc>
          <w:tcPr>
            <w:tcW w:w="99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二级</w:t>
            </w:r>
          </w:p>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三级</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ascii="宋体" w:hAnsi="宋体" w:cs="宋体"/>
                <w:bCs/>
                <w:kern w:val="0"/>
                <w:sz w:val="20"/>
                <w:szCs w:val="20"/>
              </w:rPr>
              <w:t>2024</w:t>
            </w:r>
            <w:r>
              <w:rPr>
                <w:rFonts w:hint="eastAsia" w:ascii="宋体" w:hAnsi="宋体" w:cs="宋体"/>
                <w:bCs/>
                <w:kern w:val="0"/>
                <w:sz w:val="20"/>
                <w:szCs w:val="20"/>
              </w:rPr>
              <w:t>-</w:t>
            </w:r>
            <w:r>
              <w:rPr>
                <w:rFonts w:ascii="宋体" w:hAnsi="宋体" w:cs="宋体"/>
                <w:bCs/>
                <w:kern w:val="0"/>
                <w:sz w:val="20"/>
                <w:szCs w:val="20"/>
              </w:rPr>
              <w:t>2028</w:t>
            </w:r>
          </w:p>
        </w:tc>
      </w:tr>
      <w:tr>
        <w:tblPrEx>
          <w:tblLayout w:type="fixed"/>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1</w:t>
            </w:r>
            <w:r>
              <w:rPr>
                <w:rFonts w:ascii="宋体" w:hAnsi="宋体" w:cs="宋体"/>
                <w:bCs/>
                <w:kern w:val="0"/>
                <w:sz w:val="20"/>
                <w:szCs w:val="20"/>
              </w:rPr>
              <w:t>5</w:t>
            </w:r>
          </w:p>
        </w:tc>
        <w:tc>
          <w:tcPr>
            <w:tcW w:w="1276"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文成县能源供给保障提升工程</w:t>
            </w:r>
          </w:p>
        </w:tc>
        <w:tc>
          <w:tcPr>
            <w:tcW w:w="382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建设天然气场站及配套管网，包括</w:t>
            </w:r>
            <w:r>
              <w:rPr>
                <w:rFonts w:ascii="宋体" w:hAnsi="宋体" w:cs="宋体"/>
                <w:bCs/>
                <w:kern w:val="0"/>
                <w:sz w:val="20"/>
                <w:szCs w:val="20"/>
              </w:rPr>
              <w:t>LNG储罐和配套气化设备及配套管网</w:t>
            </w:r>
          </w:p>
        </w:tc>
        <w:tc>
          <w:tcPr>
            <w:tcW w:w="127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县域</w:t>
            </w:r>
          </w:p>
        </w:tc>
        <w:tc>
          <w:tcPr>
            <w:tcW w:w="99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一级</w:t>
            </w:r>
          </w:p>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二级</w:t>
            </w:r>
          </w:p>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三级</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ascii="宋体" w:hAnsi="宋体" w:cs="宋体"/>
                <w:bCs/>
                <w:kern w:val="0"/>
                <w:sz w:val="20"/>
                <w:szCs w:val="20"/>
              </w:rPr>
              <w:t>2025-2027</w:t>
            </w:r>
          </w:p>
        </w:tc>
      </w:tr>
      <w:tr>
        <w:tblPrEx>
          <w:tblLayout w:type="fixed"/>
          <w:tblCellMar>
            <w:top w:w="0" w:type="dxa"/>
            <w:left w:w="108" w:type="dxa"/>
            <w:bottom w:w="0" w:type="dxa"/>
            <w:right w:w="108" w:type="dxa"/>
          </w:tblCellMar>
        </w:tblPrEx>
        <w:trPr>
          <w:trHeight w:val="960" w:hRule="atLeast"/>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1</w:t>
            </w:r>
            <w:r>
              <w:rPr>
                <w:rFonts w:ascii="宋体" w:hAnsi="宋体" w:cs="宋体"/>
                <w:bCs/>
                <w:kern w:val="0"/>
                <w:sz w:val="20"/>
                <w:szCs w:val="20"/>
              </w:rPr>
              <w:t>6</w:t>
            </w:r>
          </w:p>
        </w:tc>
        <w:tc>
          <w:tcPr>
            <w:tcW w:w="1276"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管道天然气调压门站及配套管网建设工程</w:t>
            </w:r>
          </w:p>
        </w:tc>
        <w:tc>
          <w:tcPr>
            <w:tcW w:w="382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新建连接国网天然气长输管线的配套调压门站两座，年供气规模为</w:t>
            </w:r>
            <w:r>
              <w:rPr>
                <w:rFonts w:ascii="宋体" w:hAnsi="宋体" w:cs="宋体"/>
                <w:bCs/>
                <w:kern w:val="0"/>
                <w:sz w:val="20"/>
                <w:szCs w:val="20"/>
              </w:rPr>
              <w:t>1亿方；新建配套至大峃、巨屿、黄坦、百丈漈、南田等乡镇的燃气输送管网，其中管径DN400管网长度约15公里，管径DN250管网长度约25公里，改建燃气管网长度约10公里</w:t>
            </w:r>
          </w:p>
        </w:tc>
        <w:tc>
          <w:tcPr>
            <w:tcW w:w="127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大峃、巨屿、黄坦、百丈漈、南田</w:t>
            </w:r>
          </w:p>
        </w:tc>
        <w:tc>
          <w:tcPr>
            <w:tcW w:w="99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二级</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ascii="宋体" w:hAnsi="宋体" w:cs="宋体"/>
                <w:bCs/>
                <w:kern w:val="0"/>
                <w:sz w:val="20"/>
                <w:szCs w:val="20"/>
              </w:rPr>
              <w:t>2025-2035</w:t>
            </w:r>
          </w:p>
        </w:tc>
      </w:tr>
      <w:tr>
        <w:tblPrEx>
          <w:tblLayout w:type="fixed"/>
          <w:tblCellMar>
            <w:top w:w="0" w:type="dxa"/>
            <w:left w:w="108" w:type="dxa"/>
            <w:bottom w:w="0" w:type="dxa"/>
            <w:right w:w="108" w:type="dxa"/>
          </w:tblCellMar>
        </w:tblPrEx>
        <w:trPr>
          <w:trHeight w:val="312" w:hRule="atLeast"/>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1</w:t>
            </w:r>
            <w:r>
              <w:rPr>
                <w:rFonts w:ascii="宋体" w:hAnsi="宋体" w:cs="宋体"/>
                <w:bCs/>
                <w:kern w:val="0"/>
                <w:sz w:val="20"/>
                <w:szCs w:val="20"/>
              </w:rPr>
              <w:t>7</w:t>
            </w:r>
          </w:p>
        </w:tc>
        <w:tc>
          <w:tcPr>
            <w:tcW w:w="1276"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文成县垃圾综合处置工程</w:t>
            </w:r>
          </w:p>
        </w:tc>
        <w:tc>
          <w:tcPr>
            <w:tcW w:w="382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对</w:t>
            </w:r>
            <w:r>
              <w:rPr>
                <w:rFonts w:ascii="宋体" w:hAnsi="宋体" w:cs="宋体"/>
                <w:bCs/>
                <w:kern w:val="0"/>
                <w:sz w:val="20"/>
                <w:szCs w:val="20"/>
              </w:rPr>
              <w:t>17乡镇330个垃圾收集点进行改建、维修及8个乡镇新建、改建垃圾转运站12座</w:t>
            </w:r>
          </w:p>
        </w:tc>
        <w:tc>
          <w:tcPr>
            <w:tcW w:w="127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县域</w:t>
            </w:r>
          </w:p>
        </w:tc>
        <w:tc>
          <w:tcPr>
            <w:tcW w:w="99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二级</w:t>
            </w:r>
          </w:p>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三级</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ascii="宋体" w:hAnsi="宋体" w:cs="宋体"/>
                <w:bCs/>
                <w:kern w:val="0"/>
                <w:sz w:val="20"/>
                <w:szCs w:val="20"/>
              </w:rPr>
              <w:t>2025-2035</w:t>
            </w:r>
          </w:p>
        </w:tc>
      </w:tr>
      <w:tr>
        <w:tblPrEx>
          <w:tblLayout w:type="fixed"/>
          <w:tblCellMar>
            <w:top w:w="0" w:type="dxa"/>
            <w:left w:w="108" w:type="dxa"/>
            <w:bottom w:w="0" w:type="dxa"/>
            <w:right w:w="108" w:type="dxa"/>
          </w:tblCellMar>
        </w:tblPrEx>
        <w:trPr>
          <w:trHeight w:val="720" w:hRule="atLeast"/>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1</w:t>
            </w:r>
            <w:r>
              <w:rPr>
                <w:rFonts w:ascii="宋体" w:hAnsi="宋体" w:cs="宋体"/>
                <w:bCs/>
                <w:kern w:val="0"/>
                <w:sz w:val="20"/>
                <w:szCs w:val="20"/>
              </w:rPr>
              <w:t>8</w:t>
            </w:r>
          </w:p>
        </w:tc>
        <w:tc>
          <w:tcPr>
            <w:tcW w:w="1276"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文成县农污设施改造提升工程</w:t>
            </w:r>
          </w:p>
        </w:tc>
        <w:tc>
          <w:tcPr>
            <w:tcW w:w="382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对</w:t>
            </w:r>
            <w:r>
              <w:rPr>
                <w:rFonts w:ascii="宋体" w:hAnsi="宋体" w:cs="宋体"/>
                <w:bCs/>
                <w:kern w:val="0"/>
                <w:sz w:val="20"/>
                <w:szCs w:val="20"/>
              </w:rPr>
              <w:t>12个乡镇的农村污水管网、终端、站点进行改造提升。</w:t>
            </w:r>
          </w:p>
        </w:tc>
        <w:tc>
          <w:tcPr>
            <w:tcW w:w="127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县域</w:t>
            </w:r>
          </w:p>
        </w:tc>
        <w:tc>
          <w:tcPr>
            <w:tcW w:w="99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二级</w:t>
            </w:r>
          </w:p>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三级</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ascii="宋体" w:hAnsi="宋体" w:cs="宋体"/>
                <w:bCs/>
                <w:kern w:val="0"/>
                <w:sz w:val="20"/>
                <w:szCs w:val="20"/>
              </w:rPr>
              <w:t>2025-2035</w:t>
            </w:r>
          </w:p>
        </w:tc>
      </w:tr>
      <w:tr>
        <w:tblPrEx>
          <w:tblLayout w:type="fixed"/>
          <w:tblCellMar>
            <w:top w:w="0" w:type="dxa"/>
            <w:left w:w="108" w:type="dxa"/>
            <w:bottom w:w="0" w:type="dxa"/>
            <w:right w:w="108" w:type="dxa"/>
          </w:tblCellMar>
        </w:tblPrEx>
        <w:trPr>
          <w:trHeight w:val="312" w:hRule="atLeast"/>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1</w:t>
            </w:r>
            <w:r>
              <w:rPr>
                <w:rFonts w:ascii="宋体" w:hAnsi="宋体" w:cs="宋体"/>
                <w:bCs/>
                <w:kern w:val="0"/>
                <w:sz w:val="20"/>
                <w:szCs w:val="20"/>
              </w:rPr>
              <w:t>9</w:t>
            </w:r>
          </w:p>
        </w:tc>
        <w:tc>
          <w:tcPr>
            <w:tcW w:w="1276"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文成抽蓄电站配套送出线路</w:t>
            </w:r>
          </w:p>
        </w:tc>
        <w:tc>
          <w:tcPr>
            <w:tcW w:w="382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ascii="宋体" w:hAnsi="宋体" w:cs="宋体"/>
                <w:bCs/>
                <w:kern w:val="0"/>
                <w:sz w:val="20"/>
                <w:szCs w:val="20"/>
              </w:rPr>
              <w:t>500千伏经过，用地面积约3亩；塔高60米</w:t>
            </w:r>
          </w:p>
        </w:tc>
        <w:tc>
          <w:tcPr>
            <w:tcW w:w="127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玉壶镇茗洋、龙背等村</w:t>
            </w:r>
          </w:p>
        </w:tc>
        <w:tc>
          <w:tcPr>
            <w:tcW w:w="99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三级</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ascii="宋体" w:hAnsi="宋体" w:cs="宋体"/>
                <w:bCs/>
                <w:kern w:val="0"/>
                <w:sz w:val="20"/>
                <w:szCs w:val="20"/>
              </w:rPr>
              <w:t>2026-2035</w:t>
            </w:r>
          </w:p>
        </w:tc>
      </w:tr>
      <w:tr>
        <w:tblPrEx>
          <w:tblLayout w:type="fixed"/>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ascii="宋体" w:hAnsi="宋体" w:cs="宋体"/>
                <w:bCs/>
                <w:kern w:val="0"/>
                <w:sz w:val="20"/>
                <w:szCs w:val="20"/>
              </w:rPr>
              <w:t>20</w:t>
            </w:r>
          </w:p>
        </w:tc>
        <w:tc>
          <w:tcPr>
            <w:tcW w:w="1276"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泰顺抽蓄电站配套送出线路</w:t>
            </w:r>
          </w:p>
        </w:tc>
        <w:tc>
          <w:tcPr>
            <w:tcW w:w="382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ascii="宋体" w:hAnsi="宋体" w:cs="宋体"/>
                <w:bCs/>
                <w:kern w:val="0"/>
                <w:sz w:val="20"/>
                <w:szCs w:val="20"/>
              </w:rPr>
              <w:t>500千伏经过，黄坦段用地面积约8亩，珊溪段用地面积约9亩；塔高60米</w:t>
            </w:r>
          </w:p>
        </w:tc>
        <w:tc>
          <w:tcPr>
            <w:tcW w:w="127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黄坦镇、珊溪镇</w:t>
            </w:r>
          </w:p>
        </w:tc>
        <w:tc>
          <w:tcPr>
            <w:tcW w:w="99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一级</w:t>
            </w:r>
          </w:p>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二级</w:t>
            </w:r>
          </w:p>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三级</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ascii="宋体" w:hAnsi="宋体" w:cs="宋体"/>
                <w:bCs/>
                <w:kern w:val="0"/>
                <w:sz w:val="20"/>
                <w:szCs w:val="20"/>
              </w:rPr>
              <w:t>2025-2028</w:t>
            </w:r>
          </w:p>
        </w:tc>
      </w:tr>
      <w:tr>
        <w:tblPrEx>
          <w:tblLayout w:type="fixed"/>
          <w:tblCellMar>
            <w:top w:w="0" w:type="dxa"/>
            <w:left w:w="108" w:type="dxa"/>
            <w:bottom w:w="0" w:type="dxa"/>
            <w:right w:w="108" w:type="dxa"/>
          </w:tblCellMar>
        </w:tblPrEx>
        <w:trPr>
          <w:trHeight w:val="480" w:hRule="atLeast"/>
        </w:trPr>
        <w:tc>
          <w:tcPr>
            <w:tcW w:w="56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2</w:t>
            </w:r>
            <w:r>
              <w:rPr>
                <w:rFonts w:ascii="宋体" w:hAnsi="宋体" w:cs="宋体"/>
                <w:kern w:val="0"/>
                <w:sz w:val="20"/>
                <w:szCs w:val="20"/>
              </w:rPr>
              <w:t>1</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ascii="宋体" w:hAnsi="宋体" w:cs="宋体"/>
                <w:bCs/>
                <w:kern w:val="0"/>
                <w:sz w:val="20"/>
                <w:szCs w:val="20"/>
              </w:rPr>
              <w:t>220千伏文成西－大安</w:t>
            </w:r>
          </w:p>
        </w:tc>
        <w:tc>
          <w:tcPr>
            <w:tcW w:w="3827"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ascii="宋体" w:hAnsi="宋体" w:cs="宋体"/>
                <w:bCs/>
                <w:kern w:val="0"/>
                <w:sz w:val="20"/>
                <w:szCs w:val="20"/>
              </w:rPr>
              <w:t>220千伏经过，用地面积约3亩，塔高50米</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黄坦（沙洋、黄洋、林山、包山洋）</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一级</w:t>
            </w:r>
          </w:p>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二级</w:t>
            </w:r>
          </w:p>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三级</w:t>
            </w:r>
          </w:p>
        </w:tc>
        <w:tc>
          <w:tcPr>
            <w:tcW w:w="99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ascii="宋体" w:hAnsi="宋体" w:cs="宋体"/>
                <w:bCs/>
                <w:kern w:val="0"/>
                <w:sz w:val="20"/>
                <w:szCs w:val="20"/>
              </w:rPr>
              <w:t>2025-2035</w:t>
            </w:r>
          </w:p>
        </w:tc>
      </w:tr>
      <w:tr>
        <w:tblPrEx>
          <w:tblLayout w:type="fixed"/>
          <w:tblCellMar>
            <w:top w:w="0" w:type="dxa"/>
            <w:left w:w="108" w:type="dxa"/>
            <w:bottom w:w="0" w:type="dxa"/>
            <w:right w:w="108" w:type="dxa"/>
          </w:tblCellMar>
        </w:tblPrEx>
        <w:trPr>
          <w:trHeight w:val="480" w:hRule="atLeast"/>
        </w:trPr>
        <w:tc>
          <w:tcPr>
            <w:tcW w:w="56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22</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ascii="宋体" w:hAnsi="宋体" w:cs="宋体"/>
                <w:bCs/>
                <w:kern w:val="0"/>
                <w:sz w:val="20"/>
                <w:szCs w:val="20"/>
              </w:rPr>
              <w:t>110千伏二源（百丈二变）输变电工程</w:t>
            </w:r>
          </w:p>
        </w:tc>
        <w:tc>
          <w:tcPr>
            <w:tcW w:w="3827"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周壤至二源的</w:t>
            </w:r>
            <w:r>
              <w:rPr>
                <w:rFonts w:ascii="宋体" w:hAnsi="宋体" w:cs="宋体"/>
                <w:bCs/>
                <w:kern w:val="0"/>
                <w:sz w:val="20"/>
                <w:szCs w:val="20"/>
              </w:rPr>
              <w:t>110千伏线路经过，用地面积约</w:t>
            </w:r>
            <w:r>
              <w:rPr>
                <w:rFonts w:hint="eastAsia" w:ascii="宋体" w:hAnsi="宋体" w:cs="宋体"/>
                <w:bCs/>
                <w:kern w:val="0"/>
                <w:sz w:val="20"/>
                <w:szCs w:val="20"/>
              </w:rPr>
              <w:t>10</w:t>
            </w:r>
            <w:r>
              <w:rPr>
                <w:rFonts w:ascii="宋体" w:hAnsi="宋体" w:cs="宋体"/>
                <w:bCs/>
                <w:kern w:val="0"/>
                <w:sz w:val="20"/>
                <w:szCs w:val="20"/>
              </w:rPr>
              <w:t>亩；百丈变到二源变110千伏线路经过，用地面积约2亩；塔高40米</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二源镇温树根村；百丈漈镇（底大会、外大会、篁庄）</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二级</w:t>
            </w:r>
          </w:p>
        </w:tc>
        <w:tc>
          <w:tcPr>
            <w:tcW w:w="99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ascii="宋体" w:hAnsi="宋体" w:cs="宋体"/>
                <w:bCs/>
                <w:kern w:val="0"/>
                <w:sz w:val="20"/>
                <w:szCs w:val="20"/>
              </w:rPr>
              <w:t>2026-2028</w:t>
            </w:r>
          </w:p>
        </w:tc>
      </w:tr>
      <w:tr>
        <w:tblPrEx>
          <w:tblLayout w:type="fixed"/>
          <w:tblCellMar>
            <w:top w:w="0" w:type="dxa"/>
            <w:left w:w="108" w:type="dxa"/>
            <w:bottom w:w="0" w:type="dxa"/>
            <w:right w:w="108" w:type="dxa"/>
          </w:tblCellMar>
        </w:tblPrEx>
        <w:trPr>
          <w:trHeight w:val="480" w:hRule="atLeast"/>
        </w:trPr>
        <w:tc>
          <w:tcPr>
            <w:tcW w:w="56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2</w:t>
            </w:r>
            <w:r>
              <w:rPr>
                <w:rFonts w:ascii="宋体" w:hAnsi="宋体" w:cs="宋体"/>
                <w:kern w:val="0"/>
                <w:sz w:val="20"/>
                <w:szCs w:val="20"/>
              </w:rPr>
              <w:t>3</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bCs/>
                <w:kern w:val="0"/>
                <w:sz w:val="20"/>
                <w:szCs w:val="20"/>
              </w:rPr>
              <w:t>百丈漈抽蓄电站送出线路</w:t>
            </w:r>
          </w:p>
        </w:tc>
        <w:tc>
          <w:tcPr>
            <w:tcW w:w="3827"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bCs/>
                <w:kern w:val="0"/>
                <w:sz w:val="20"/>
                <w:szCs w:val="20"/>
              </w:rPr>
              <w:t>送出线路</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bCs/>
                <w:kern w:val="0"/>
                <w:sz w:val="20"/>
                <w:szCs w:val="20"/>
              </w:rPr>
              <w:t>大峃镇、百丈漈镇</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bCs/>
                <w:kern w:val="0"/>
                <w:sz w:val="20"/>
                <w:szCs w:val="20"/>
              </w:rPr>
              <w:t>二级</w:t>
            </w:r>
          </w:p>
        </w:tc>
        <w:tc>
          <w:tcPr>
            <w:tcW w:w="99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bCs/>
                <w:kern w:val="0"/>
                <w:sz w:val="20"/>
                <w:szCs w:val="20"/>
              </w:rPr>
              <w:t>2025-2029</w:t>
            </w:r>
          </w:p>
        </w:tc>
      </w:tr>
      <w:tr>
        <w:tblPrEx>
          <w:tblLayout w:type="fixed"/>
          <w:tblCellMar>
            <w:top w:w="0" w:type="dxa"/>
            <w:left w:w="108" w:type="dxa"/>
            <w:bottom w:w="0" w:type="dxa"/>
            <w:right w:w="108" w:type="dxa"/>
          </w:tblCellMar>
        </w:tblPrEx>
        <w:trPr>
          <w:trHeight w:val="480" w:hRule="atLeast"/>
        </w:trPr>
        <w:tc>
          <w:tcPr>
            <w:tcW w:w="56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2</w:t>
            </w:r>
            <w:r>
              <w:rPr>
                <w:rFonts w:ascii="宋体" w:hAnsi="宋体" w:cs="宋体"/>
                <w:kern w:val="0"/>
                <w:sz w:val="20"/>
                <w:szCs w:val="20"/>
              </w:rPr>
              <w:t>4</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bCs/>
                <w:kern w:val="0"/>
                <w:sz w:val="20"/>
                <w:szCs w:val="20"/>
              </w:rPr>
              <w:t>10千伏电力基础设施提升工程</w:t>
            </w:r>
          </w:p>
        </w:tc>
        <w:tc>
          <w:tcPr>
            <w:tcW w:w="3827"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bCs/>
                <w:kern w:val="0"/>
                <w:sz w:val="20"/>
                <w:szCs w:val="20"/>
              </w:rPr>
              <w:t>10千伏电力基础设施需结合用电需求，适当增加地面构筑物，如电杆、铁塔等</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bCs/>
                <w:kern w:val="0"/>
                <w:sz w:val="20"/>
                <w:szCs w:val="20"/>
              </w:rPr>
              <w:t>县域</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bCs/>
                <w:kern w:val="0"/>
                <w:sz w:val="20"/>
                <w:szCs w:val="20"/>
              </w:rPr>
            </w:pPr>
            <w:r>
              <w:rPr>
                <w:rFonts w:hint="eastAsia" w:ascii="宋体" w:hAnsi="宋体" w:cs="宋体"/>
                <w:bCs/>
                <w:kern w:val="0"/>
                <w:sz w:val="20"/>
                <w:szCs w:val="20"/>
              </w:rPr>
              <w:t>二级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bCs/>
                <w:kern w:val="0"/>
                <w:sz w:val="20"/>
                <w:szCs w:val="20"/>
              </w:rPr>
              <w:t>三级</w:t>
            </w:r>
          </w:p>
        </w:tc>
        <w:tc>
          <w:tcPr>
            <w:tcW w:w="99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bCs/>
                <w:kern w:val="0"/>
                <w:sz w:val="20"/>
                <w:szCs w:val="20"/>
              </w:rPr>
              <w:t>2024-2035</w:t>
            </w:r>
          </w:p>
        </w:tc>
      </w:tr>
      <w:tr>
        <w:tblPrEx>
          <w:tblLayout w:type="fixed"/>
          <w:tblCellMar>
            <w:top w:w="0" w:type="dxa"/>
            <w:left w:w="108" w:type="dxa"/>
            <w:bottom w:w="0" w:type="dxa"/>
            <w:right w:w="108" w:type="dxa"/>
          </w:tblCellMar>
        </w:tblPrEx>
        <w:trPr>
          <w:trHeight w:val="480" w:hRule="atLeast"/>
        </w:trPr>
        <w:tc>
          <w:tcPr>
            <w:tcW w:w="56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2</w:t>
            </w:r>
            <w:r>
              <w:rPr>
                <w:rFonts w:ascii="宋体" w:hAnsi="宋体" w:cs="宋体"/>
                <w:kern w:val="0"/>
                <w:sz w:val="20"/>
                <w:szCs w:val="20"/>
              </w:rPr>
              <w:t>5</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林区综合防灾工程</w:t>
            </w:r>
          </w:p>
        </w:tc>
        <w:tc>
          <w:tcPr>
            <w:tcW w:w="3827"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kern w:val="0"/>
                <w:sz w:val="20"/>
                <w:szCs w:val="20"/>
              </w:rPr>
              <w:t>①</w:t>
            </w:r>
            <w:r>
              <w:rPr>
                <w:rFonts w:hint="eastAsia" w:ascii="宋体" w:hAnsi="宋体" w:cs="宋体"/>
                <w:kern w:val="0"/>
                <w:sz w:val="20"/>
                <w:szCs w:val="20"/>
              </w:rPr>
              <w:t>林区管护房综合整治提升工程。合理规划森林防火区块，在林区内规划建设若干森林防火管理房。</w:t>
            </w:r>
            <w:r>
              <w:rPr>
                <w:rFonts w:hint="eastAsia"/>
                <w:kern w:val="0"/>
                <w:sz w:val="20"/>
                <w:szCs w:val="20"/>
              </w:rPr>
              <w:t>②</w:t>
            </w:r>
            <w:r>
              <w:rPr>
                <w:rFonts w:hint="eastAsia" w:ascii="宋体" w:hAnsi="宋体" w:cs="宋体"/>
                <w:kern w:val="0"/>
                <w:sz w:val="20"/>
                <w:szCs w:val="20"/>
              </w:rPr>
              <w:t>建立一中心多点应急救援体系。在合适位置选址建设应急救援服务中心，并在各林区规划建立一处或多处应急救援服务点。</w:t>
            </w:r>
            <w:r>
              <w:rPr>
                <w:rFonts w:hint="eastAsia"/>
                <w:kern w:val="0"/>
                <w:sz w:val="20"/>
                <w:szCs w:val="20"/>
              </w:rPr>
              <w:t>③</w:t>
            </w:r>
            <w:r>
              <w:rPr>
                <w:rFonts w:hint="eastAsia" w:ascii="宋体" w:hAnsi="宋体" w:cs="宋体"/>
                <w:kern w:val="0"/>
                <w:sz w:val="20"/>
                <w:szCs w:val="20"/>
              </w:rPr>
              <w:t>应急防灾减灾提升工程。建设包括紧急避灾场所，救援通道、应急物资仓库等相关应急防灾减灾基础配套设施</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林场及其他林地范围</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一级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99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2025-2029</w:t>
            </w:r>
          </w:p>
        </w:tc>
      </w:tr>
      <w:tr>
        <w:tblPrEx>
          <w:tblLayout w:type="fixed"/>
          <w:tblCellMar>
            <w:top w:w="0" w:type="dxa"/>
            <w:left w:w="108" w:type="dxa"/>
            <w:bottom w:w="0" w:type="dxa"/>
            <w:right w:w="108" w:type="dxa"/>
          </w:tblCellMar>
        </w:tblPrEx>
        <w:trPr>
          <w:trHeight w:val="480" w:hRule="atLeast"/>
        </w:trPr>
        <w:tc>
          <w:tcPr>
            <w:tcW w:w="56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2</w:t>
            </w:r>
            <w:r>
              <w:rPr>
                <w:rFonts w:ascii="宋体" w:hAnsi="宋体" w:cs="宋体"/>
                <w:kern w:val="0"/>
                <w:sz w:val="20"/>
                <w:szCs w:val="20"/>
              </w:rPr>
              <w:t>6</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朱阳九峰综合防灾减灾项目</w:t>
            </w:r>
          </w:p>
        </w:tc>
        <w:tc>
          <w:tcPr>
            <w:tcW w:w="3827"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建设应急救援中心基地、数字防灾减灾综合服务平台及相关配套设施，引入无人机等智能化技术开展山洪、内涝等气象灾害，地震灾害、山体滑坡、泥石流等地质灾害，野外救援、森林火灾等灾害救援、日常景区巡视等工作。</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朱阳九峰景区谈阳村周边</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tc>
        <w:tc>
          <w:tcPr>
            <w:tcW w:w="99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2024-2029</w:t>
            </w:r>
          </w:p>
        </w:tc>
      </w:tr>
      <w:tr>
        <w:tblPrEx>
          <w:tblLayout w:type="fixed"/>
          <w:tblCellMar>
            <w:top w:w="0" w:type="dxa"/>
            <w:left w:w="108" w:type="dxa"/>
            <w:bottom w:w="0" w:type="dxa"/>
            <w:right w:w="108" w:type="dxa"/>
          </w:tblCellMar>
        </w:tblPrEx>
        <w:trPr>
          <w:trHeight w:val="480" w:hRule="atLeast"/>
        </w:trPr>
        <w:tc>
          <w:tcPr>
            <w:tcW w:w="56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2</w:t>
            </w:r>
            <w:r>
              <w:rPr>
                <w:rFonts w:ascii="宋体" w:hAnsi="宋体" w:cs="宋体"/>
                <w:kern w:val="0"/>
                <w:sz w:val="20"/>
                <w:szCs w:val="20"/>
              </w:rPr>
              <w:t>7</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智慧旅游基础设施配套项目</w:t>
            </w:r>
          </w:p>
        </w:tc>
        <w:tc>
          <w:tcPr>
            <w:tcW w:w="3827"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建设智能导览系统、在线预订平台、智能监控系统、环境监测系统、智能交通管理系统、智慧停车系统、智能语音助手、虚拟现实(VR)体验系统、智能标识系统、紧急救援系统、智能垃圾分类回收系统、智慧旅游评价系统。</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县域</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一级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99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2024-2030</w:t>
            </w:r>
          </w:p>
        </w:tc>
      </w:tr>
    </w:tbl>
    <w:p>
      <w:pPr>
        <w:ind w:firstLine="0" w:firstLineChars="0"/>
        <w:rPr>
          <w:b/>
        </w:rPr>
      </w:pPr>
    </w:p>
    <w:p>
      <w:pPr>
        <w:keepNext/>
        <w:keepLines/>
        <w:spacing w:before="156" w:beforeLines="50"/>
        <w:ind w:left="142" w:firstLine="360" w:firstLineChars="150"/>
        <w:outlineLvl w:val="2"/>
        <w:rPr>
          <w:rFonts w:eastAsia="黑体"/>
          <w:bCs/>
          <w:kern w:val="0"/>
        </w:rPr>
      </w:pPr>
      <w:r>
        <w:rPr>
          <w:rFonts w:hint="eastAsia" w:eastAsia="黑体"/>
          <w:bCs/>
          <w:kern w:val="0"/>
        </w:rPr>
        <w:t>（六）居民社会类</w:t>
      </w:r>
    </w:p>
    <w:p>
      <w:pPr>
        <w:spacing w:before="156" w:beforeLines="50"/>
        <w:ind w:firstLine="480"/>
        <w:rPr>
          <w:rFonts w:cs="宋体"/>
        </w:rPr>
      </w:pPr>
      <w:r>
        <w:rPr>
          <w:rFonts w:hint="eastAsia" w:cs="宋体"/>
        </w:rPr>
        <w:t>依托景中村自然和文化资源本底，以美丽乡村、共同富裕为目标，提升乡村环境，开展景中村综合整治提升等项目。打造特色旅游服务产品，依托丰富的林业资源与水资源，发展林下经济、生态养殖等特色产业，推进农旅融合发展。</w:t>
      </w:r>
    </w:p>
    <w:p>
      <w:pPr>
        <w:ind w:firstLine="422"/>
        <w:jc w:val="center"/>
        <w:rPr>
          <w:b/>
          <w:sz w:val="21"/>
          <w:szCs w:val="21"/>
        </w:rPr>
      </w:pPr>
      <w:r>
        <w:rPr>
          <w:rFonts w:hint="eastAsia"/>
          <w:b/>
          <w:sz w:val="21"/>
          <w:szCs w:val="21"/>
        </w:rPr>
        <w:t>表7</w:t>
      </w:r>
      <w:r>
        <w:rPr>
          <w:b/>
          <w:sz w:val="21"/>
          <w:szCs w:val="21"/>
        </w:rPr>
        <w:t xml:space="preserve">-6 </w:t>
      </w:r>
      <w:r>
        <w:rPr>
          <w:rFonts w:hint="eastAsia"/>
          <w:b/>
          <w:sz w:val="21"/>
          <w:szCs w:val="21"/>
        </w:rPr>
        <w:t>居民社会类近期项目规划一览表</w:t>
      </w:r>
    </w:p>
    <w:tbl>
      <w:tblPr>
        <w:tblStyle w:val="42"/>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276"/>
        <w:gridCol w:w="3727"/>
        <w:gridCol w:w="1261"/>
        <w:gridCol w:w="984"/>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blHeader/>
        </w:trPr>
        <w:tc>
          <w:tcPr>
            <w:tcW w:w="567" w:type="dxa"/>
            <w:shd w:val="clear" w:color="auto" w:fill="E2E2E2"/>
            <w:vAlign w:val="center"/>
          </w:tcPr>
          <w:p>
            <w:pPr>
              <w:widowControl/>
              <w:adjustRightInd w:val="0"/>
              <w:snapToGrid w:val="0"/>
              <w:spacing w:line="240" w:lineRule="auto"/>
              <w:ind w:firstLine="0" w:firstLineChars="0"/>
              <w:jc w:val="center"/>
              <w:rPr>
                <w:rFonts w:ascii="宋体" w:hAnsi="宋体" w:cs="宋体"/>
                <w:b/>
                <w:bCs/>
                <w:kern w:val="0"/>
                <w:sz w:val="20"/>
                <w:szCs w:val="20"/>
              </w:rPr>
            </w:pPr>
            <w:r>
              <w:rPr>
                <w:rFonts w:hint="eastAsia" w:ascii="宋体" w:hAnsi="宋体" w:cs="宋体"/>
                <w:b/>
                <w:bCs/>
                <w:kern w:val="0"/>
                <w:sz w:val="20"/>
                <w:szCs w:val="20"/>
              </w:rPr>
              <w:t>序号</w:t>
            </w:r>
          </w:p>
        </w:tc>
        <w:tc>
          <w:tcPr>
            <w:tcW w:w="1276" w:type="dxa"/>
            <w:shd w:val="clear" w:color="auto" w:fill="E2E2E2"/>
            <w:vAlign w:val="center"/>
          </w:tcPr>
          <w:p>
            <w:pPr>
              <w:widowControl/>
              <w:adjustRightInd w:val="0"/>
              <w:snapToGrid w:val="0"/>
              <w:spacing w:line="240" w:lineRule="auto"/>
              <w:ind w:firstLine="0" w:firstLineChars="0"/>
              <w:jc w:val="center"/>
              <w:rPr>
                <w:rFonts w:ascii="宋体" w:hAnsi="宋体" w:cs="宋体"/>
                <w:b/>
                <w:bCs/>
                <w:kern w:val="0"/>
                <w:sz w:val="20"/>
                <w:szCs w:val="20"/>
              </w:rPr>
            </w:pPr>
            <w:r>
              <w:rPr>
                <w:rFonts w:hint="eastAsia" w:ascii="宋体" w:hAnsi="宋体" w:cs="宋体"/>
                <w:b/>
                <w:bCs/>
                <w:kern w:val="0"/>
                <w:sz w:val="20"/>
                <w:szCs w:val="20"/>
              </w:rPr>
              <w:t>项目名称</w:t>
            </w:r>
          </w:p>
        </w:tc>
        <w:tc>
          <w:tcPr>
            <w:tcW w:w="3727" w:type="dxa"/>
            <w:shd w:val="clear" w:color="auto" w:fill="E2E2E2"/>
            <w:vAlign w:val="center"/>
          </w:tcPr>
          <w:p>
            <w:pPr>
              <w:widowControl/>
              <w:adjustRightInd w:val="0"/>
              <w:snapToGrid w:val="0"/>
              <w:spacing w:line="240" w:lineRule="auto"/>
              <w:ind w:firstLine="0" w:firstLineChars="0"/>
              <w:jc w:val="center"/>
              <w:rPr>
                <w:rFonts w:ascii="宋体" w:hAnsi="宋体" w:cs="宋体"/>
                <w:b/>
                <w:bCs/>
                <w:kern w:val="0"/>
                <w:sz w:val="20"/>
                <w:szCs w:val="20"/>
              </w:rPr>
            </w:pPr>
            <w:r>
              <w:rPr>
                <w:rFonts w:hint="eastAsia" w:ascii="宋体" w:hAnsi="宋体" w:cs="宋体"/>
                <w:b/>
                <w:bCs/>
                <w:kern w:val="0"/>
                <w:sz w:val="20"/>
                <w:szCs w:val="20"/>
              </w:rPr>
              <w:t>建设设想</w:t>
            </w:r>
          </w:p>
        </w:tc>
        <w:tc>
          <w:tcPr>
            <w:tcW w:w="1261" w:type="dxa"/>
            <w:shd w:val="clear" w:color="auto" w:fill="E2E2E2"/>
            <w:vAlign w:val="center"/>
          </w:tcPr>
          <w:p>
            <w:pPr>
              <w:widowControl/>
              <w:adjustRightInd w:val="0"/>
              <w:snapToGrid w:val="0"/>
              <w:spacing w:line="240" w:lineRule="auto"/>
              <w:ind w:firstLine="0" w:firstLineChars="0"/>
              <w:jc w:val="center"/>
              <w:rPr>
                <w:rFonts w:ascii="宋体" w:hAnsi="宋体" w:cs="宋体"/>
                <w:b/>
                <w:bCs/>
                <w:kern w:val="0"/>
                <w:sz w:val="20"/>
                <w:szCs w:val="20"/>
              </w:rPr>
            </w:pPr>
            <w:r>
              <w:rPr>
                <w:rFonts w:hint="eastAsia" w:ascii="宋体" w:hAnsi="宋体" w:cs="宋体"/>
                <w:b/>
                <w:bCs/>
                <w:kern w:val="0"/>
                <w:sz w:val="20"/>
                <w:szCs w:val="20"/>
              </w:rPr>
              <w:t>建设地点</w:t>
            </w:r>
          </w:p>
        </w:tc>
        <w:tc>
          <w:tcPr>
            <w:tcW w:w="984" w:type="dxa"/>
            <w:shd w:val="clear" w:color="auto" w:fill="E2E2E2"/>
            <w:vAlign w:val="center"/>
          </w:tcPr>
          <w:p>
            <w:pPr>
              <w:widowControl/>
              <w:adjustRightInd w:val="0"/>
              <w:snapToGrid w:val="0"/>
              <w:spacing w:line="240" w:lineRule="auto"/>
              <w:ind w:firstLine="0" w:firstLineChars="0"/>
              <w:jc w:val="center"/>
              <w:rPr>
                <w:rFonts w:ascii="宋体" w:hAnsi="宋体" w:cs="宋体"/>
                <w:b/>
                <w:bCs/>
                <w:kern w:val="0"/>
                <w:sz w:val="20"/>
                <w:szCs w:val="20"/>
              </w:rPr>
            </w:pPr>
            <w:r>
              <w:rPr>
                <w:rFonts w:hint="eastAsia" w:ascii="宋体" w:hAnsi="宋体" w:cs="宋体"/>
                <w:b/>
                <w:bCs/>
                <w:kern w:val="0"/>
                <w:sz w:val="20"/>
                <w:szCs w:val="20"/>
              </w:rPr>
              <w:t>涉及保护分区</w:t>
            </w:r>
          </w:p>
        </w:tc>
        <w:tc>
          <w:tcPr>
            <w:tcW w:w="1116" w:type="dxa"/>
            <w:shd w:val="clear" w:color="auto" w:fill="E2E2E2"/>
            <w:vAlign w:val="center"/>
          </w:tcPr>
          <w:p>
            <w:pPr>
              <w:widowControl/>
              <w:adjustRightInd w:val="0"/>
              <w:snapToGrid w:val="0"/>
              <w:spacing w:line="240" w:lineRule="auto"/>
              <w:ind w:firstLine="0" w:firstLineChars="0"/>
              <w:jc w:val="center"/>
              <w:rPr>
                <w:rFonts w:ascii="宋体" w:hAnsi="宋体" w:cs="宋体"/>
                <w:b/>
                <w:bCs/>
                <w:kern w:val="0"/>
                <w:sz w:val="20"/>
                <w:szCs w:val="20"/>
              </w:rPr>
            </w:pPr>
            <w:r>
              <w:rPr>
                <w:rFonts w:hint="eastAsia" w:ascii="宋体" w:hAnsi="宋体" w:cs="宋体"/>
                <w:b/>
                <w:bCs/>
                <w:kern w:val="0"/>
                <w:sz w:val="20"/>
                <w:szCs w:val="20"/>
              </w:rPr>
              <w:t>实施年限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67" w:type="dxa"/>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1</w:t>
            </w:r>
          </w:p>
        </w:tc>
        <w:tc>
          <w:tcPr>
            <w:tcW w:w="1276"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大会村共富项目</w:t>
            </w:r>
          </w:p>
        </w:tc>
        <w:tc>
          <w:tcPr>
            <w:tcW w:w="3727"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完善村级公共服务设施，建设大会村多功能活动中心及共富工坊交流中心。</w:t>
            </w:r>
          </w:p>
        </w:tc>
        <w:tc>
          <w:tcPr>
            <w:tcW w:w="1261"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百丈漈镇大会村</w:t>
            </w:r>
          </w:p>
        </w:tc>
        <w:tc>
          <w:tcPr>
            <w:tcW w:w="984"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tc>
        <w:tc>
          <w:tcPr>
            <w:tcW w:w="1116"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2023-2026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567" w:type="dxa"/>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w:t>
            </w:r>
          </w:p>
        </w:tc>
        <w:tc>
          <w:tcPr>
            <w:tcW w:w="1276"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珊溪淡水鱼生态养殖基地建设</w:t>
            </w:r>
          </w:p>
        </w:tc>
        <w:tc>
          <w:tcPr>
            <w:tcW w:w="3727"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水源地建设、引水管道、泵站、尾水处理系统、养殖设施、厂房、内部操作道、管理房、停车场等。</w:t>
            </w:r>
          </w:p>
        </w:tc>
        <w:tc>
          <w:tcPr>
            <w:tcW w:w="1261"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珊溪镇</w:t>
            </w:r>
          </w:p>
        </w:tc>
        <w:tc>
          <w:tcPr>
            <w:tcW w:w="984"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一级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r>
              <w:rPr>
                <w:rFonts w:ascii="宋体" w:hAnsi="宋体" w:cs="宋体"/>
                <w:kern w:val="0"/>
                <w:sz w:val="20"/>
                <w:szCs w:val="20"/>
              </w:rPr>
              <w:t xml:space="preserve">  </w:t>
            </w:r>
          </w:p>
        </w:tc>
        <w:tc>
          <w:tcPr>
            <w:tcW w:w="1116"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2025-2030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567" w:type="dxa"/>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3</w:t>
            </w:r>
          </w:p>
        </w:tc>
        <w:tc>
          <w:tcPr>
            <w:tcW w:w="1276"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林场林业共同富裕综合体</w:t>
            </w:r>
          </w:p>
        </w:tc>
        <w:tc>
          <w:tcPr>
            <w:tcW w:w="3727"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发展种植、养殖、采集、初级加工等产业及配套设施建设等；打造森林风光体验游乐园，植入丛林游乐、无动力设施、树屋民宿、露营、网红景观、新中式茶舍等配套游乐设施，打造集餐饮、自然美育、森林婚礼、团建等于一体的艺术空间。</w:t>
            </w:r>
          </w:p>
        </w:tc>
        <w:tc>
          <w:tcPr>
            <w:tcW w:w="1261"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县域</w:t>
            </w:r>
          </w:p>
        </w:tc>
        <w:tc>
          <w:tcPr>
            <w:tcW w:w="984"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1116"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2025-2035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567" w:type="dxa"/>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4</w:t>
            </w:r>
          </w:p>
        </w:tc>
        <w:tc>
          <w:tcPr>
            <w:tcW w:w="1276"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景中村综合整治提升项目</w:t>
            </w:r>
          </w:p>
        </w:tc>
        <w:tc>
          <w:tcPr>
            <w:tcW w:w="3727"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推动田、水、路、林、村综合整治，改善农村生产、生活条件和生态环境，促进农业规模经营、人口集中居住、产业聚集发展。</w:t>
            </w:r>
          </w:p>
        </w:tc>
        <w:tc>
          <w:tcPr>
            <w:tcW w:w="1261"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风景区内的村庄</w:t>
            </w:r>
          </w:p>
        </w:tc>
        <w:tc>
          <w:tcPr>
            <w:tcW w:w="984"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1116"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2025-2030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trPr>
        <w:tc>
          <w:tcPr>
            <w:tcW w:w="567" w:type="dxa"/>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5</w:t>
            </w:r>
          </w:p>
        </w:tc>
        <w:tc>
          <w:tcPr>
            <w:tcW w:w="1276"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山区共同富裕产业项目</w:t>
            </w:r>
          </w:p>
        </w:tc>
        <w:tc>
          <w:tcPr>
            <w:tcW w:w="3727"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高山农产品冷链物流中心；高山茶叶、高山光唇鱼培育中心；高山特色咸菜（小吃）孵化中心等</w:t>
            </w:r>
          </w:p>
        </w:tc>
        <w:tc>
          <w:tcPr>
            <w:tcW w:w="1261"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县域</w:t>
            </w:r>
          </w:p>
        </w:tc>
        <w:tc>
          <w:tcPr>
            <w:tcW w:w="984"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一级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1116"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2025-2030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67" w:type="dxa"/>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6</w:t>
            </w:r>
          </w:p>
        </w:tc>
        <w:tc>
          <w:tcPr>
            <w:tcW w:w="1276"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林下经济综合体</w:t>
            </w:r>
          </w:p>
        </w:tc>
        <w:tc>
          <w:tcPr>
            <w:tcW w:w="3727"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通过发展林下经济包括林下种植、林下养殖、林产品采集加工、林下环境友好型产业、林下碳汇项目、林下休闲农业等帮助村集体和村民增收。</w:t>
            </w:r>
          </w:p>
        </w:tc>
        <w:tc>
          <w:tcPr>
            <w:tcW w:w="1261"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县域</w:t>
            </w:r>
          </w:p>
        </w:tc>
        <w:tc>
          <w:tcPr>
            <w:tcW w:w="984"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一级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1116"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2025-2030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67" w:type="dxa"/>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7</w:t>
            </w:r>
          </w:p>
        </w:tc>
        <w:tc>
          <w:tcPr>
            <w:tcW w:w="1276"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铜铃山森林可持续经营建设项目</w:t>
            </w:r>
          </w:p>
        </w:tc>
        <w:tc>
          <w:tcPr>
            <w:tcW w:w="3727"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生态保护和监测系统、绿色经济支撑系统、林下经济培育及开发系统、森林旅游发展、森林旅游研学等支撑森林可持续发展的经营性试点建设项目</w:t>
            </w:r>
          </w:p>
        </w:tc>
        <w:tc>
          <w:tcPr>
            <w:tcW w:w="1261"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铜铃山镇</w:t>
            </w:r>
          </w:p>
        </w:tc>
        <w:tc>
          <w:tcPr>
            <w:tcW w:w="984"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一级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1116"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2025-2030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67" w:type="dxa"/>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8</w:t>
            </w:r>
          </w:p>
        </w:tc>
        <w:tc>
          <w:tcPr>
            <w:tcW w:w="1276"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浙南药库中草药研究和开发产业园</w:t>
            </w:r>
          </w:p>
        </w:tc>
        <w:tc>
          <w:tcPr>
            <w:tcW w:w="3727"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大力发展中草药研究和开发，通过建设研究与开发设施、种植与培育设施、加工与生产设施、仓储及物流设施、展示与交易设施等，将铜铃山镇打造为浙南药库。</w:t>
            </w:r>
          </w:p>
        </w:tc>
        <w:tc>
          <w:tcPr>
            <w:tcW w:w="1261"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铜铃山镇</w:t>
            </w:r>
          </w:p>
        </w:tc>
        <w:tc>
          <w:tcPr>
            <w:tcW w:w="984"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一级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1116"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2025-2030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67" w:type="dxa"/>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9</w:t>
            </w:r>
          </w:p>
        </w:tc>
        <w:tc>
          <w:tcPr>
            <w:tcW w:w="1276"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数字创客（数字游民）服务及配套项目</w:t>
            </w:r>
          </w:p>
        </w:tc>
        <w:tc>
          <w:tcPr>
            <w:tcW w:w="3727"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依托镇村或存量建设用地建设数据服务中心、创客公寓、协同工作空间、创客孵化园等保障和支持数字创客（数字游民）创业空间。</w:t>
            </w:r>
          </w:p>
        </w:tc>
        <w:tc>
          <w:tcPr>
            <w:tcW w:w="1261"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县域</w:t>
            </w:r>
          </w:p>
        </w:tc>
        <w:tc>
          <w:tcPr>
            <w:tcW w:w="984"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1116"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2</w:t>
            </w:r>
            <w:r>
              <w:rPr>
                <w:rFonts w:ascii="宋体" w:hAnsi="宋体" w:cs="宋体"/>
                <w:kern w:val="0"/>
                <w:sz w:val="20"/>
                <w:szCs w:val="20"/>
              </w:rPr>
              <w:t>025-2030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67" w:type="dxa"/>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10</w:t>
            </w:r>
          </w:p>
        </w:tc>
        <w:tc>
          <w:tcPr>
            <w:tcW w:w="1276"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省级现代农业产业园（云顶绿洲田园综合体）</w:t>
            </w:r>
          </w:p>
        </w:tc>
        <w:tc>
          <w:tcPr>
            <w:tcW w:w="3727"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①立足二源资源禀赋和产业发展实际，大力发展特色高效设施农业，全力打造“专精特新”农业全产业链。②加快促进政策、土地、人才、信息等现代生产要素向园区集聚，推进产加销一体化发展，建成集现代技术与装备集成区、一二三产业融合发展区、新型经营主体创业创新孵化区相结合的省级现代农业产业园。③开发“二十四节气”主题旅游体验项目，探索“旅游</w:t>
            </w:r>
            <w:r>
              <w:rPr>
                <w:rFonts w:ascii="宋体" w:hAnsi="宋体" w:cs="宋体"/>
                <w:kern w:val="0"/>
                <w:sz w:val="20"/>
                <w:szCs w:val="20"/>
              </w:rPr>
              <w:t>+生态+农业”融合发展模式，打造集现代农业、休闲旅游、农事体验于一体的现代版田园牧歌和心灵上的诗意栖居。</w:t>
            </w:r>
          </w:p>
        </w:tc>
        <w:tc>
          <w:tcPr>
            <w:tcW w:w="1261"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二源镇二源村、湖田村、山头村、谈阳村</w:t>
            </w:r>
          </w:p>
        </w:tc>
        <w:tc>
          <w:tcPr>
            <w:tcW w:w="984"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二级</w:t>
            </w:r>
          </w:p>
          <w:p>
            <w:pPr>
              <w:widowControl/>
              <w:adjustRightInd w:val="0"/>
              <w:snapToGrid w:val="0"/>
              <w:spacing w:line="240" w:lineRule="auto"/>
              <w:ind w:firstLine="0" w:firstLineChars="0"/>
              <w:jc w:val="center"/>
              <w:rPr>
                <w:rFonts w:ascii="宋体" w:hAnsi="宋体" w:cs="宋体"/>
                <w:kern w:val="0"/>
                <w:sz w:val="20"/>
                <w:szCs w:val="20"/>
              </w:rPr>
            </w:pPr>
            <w:r>
              <w:rPr>
                <w:rFonts w:hint="eastAsia" w:ascii="宋体" w:hAnsi="宋体" w:cs="宋体"/>
                <w:kern w:val="0"/>
                <w:sz w:val="20"/>
                <w:szCs w:val="20"/>
              </w:rPr>
              <w:t>三级</w:t>
            </w:r>
          </w:p>
        </w:tc>
        <w:tc>
          <w:tcPr>
            <w:tcW w:w="1116" w:type="dxa"/>
            <w:shd w:val="clear" w:color="auto" w:fill="auto"/>
            <w:vAlign w:val="center"/>
          </w:tcPr>
          <w:p>
            <w:pPr>
              <w:widowControl/>
              <w:adjustRightInd w:val="0"/>
              <w:snapToGrid w:val="0"/>
              <w:spacing w:line="240" w:lineRule="auto"/>
              <w:ind w:firstLine="0" w:firstLineChars="0"/>
              <w:jc w:val="center"/>
              <w:rPr>
                <w:rFonts w:ascii="宋体" w:hAnsi="宋体" w:cs="宋体"/>
                <w:kern w:val="0"/>
                <w:sz w:val="20"/>
                <w:szCs w:val="20"/>
              </w:rPr>
            </w:pPr>
            <w:r>
              <w:rPr>
                <w:rFonts w:ascii="宋体" w:hAnsi="宋体" w:cs="宋体"/>
                <w:kern w:val="0"/>
                <w:sz w:val="20"/>
                <w:szCs w:val="20"/>
              </w:rPr>
              <w:t>2024-2029</w:t>
            </w:r>
          </w:p>
        </w:tc>
      </w:tr>
    </w:tbl>
    <w:p>
      <w:pPr>
        <w:ind w:firstLine="0" w:firstLineChars="0"/>
        <w:rPr>
          <w:b/>
        </w:rPr>
      </w:pPr>
    </w:p>
    <w:p>
      <w:pPr>
        <w:pStyle w:val="2"/>
        <w:spacing w:before="93"/>
        <w:rPr>
          <w:sz w:val="28"/>
          <w:szCs w:val="28"/>
        </w:rPr>
      </w:pPr>
      <w:bookmarkStart w:id="78" w:name="_Toc176456027"/>
      <w:bookmarkStart w:id="79" w:name="_Toc517293080"/>
      <w:r>
        <w:rPr>
          <w:rFonts w:hint="eastAsia"/>
          <w:sz w:val="28"/>
          <w:szCs w:val="28"/>
        </w:rPr>
        <w:t>附件1：国务院关于发布第五批国家重点风景名胜区名单的通知</w:t>
      </w:r>
      <w:bookmarkEnd w:id="78"/>
      <w:bookmarkEnd w:id="79"/>
    </w:p>
    <w:p>
      <w:pPr>
        <w:widowControl/>
        <w:spacing w:line="240" w:lineRule="auto"/>
        <w:ind w:firstLine="0" w:firstLineChars="0"/>
        <w:jc w:val="left"/>
        <w:rPr>
          <w:rFonts w:ascii="宋体"/>
        </w:rPr>
      </w:pPr>
      <w:r>
        <w:rPr>
          <w:rFonts w:ascii="宋体"/>
        </w:rPr>
        <w:drawing>
          <wp:inline distT="0" distB="0" distL="0" distR="0">
            <wp:extent cx="5262880" cy="8005445"/>
            <wp:effectExtent l="0" t="0" r="0" b="0"/>
            <wp:docPr id="27" name="图片 27" descr="C:\Users\li\Desktop\文成附件\img-308001529\img-308001529-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li\Desktop\文成附件\img-308001529\img-308001529-0001.jpg"/>
                    <pic:cNvPicPr>
                      <a:picLocks noChangeAspect="1" noChangeArrowheads="1"/>
                    </pic:cNvPicPr>
                  </pic:nvPicPr>
                  <pic:blipFill>
                    <a:blip r:embed="rId12"/>
                    <a:srcRect/>
                    <a:stretch>
                      <a:fillRect/>
                    </a:stretch>
                  </pic:blipFill>
                  <pic:spPr>
                    <a:xfrm>
                      <a:off x="0" y="0"/>
                      <a:ext cx="5263117" cy="8005684"/>
                    </a:xfrm>
                    <a:prstGeom prst="rect">
                      <a:avLst/>
                    </a:prstGeom>
                    <a:noFill/>
                    <a:ln>
                      <a:noFill/>
                    </a:ln>
                  </pic:spPr>
                </pic:pic>
              </a:graphicData>
            </a:graphic>
          </wp:inline>
        </w:drawing>
      </w:r>
    </w:p>
    <w:p>
      <w:pPr>
        <w:widowControl/>
        <w:spacing w:line="240" w:lineRule="auto"/>
        <w:ind w:firstLine="0" w:firstLineChars="0"/>
        <w:jc w:val="left"/>
        <w:rPr>
          <w:rFonts w:ascii="宋体" w:eastAsia="黑体"/>
          <w:b/>
          <w:bCs/>
          <w:kern w:val="44"/>
          <w:sz w:val="28"/>
          <w:szCs w:val="44"/>
        </w:rPr>
      </w:pPr>
      <w:r>
        <w:rPr>
          <w:rFonts w:ascii="宋体"/>
        </w:rPr>
        <w:br w:type="page"/>
      </w:r>
      <w:r>
        <w:drawing>
          <wp:inline distT="0" distB="0" distL="0" distR="0">
            <wp:extent cx="5273675" cy="7988300"/>
            <wp:effectExtent l="0" t="0" r="317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3"/>
                    <a:srcRect/>
                    <a:stretch>
                      <a:fillRect/>
                    </a:stretch>
                  </pic:blipFill>
                  <pic:spPr>
                    <a:xfrm>
                      <a:off x="0" y="0"/>
                      <a:ext cx="5275260" cy="7990984"/>
                    </a:xfrm>
                    <a:prstGeom prst="rect">
                      <a:avLst/>
                    </a:prstGeom>
                    <a:noFill/>
                    <a:ln>
                      <a:noFill/>
                    </a:ln>
                  </pic:spPr>
                </pic:pic>
              </a:graphicData>
            </a:graphic>
          </wp:inline>
        </w:drawing>
      </w:r>
    </w:p>
    <w:p>
      <w:pPr>
        <w:widowControl/>
        <w:spacing w:line="240" w:lineRule="auto"/>
        <w:ind w:firstLine="480"/>
        <w:jc w:val="left"/>
        <w:rPr>
          <w:rFonts w:ascii="宋体" w:eastAsia="黑体"/>
          <w:b/>
          <w:bCs/>
          <w:kern w:val="44"/>
          <w:sz w:val="28"/>
          <w:szCs w:val="44"/>
        </w:rPr>
      </w:pPr>
      <w:r>
        <w:rPr>
          <w:rFonts w:ascii="宋体"/>
        </w:rPr>
        <w:br w:type="page"/>
      </w:r>
    </w:p>
    <w:p>
      <w:pPr>
        <w:widowControl/>
        <w:spacing w:line="240" w:lineRule="auto"/>
        <w:ind w:firstLine="199" w:firstLineChars="83"/>
        <w:jc w:val="left"/>
        <w:rPr>
          <w:rFonts w:ascii="宋体" w:eastAsia="黑体"/>
          <w:b/>
          <w:bCs/>
          <w:kern w:val="44"/>
          <w:sz w:val="28"/>
          <w:szCs w:val="44"/>
        </w:rPr>
      </w:pPr>
      <w:r>
        <w:drawing>
          <wp:inline distT="0" distB="0" distL="0" distR="0">
            <wp:extent cx="5248910" cy="8218805"/>
            <wp:effectExtent l="0" t="0" r="8890" b="0"/>
            <wp:docPr id="7168" name="图片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 name="图片 7168"/>
                    <pic:cNvPicPr>
                      <a:picLocks noChangeAspect="1" noChangeArrowheads="1"/>
                    </pic:cNvPicPr>
                  </pic:nvPicPr>
                  <pic:blipFill>
                    <a:blip r:embed="rId14"/>
                    <a:srcRect/>
                    <a:stretch>
                      <a:fillRect/>
                    </a:stretch>
                  </pic:blipFill>
                  <pic:spPr>
                    <a:xfrm>
                      <a:off x="0" y="0"/>
                      <a:ext cx="5249844" cy="8219843"/>
                    </a:xfrm>
                    <a:prstGeom prst="rect">
                      <a:avLst/>
                    </a:prstGeom>
                    <a:noFill/>
                    <a:ln>
                      <a:noFill/>
                    </a:ln>
                  </pic:spPr>
                </pic:pic>
              </a:graphicData>
            </a:graphic>
          </wp:inline>
        </w:drawing>
      </w:r>
    </w:p>
    <w:p>
      <w:pPr>
        <w:widowControl/>
        <w:spacing w:line="240" w:lineRule="auto"/>
        <w:ind w:firstLine="0" w:firstLineChars="0"/>
        <w:jc w:val="left"/>
        <w:rPr>
          <w:rFonts w:ascii="宋体" w:eastAsia="黑体"/>
          <w:b/>
          <w:bCs/>
          <w:kern w:val="44"/>
          <w:sz w:val="28"/>
          <w:szCs w:val="44"/>
        </w:rPr>
      </w:pPr>
    </w:p>
    <w:p>
      <w:pPr>
        <w:pStyle w:val="2"/>
        <w:spacing w:before="93"/>
        <w:jc w:val="both"/>
        <w:rPr>
          <w:sz w:val="28"/>
          <w:szCs w:val="28"/>
        </w:rPr>
      </w:pPr>
      <w:bookmarkStart w:id="80" w:name="_Toc517293082"/>
      <w:bookmarkStart w:id="81" w:name="_Toc176456028"/>
      <w:r>
        <w:rPr>
          <w:rFonts w:hint="eastAsia"/>
          <w:sz w:val="28"/>
          <w:szCs w:val="28"/>
        </w:rPr>
        <w:t>附件</w:t>
      </w:r>
      <w:r>
        <w:rPr>
          <w:sz w:val="28"/>
          <w:szCs w:val="28"/>
        </w:rPr>
        <w:t>2</w:t>
      </w:r>
      <w:r>
        <w:rPr>
          <w:rFonts w:hint="eastAsia"/>
          <w:sz w:val="28"/>
          <w:szCs w:val="28"/>
        </w:rPr>
        <w:t>：07版风景名胜区总体规划部际联审意见</w:t>
      </w:r>
      <w:bookmarkEnd w:id="80"/>
      <w:bookmarkEnd w:id="81"/>
    </w:p>
    <w:p>
      <w:pPr>
        <w:widowControl/>
        <w:spacing w:line="240" w:lineRule="auto"/>
        <w:ind w:firstLine="0" w:firstLineChars="0"/>
        <w:rPr>
          <w:rFonts w:ascii="宋体" w:hAnsi="宋体"/>
        </w:rPr>
      </w:pPr>
      <w:r>
        <w:rPr>
          <w:rFonts w:hint="eastAsia" w:ascii="宋体" w:hAnsi="宋体"/>
        </w:rPr>
        <w:drawing>
          <wp:inline distT="0" distB="0" distL="0" distR="0">
            <wp:extent cx="5274310" cy="7385050"/>
            <wp:effectExtent l="0" t="0" r="0" b="0"/>
            <wp:docPr id="12" name="图片 1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
                    <pic:cNvPicPr>
                      <a:picLocks noChangeAspect="1" noChangeArrowheads="1"/>
                    </pic:cNvPicPr>
                  </pic:nvPicPr>
                  <pic:blipFill>
                    <a:blip r:embed="rId15"/>
                    <a:srcRect/>
                    <a:stretch>
                      <a:fillRect/>
                    </a:stretch>
                  </pic:blipFill>
                  <pic:spPr>
                    <a:xfrm>
                      <a:off x="0" y="0"/>
                      <a:ext cx="5274310" cy="7385197"/>
                    </a:xfrm>
                    <a:prstGeom prst="rect">
                      <a:avLst/>
                    </a:prstGeom>
                    <a:noFill/>
                    <a:ln>
                      <a:noFill/>
                    </a:ln>
                  </pic:spPr>
                </pic:pic>
              </a:graphicData>
            </a:graphic>
          </wp:inline>
        </w:drawing>
      </w:r>
    </w:p>
    <w:p>
      <w:pPr>
        <w:widowControl/>
        <w:spacing w:line="240" w:lineRule="auto"/>
        <w:ind w:firstLine="0" w:firstLineChars="0"/>
        <w:rPr>
          <w:rFonts w:ascii="宋体" w:hAnsi="宋体"/>
        </w:rPr>
      </w:pPr>
      <w:r>
        <w:rPr>
          <w:rFonts w:ascii="宋体" w:hAnsi="宋体"/>
        </w:rPr>
        <w:br w:type="page"/>
      </w:r>
    </w:p>
    <w:p>
      <w:pPr>
        <w:widowControl/>
        <w:spacing w:line="240" w:lineRule="auto"/>
        <w:ind w:firstLine="0" w:firstLineChars="0"/>
        <w:rPr>
          <w:rFonts w:ascii="宋体" w:hAnsi="宋体"/>
        </w:rPr>
      </w:pPr>
      <w:r>
        <w:rPr>
          <w:rFonts w:hint="eastAsia" w:ascii="宋体" w:hAnsi="宋体"/>
        </w:rPr>
        <w:drawing>
          <wp:inline distT="0" distB="0" distL="0" distR="0">
            <wp:extent cx="5274310" cy="7579360"/>
            <wp:effectExtent l="0" t="0" r="2540" b="2540"/>
            <wp:docPr id="7172" name="图片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图片 7172"/>
                    <pic:cNvPicPr>
                      <a:picLocks noChangeAspect="1" noChangeArrowheads="1"/>
                    </pic:cNvPicPr>
                  </pic:nvPicPr>
                  <pic:blipFill>
                    <a:blip r:embed="rId16"/>
                    <a:srcRect/>
                    <a:stretch>
                      <a:fillRect/>
                    </a:stretch>
                  </pic:blipFill>
                  <pic:spPr>
                    <a:xfrm>
                      <a:off x="0" y="0"/>
                      <a:ext cx="5274310" cy="7579728"/>
                    </a:xfrm>
                    <a:prstGeom prst="rect">
                      <a:avLst/>
                    </a:prstGeom>
                    <a:noFill/>
                    <a:ln>
                      <a:noFill/>
                    </a:ln>
                  </pic:spPr>
                </pic:pic>
              </a:graphicData>
            </a:graphic>
          </wp:inline>
        </w:drawing>
      </w:r>
    </w:p>
    <w:p>
      <w:pPr>
        <w:widowControl/>
        <w:spacing w:line="240" w:lineRule="auto"/>
        <w:ind w:firstLine="0" w:firstLineChars="0"/>
        <w:rPr>
          <w:rFonts w:ascii="宋体" w:hAnsi="宋体"/>
        </w:rPr>
      </w:pPr>
      <w:r>
        <w:rPr>
          <w:rFonts w:ascii="宋体" w:hAnsi="宋体"/>
        </w:rPr>
        <w:br w:type="page"/>
      </w:r>
    </w:p>
    <w:p>
      <w:pPr>
        <w:widowControl/>
        <w:spacing w:line="240" w:lineRule="auto"/>
        <w:ind w:firstLine="0" w:firstLineChars="0"/>
        <w:rPr>
          <w:rFonts w:ascii="宋体" w:hAnsi="宋体"/>
        </w:rPr>
      </w:pPr>
    </w:p>
    <w:p>
      <w:pPr>
        <w:widowControl/>
        <w:spacing w:line="240" w:lineRule="auto"/>
        <w:ind w:firstLine="0" w:firstLineChars="0"/>
        <w:rPr>
          <w:rFonts w:ascii="宋体" w:hAnsi="宋体"/>
        </w:rPr>
      </w:pPr>
      <w:r>
        <w:rPr>
          <w:rFonts w:ascii="宋体" w:hAnsi="宋体"/>
        </w:rPr>
        <w:drawing>
          <wp:inline distT="0" distB="0" distL="0" distR="0">
            <wp:extent cx="5274310" cy="7867650"/>
            <wp:effectExtent l="0" t="0" r="2540" b="0"/>
            <wp:docPr id="7173" name="图片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图片 7173"/>
                    <pic:cNvPicPr>
                      <a:picLocks noChangeAspect="1" noChangeArrowheads="1"/>
                    </pic:cNvPicPr>
                  </pic:nvPicPr>
                  <pic:blipFill>
                    <a:blip r:embed="rId17"/>
                    <a:srcRect/>
                    <a:stretch>
                      <a:fillRect/>
                    </a:stretch>
                  </pic:blipFill>
                  <pic:spPr>
                    <a:xfrm>
                      <a:off x="0" y="0"/>
                      <a:ext cx="5274310" cy="7867650"/>
                    </a:xfrm>
                    <a:prstGeom prst="rect">
                      <a:avLst/>
                    </a:prstGeom>
                    <a:noFill/>
                    <a:ln>
                      <a:noFill/>
                    </a:ln>
                  </pic:spPr>
                </pic:pic>
              </a:graphicData>
            </a:graphic>
          </wp:inline>
        </w:drawing>
      </w:r>
    </w:p>
    <w:p>
      <w:pPr>
        <w:widowControl/>
        <w:spacing w:line="240" w:lineRule="auto"/>
        <w:ind w:firstLine="0" w:firstLineChars="0"/>
        <w:rPr>
          <w:rFonts w:ascii="宋体" w:hAnsi="宋体"/>
        </w:rPr>
      </w:pPr>
      <w:r>
        <w:rPr>
          <w:rFonts w:ascii="宋体" w:hAnsi="宋体"/>
        </w:rPr>
        <w:br w:type="page"/>
      </w:r>
    </w:p>
    <w:p>
      <w:pPr>
        <w:widowControl/>
        <w:spacing w:line="240" w:lineRule="auto"/>
        <w:ind w:firstLine="0" w:firstLineChars="0"/>
        <w:rPr>
          <w:rFonts w:ascii="宋体" w:hAnsi="宋体"/>
        </w:rPr>
      </w:pPr>
      <w:r>
        <w:rPr>
          <w:rFonts w:ascii="宋体" w:hAnsi="宋体"/>
        </w:rPr>
        <w:drawing>
          <wp:inline distT="0" distB="0" distL="0" distR="0">
            <wp:extent cx="5322570" cy="7803515"/>
            <wp:effectExtent l="0" t="0" r="0" b="6985"/>
            <wp:docPr id="7177" name="图片 7177" descr="C:\Users\li\Desktop\文成附件\img-308001829\img-308001829-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 name="图片 7177" descr="C:\Users\li\Desktop\文成附件\img-308001829\img-308001829-0001.jpg"/>
                    <pic:cNvPicPr>
                      <a:picLocks noChangeAspect="1" noChangeArrowheads="1"/>
                    </pic:cNvPicPr>
                  </pic:nvPicPr>
                  <pic:blipFill>
                    <a:blip r:embed="rId18"/>
                    <a:srcRect/>
                    <a:stretch>
                      <a:fillRect/>
                    </a:stretch>
                  </pic:blipFill>
                  <pic:spPr>
                    <a:xfrm>
                      <a:off x="0" y="0"/>
                      <a:ext cx="5322570" cy="7803515"/>
                    </a:xfrm>
                    <a:prstGeom prst="rect">
                      <a:avLst/>
                    </a:prstGeom>
                    <a:noFill/>
                    <a:ln>
                      <a:noFill/>
                    </a:ln>
                  </pic:spPr>
                </pic:pic>
              </a:graphicData>
            </a:graphic>
          </wp:inline>
        </w:drawing>
      </w:r>
    </w:p>
    <w:p>
      <w:pPr>
        <w:widowControl/>
        <w:spacing w:line="240" w:lineRule="auto"/>
        <w:ind w:firstLine="0" w:firstLineChars="0"/>
        <w:rPr>
          <w:rFonts w:ascii="宋体" w:hAnsi="宋体"/>
        </w:rPr>
      </w:pPr>
      <w:r>
        <w:rPr>
          <w:rFonts w:ascii="宋体" w:hAnsi="宋体"/>
        </w:rPr>
        <w:br w:type="page"/>
      </w:r>
      <w:bookmarkStart w:id="82" w:name="_Toc517293083"/>
    </w:p>
    <w:bookmarkEnd w:id="82"/>
    <w:p>
      <w:pPr>
        <w:pStyle w:val="2"/>
        <w:spacing w:before="93"/>
        <w:jc w:val="both"/>
        <w:rPr>
          <w:rFonts w:ascii="Arial" w:hAnsi="Arial"/>
          <w:sz w:val="28"/>
          <w:szCs w:val="32"/>
        </w:rPr>
      </w:pPr>
      <w:bookmarkStart w:id="83" w:name="_Toc468480454"/>
      <w:bookmarkStart w:id="84" w:name="_Toc176456029"/>
      <w:r>
        <w:rPr>
          <w:rFonts w:hint="eastAsia"/>
          <w:sz w:val="28"/>
          <w:szCs w:val="28"/>
        </w:rPr>
        <w:t>附件</w:t>
      </w:r>
      <w:bookmarkEnd w:id="83"/>
      <w:r>
        <w:rPr>
          <w:sz w:val="28"/>
          <w:szCs w:val="28"/>
        </w:rPr>
        <w:t>3</w:t>
      </w:r>
      <w:r>
        <w:rPr>
          <w:rFonts w:hint="eastAsia"/>
          <w:sz w:val="28"/>
          <w:szCs w:val="28"/>
        </w:rPr>
        <w:t>：</w:t>
      </w:r>
      <w:r>
        <w:rPr>
          <w:sz w:val="28"/>
          <w:szCs w:val="28"/>
        </w:rPr>
        <w:t>17</w:t>
      </w:r>
      <w:r>
        <w:rPr>
          <w:rFonts w:hint="eastAsia"/>
          <w:sz w:val="28"/>
          <w:szCs w:val="28"/>
        </w:rPr>
        <w:t>版总规经省人民政府上报国务院文件</w:t>
      </w:r>
      <w:bookmarkEnd w:id="84"/>
    </w:p>
    <w:p>
      <w:pPr>
        <w:widowControl/>
        <w:spacing w:line="240" w:lineRule="auto"/>
        <w:ind w:firstLine="0" w:firstLineChars="0"/>
        <w:jc w:val="left"/>
        <w:rPr>
          <w:sz w:val="21"/>
        </w:rPr>
      </w:pPr>
      <w:bookmarkStart w:id="86" w:name="_GoBack"/>
      <w:r>
        <w:rPr>
          <w:sz w:val="21"/>
        </w:rPr>
        <w:drawing>
          <wp:inline distT="0" distB="0" distL="0" distR="0">
            <wp:extent cx="5605145" cy="7825740"/>
            <wp:effectExtent l="0" t="0" r="0" b="3810"/>
            <wp:docPr id="20446660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666015" name="图片 1"/>
                    <pic:cNvPicPr>
                      <a:picLocks noChangeAspect="1" noChangeArrowheads="1"/>
                    </pic:cNvPicPr>
                  </pic:nvPicPr>
                  <pic:blipFill>
                    <a:blip r:embed="rId19">
                      <a:lum bright="20000" contrast="20000"/>
                    </a:blip>
                    <a:srcRect/>
                    <a:stretch>
                      <a:fillRect/>
                    </a:stretch>
                  </pic:blipFill>
                  <pic:spPr>
                    <a:xfrm>
                      <a:off x="0" y="0"/>
                      <a:ext cx="5605145" cy="7825740"/>
                    </a:xfrm>
                    <a:prstGeom prst="rect">
                      <a:avLst/>
                    </a:prstGeom>
                    <a:noFill/>
                    <a:ln>
                      <a:noFill/>
                    </a:ln>
                  </pic:spPr>
                </pic:pic>
              </a:graphicData>
            </a:graphic>
          </wp:inline>
        </w:drawing>
      </w:r>
      <w:bookmarkEnd w:id="86"/>
    </w:p>
    <w:p>
      <w:pPr>
        <w:widowControl/>
        <w:spacing w:line="240" w:lineRule="auto"/>
        <w:ind w:firstLine="0" w:firstLineChars="0"/>
        <w:jc w:val="left"/>
        <w:rPr>
          <w:sz w:val="21"/>
        </w:rPr>
      </w:pPr>
    </w:p>
    <w:p>
      <w:pPr>
        <w:widowControl/>
        <w:spacing w:line="240" w:lineRule="auto"/>
        <w:ind w:firstLine="0" w:firstLineChars="0"/>
        <w:jc w:val="left"/>
        <w:rPr>
          <w:sz w:val="21"/>
        </w:rPr>
      </w:pPr>
      <w:r>
        <w:rPr>
          <w:sz w:val="21"/>
        </w:rPr>
        <w:drawing>
          <wp:inline distT="0" distB="0" distL="0" distR="0">
            <wp:extent cx="5605145" cy="8146415"/>
            <wp:effectExtent l="0" t="0" r="0" b="6985"/>
            <wp:docPr id="18959379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937927" name="图片 2"/>
                    <pic:cNvPicPr>
                      <a:picLocks noChangeAspect="1" noChangeArrowheads="1"/>
                    </pic:cNvPicPr>
                  </pic:nvPicPr>
                  <pic:blipFill>
                    <a:blip r:embed="rId20">
                      <a:lum bright="20000"/>
                    </a:blip>
                    <a:srcRect/>
                    <a:stretch>
                      <a:fillRect/>
                    </a:stretch>
                  </pic:blipFill>
                  <pic:spPr>
                    <a:xfrm>
                      <a:off x="0" y="0"/>
                      <a:ext cx="5605145" cy="8146415"/>
                    </a:xfrm>
                    <a:prstGeom prst="rect">
                      <a:avLst/>
                    </a:prstGeom>
                    <a:noFill/>
                    <a:ln>
                      <a:noFill/>
                    </a:ln>
                  </pic:spPr>
                </pic:pic>
              </a:graphicData>
            </a:graphic>
          </wp:inline>
        </w:drawing>
      </w:r>
    </w:p>
    <w:p>
      <w:pPr>
        <w:widowControl/>
        <w:ind w:firstLine="0" w:firstLineChars="0"/>
        <w:jc w:val="left"/>
        <w:rPr>
          <w:rFonts w:ascii="楷体" w:hAnsi="楷体" w:eastAsia="楷体"/>
          <w:sz w:val="28"/>
          <w:szCs w:val="28"/>
        </w:rPr>
      </w:pPr>
    </w:p>
    <w:p>
      <w:pPr>
        <w:pStyle w:val="2"/>
        <w:spacing w:before="93"/>
        <w:jc w:val="both"/>
        <w:rPr>
          <w:sz w:val="28"/>
          <w:szCs w:val="28"/>
        </w:rPr>
      </w:pPr>
      <w:bookmarkStart w:id="85" w:name="_Toc176456030"/>
      <w:r>
        <w:rPr>
          <w:rFonts w:hint="eastAsia"/>
          <w:sz w:val="28"/>
          <w:szCs w:val="28"/>
        </w:rPr>
        <w:t>附件</w:t>
      </w:r>
      <w:r>
        <w:rPr>
          <w:sz w:val="28"/>
          <w:szCs w:val="28"/>
        </w:rPr>
        <w:t>4</w:t>
      </w:r>
      <w:r>
        <w:rPr>
          <w:rFonts w:hint="eastAsia"/>
          <w:sz w:val="28"/>
          <w:szCs w:val="28"/>
        </w:rPr>
        <w:t>：国家林草局关于百丈漈—飞云湖风景区总体规划的意见</w:t>
      </w:r>
      <w:bookmarkEnd w:id="85"/>
    </w:p>
    <w:p>
      <w:pPr>
        <w:widowControl/>
        <w:ind w:firstLine="0" w:firstLineChars="0"/>
        <w:jc w:val="left"/>
        <w:rPr>
          <w:sz w:val="21"/>
        </w:rPr>
      </w:pPr>
      <w:r>
        <w:drawing>
          <wp:inline distT="0" distB="0" distL="0" distR="0">
            <wp:extent cx="5561965" cy="6967855"/>
            <wp:effectExtent l="0" t="0" r="635"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srcRect/>
                    <a:stretch>
                      <a:fillRect/>
                    </a:stretch>
                  </pic:blipFill>
                  <pic:spPr>
                    <a:xfrm>
                      <a:off x="0" y="0"/>
                      <a:ext cx="5562600" cy="6968213"/>
                    </a:xfrm>
                    <a:prstGeom prst="rect">
                      <a:avLst/>
                    </a:prstGeom>
                    <a:ln>
                      <a:noFill/>
                    </a:ln>
                  </pic:spPr>
                </pic:pic>
              </a:graphicData>
            </a:graphic>
          </wp:inline>
        </w:drawing>
      </w:r>
    </w:p>
    <w:p>
      <w:pPr>
        <w:widowControl/>
        <w:ind w:firstLine="0" w:firstLineChars="0"/>
        <w:jc w:val="left"/>
        <w:rPr>
          <w:sz w:val="21"/>
        </w:rPr>
      </w:pPr>
    </w:p>
    <w:p>
      <w:pPr>
        <w:widowControl/>
        <w:ind w:firstLine="0" w:firstLineChars="0"/>
        <w:jc w:val="left"/>
        <w:rPr>
          <w:sz w:val="21"/>
        </w:rPr>
      </w:pPr>
    </w:p>
    <w:p>
      <w:pPr>
        <w:spacing w:line="560" w:lineRule="exact"/>
        <w:ind w:firstLine="199" w:firstLineChars="83"/>
        <w:rPr>
          <w:rFonts w:cs="宋体"/>
        </w:rPr>
      </w:pPr>
    </w:p>
    <w:p>
      <w:pPr>
        <w:spacing w:line="560" w:lineRule="exact"/>
        <w:ind w:firstLine="199" w:firstLineChars="83"/>
        <w:rPr>
          <w:rFonts w:cs="宋体"/>
        </w:rPr>
      </w:pPr>
      <w:r>
        <w:drawing>
          <wp:anchor distT="0" distB="0" distL="114300" distR="114300" simplePos="0" relativeHeight="251662336" behindDoc="0" locked="0" layoutInCell="1" allowOverlap="1">
            <wp:simplePos x="0" y="0"/>
            <wp:positionH relativeFrom="column">
              <wp:posOffset>-45720</wp:posOffset>
            </wp:positionH>
            <wp:positionV relativeFrom="paragraph">
              <wp:posOffset>298450</wp:posOffset>
            </wp:positionV>
            <wp:extent cx="5841365" cy="8152765"/>
            <wp:effectExtent l="0" t="0" r="6985" b="63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841365" cy="8152765"/>
                    </a:xfrm>
                    <a:prstGeom prst="rect">
                      <a:avLst/>
                    </a:prstGeom>
                  </pic:spPr>
                </pic:pic>
              </a:graphicData>
            </a:graphic>
          </wp:anchor>
        </w:drawing>
      </w:r>
    </w:p>
    <w:sectPr>
      <w:pgSz w:w="11906" w:h="16838"/>
      <w:pgMar w:top="1440" w:right="1531" w:bottom="1440"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
    <w:altName w:val="Times New Roman"/>
    <w:panose1 w:val="00000000000000000000"/>
    <w:charset w:val="00"/>
    <w:family w:val="roman"/>
    <w:pitch w:val="default"/>
    <w:sig w:usb0="00000000" w:usb1="00000000" w:usb2="00000000" w:usb3="00000000" w:csb0="00000001" w:csb1="00000000"/>
  </w:font>
  <w:font w:name="仿宋_GB2312">
    <w:altName w:val="仿宋"/>
    <w:panose1 w:val="00000000000000000000"/>
    <w:charset w:val="86"/>
    <w:family w:val="auto"/>
    <w:pitch w:val="default"/>
    <w:sig w:usb0="00000000" w:usb1="00000000" w:usb2="00000000" w:usb3="00000000" w:csb0="00040000" w:csb1="00000000"/>
  </w:font>
  <w:font w:name="Goudy Old Style">
    <w:altName w:val="PMingLiU-ExtB"/>
    <w:panose1 w:val="02020502050305020303"/>
    <w:charset w:val="00"/>
    <w:family w:val="roman"/>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7F" w:usb3="00000000" w:csb0="003F01FF" w:csb1="00000000"/>
  </w:font>
  <w:font w:name="幼圆">
    <w:altName w:val="宋体"/>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auto"/>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楷体">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MicrosoftYaHei">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jc w:val="center"/>
    </w:pPr>
    <w:r>
      <w:fldChar w:fldCharType="begin"/>
    </w:r>
    <w:r>
      <w:instrText xml:space="preserve"> PAGE  \* MERGEFORMAT </w:instrText>
    </w:r>
    <w:r>
      <w:fldChar w:fldCharType="separate"/>
    </w:r>
    <w:r>
      <w:t>63</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spacing w:line="240" w:lineRule="auto"/>
      <w:ind w:firstLine="360"/>
      <w:jc w:val="right"/>
    </w:pPr>
    <w:r>
      <w:rPr>
        <w:rFonts w:hint="eastAsia" w:cs="宋体"/>
      </w:rPr>
      <w:t>百丈漈—飞云湖风景名胜区总体规划（</w:t>
    </w:r>
    <w:r>
      <w:rPr>
        <w:rFonts w:cs="宋体"/>
      </w:rPr>
      <w:t>20</w:t>
    </w:r>
    <w:r>
      <w:rPr>
        <w:rFonts w:hint="eastAsia" w:cs="宋体"/>
      </w:rPr>
      <w:t>2</w:t>
    </w:r>
    <w:r>
      <w:rPr>
        <w:rFonts w:cs="宋体"/>
      </w:rPr>
      <w:t>4</w:t>
    </w:r>
    <w:r>
      <w:rPr>
        <w:rFonts w:hint="eastAsia" w:cs="宋体"/>
      </w:rPr>
      <w:t>-2035年）</w:t>
    </w:r>
    <w:r>
      <w:rPr>
        <w:rFonts w:cs="宋体"/>
      </w:rPr>
      <w:t xml:space="preserve"> </w:t>
    </w:r>
    <w:r>
      <w:rPr>
        <w:rFonts w:hint="eastAsia" w:cs="宋体"/>
      </w:rPr>
      <w:t>规划说明书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D89EDC"/>
    <w:multiLevelType w:val="singleLevel"/>
    <w:tmpl w:val="BFD89EDC"/>
    <w:lvl w:ilvl="0" w:tentative="0">
      <w:start w:val="6"/>
      <w:numFmt w:val="decimal"/>
      <w:suff w:val="nothing"/>
      <w:lvlText w:val="%1、"/>
      <w:lvlJc w:val="left"/>
    </w:lvl>
  </w:abstractNum>
  <w:abstractNum w:abstractNumId="1">
    <w:nsid w:val="0AF33175"/>
    <w:multiLevelType w:val="multilevel"/>
    <w:tmpl w:val="0AF33175"/>
    <w:lvl w:ilvl="0" w:tentative="0">
      <w:start w:val="1"/>
      <w:numFmt w:val="japaneseCounting"/>
      <w:pStyle w:val="71"/>
      <w:lvlText w:val="第%1章"/>
      <w:lvlJc w:val="left"/>
      <w:pPr>
        <w:tabs>
          <w:tab w:val="left" w:pos="840"/>
        </w:tabs>
        <w:ind w:left="840" w:hanging="840"/>
      </w:pPr>
      <w:rPr>
        <w:rFonts w:hint="default" w:cs="Times New Roman"/>
      </w:rPr>
    </w:lvl>
    <w:lvl w:ilvl="1" w:tentative="0">
      <w:start w:val="1"/>
      <w:numFmt w:val="decimal"/>
      <w:lvlText w:val="（%2）"/>
      <w:lvlJc w:val="left"/>
      <w:pPr>
        <w:tabs>
          <w:tab w:val="left" w:pos="1140"/>
        </w:tabs>
        <w:ind w:left="1140" w:hanging="720"/>
      </w:pPr>
      <w:rPr>
        <w:rFonts w:hint="default"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
    <w:nsid w:val="1DCE2ED5"/>
    <w:multiLevelType w:val="singleLevel"/>
    <w:tmpl w:val="1DCE2ED5"/>
    <w:lvl w:ilvl="0" w:tentative="0">
      <w:start w:val="2"/>
      <w:numFmt w:val="decimal"/>
      <w:suff w:val="nothing"/>
      <w:lvlText w:val="%1、"/>
      <w:lvlJc w:val="left"/>
    </w:lvl>
  </w:abstractNum>
  <w:abstractNum w:abstractNumId="3">
    <w:nsid w:val="2548A16B"/>
    <w:multiLevelType w:val="singleLevel"/>
    <w:tmpl w:val="2548A16B"/>
    <w:lvl w:ilvl="0" w:tentative="0">
      <w:start w:val="1"/>
      <w:numFmt w:val="chineseCounting"/>
      <w:suff w:val="nothing"/>
      <w:lvlText w:val="第%1，"/>
      <w:lvlJc w:val="left"/>
      <w:rPr>
        <w:rFonts w:hint="eastAsia"/>
      </w:rPr>
    </w:lvl>
  </w:abstractNum>
  <w:abstractNum w:abstractNumId="4">
    <w:nsid w:val="328253B6"/>
    <w:multiLevelType w:val="multilevel"/>
    <w:tmpl w:val="328253B6"/>
    <w:lvl w:ilvl="0" w:tentative="0">
      <w:start w:val="1"/>
      <w:numFmt w:val="decimal"/>
      <w:suff w:val="nothing"/>
      <w:lvlText w:val="第%1章"/>
      <w:lvlJc w:val="left"/>
      <w:pPr>
        <w:ind w:left="1559"/>
      </w:pPr>
      <w:rPr>
        <w:rFonts w:hint="eastAsia" w:cs="Times New Roman"/>
      </w:rPr>
    </w:lvl>
    <w:lvl w:ilvl="1" w:tentative="0">
      <w:start w:val="1"/>
      <w:numFmt w:val="none"/>
      <w:suff w:val="nothing"/>
      <w:lvlText w:val=""/>
      <w:lvlJc w:val="left"/>
      <w:rPr>
        <w:rFonts w:hint="eastAsia" w:cs="Times New Roman"/>
      </w:rPr>
    </w:lvl>
    <w:lvl w:ilvl="2" w:tentative="0">
      <w:start w:val="1"/>
      <w:numFmt w:val="none"/>
      <w:suff w:val="nothing"/>
      <w:lvlText w:val=""/>
      <w:lvlJc w:val="left"/>
      <w:rPr>
        <w:rFonts w:hint="eastAsia" w:cs="Times New Roman"/>
      </w:rPr>
    </w:lvl>
    <w:lvl w:ilvl="3" w:tentative="0">
      <w:start w:val="1"/>
      <w:numFmt w:val="none"/>
      <w:suff w:val="nothing"/>
      <w:lvlText w:val=""/>
      <w:lvlJc w:val="left"/>
      <w:rPr>
        <w:rFonts w:hint="eastAsia" w:cs="Times New Roman"/>
      </w:rPr>
    </w:lvl>
    <w:lvl w:ilvl="4" w:tentative="0">
      <w:start w:val="1"/>
      <w:numFmt w:val="none"/>
      <w:suff w:val="nothing"/>
      <w:lvlText w:val=""/>
      <w:lvlJc w:val="left"/>
      <w:rPr>
        <w:rFonts w:hint="eastAsia" w:cs="Times New Roman"/>
      </w:rPr>
    </w:lvl>
    <w:lvl w:ilvl="5" w:tentative="0">
      <w:start w:val="1"/>
      <w:numFmt w:val="none"/>
      <w:suff w:val="nothing"/>
      <w:lvlText w:val=""/>
      <w:lvlJc w:val="left"/>
      <w:rPr>
        <w:rFonts w:hint="eastAsia" w:cs="Times New Roman"/>
      </w:rPr>
    </w:lvl>
    <w:lvl w:ilvl="6" w:tentative="0">
      <w:start w:val="1"/>
      <w:numFmt w:val="none"/>
      <w:suff w:val="nothing"/>
      <w:lvlText w:val=""/>
      <w:lvlJc w:val="left"/>
      <w:rPr>
        <w:rFonts w:hint="eastAsia" w:cs="Times New Roman"/>
      </w:rPr>
    </w:lvl>
    <w:lvl w:ilvl="7" w:tentative="0">
      <w:start w:val="1"/>
      <w:numFmt w:val="none"/>
      <w:suff w:val="nothing"/>
      <w:lvlText w:val=""/>
      <w:lvlJc w:val="left"/>
      <w:rPr>
        <w:rFonts w:hint="eastAsia" w:cs="Times New Roman"/>
      </w:rPr>
    </w:lvl>
    <w:lvl w:ilvl="8" w:tentative="0">
      <w:start w:val="1"/>
      <w:numFmt w:val="none"/>
      <w:suff w:val="nothing"/>
      <w:lvlText w:val=""/>
      <w:lvlJc w:val="left"/>
      <w:rPr>
        <w:rFonts w:hint="eastAsia" w:cs="Times New Roman"/>
      </w:rPr>
    </w:lvl>
  </w:abstractNum>
  <w:abstractNum w:abstractNumId="5">
    <w:nsid w:val="38F41591"/>
    <w:multiLevelType w:val="multilevel"/>
    <w:tmpl w:val="38F41591"/>
    <w:lvl w:ilvl="0" w:tentative="0">
      <w:start w:val="1"/>
      <w:numFmt w:val="none"/>
      <w:lvlText w:val="3"/>
      <w:lvlJc w:val="left"/>
      <w:pPr>
        <w:tabs>
          <w:tab w:val="left" w:pos="705"/>
        </w:tabs>
        <w:ind w:left="705" w:hanging="705"/>
      </w:pPr>
      <w:rPr>
        <w:rFonts w:hint="default" w:cs="Times New Roman"/>
      </w:rPr>
    </w:lvl>
    <w:lvl w:ilvl="1" w:tentative="0">
      <w:start w:val="1"/>
      <w:numFmt w:val="decimal"/>
      <w:pStyle w:val="65"/>
      <w:lvlText w:val="%11．1．%2"/>
      <w:lvlJc w:val="left"/>
      <w:pPr>
        <w:tabs>
          <w:tab w:val="left" w:pos="0"/>
        </w:tabs>
        <w:ind w:left="720" w:hanging="720"/>
      </w:pPr>
      <w:rPr>
        <w:rFonts w:hint="default" w:cs="Times New Roman"/>
      </w:rPr>
    </w:lvl>
    <w:lvl w:ilvl="2" w:tentative="0">
      <w:start w:val="1"/>
      <w:numFmt w:val="decimal"/>
      <w:isLgl/>
      <w:lvlText w:val="%13.2.%3"/>
      <w:lvlJc w:val="left"/>
      <w:pPr>
        <w:tabs>
          <w:tab w:val="left" w:pos="1080"/>
        </w:tabs>
        <w:ind w:left="1080" w:hanging="1080"/>
      </w:pPr>
      <w:rPr>
        <w:rFonts w:hint="default" w:cs="Times New Roman"/>
      </w:rPr>
    </w:lvl>
    <w:lvl w:ilvl="3" w:tentative="0">
      <w:start w:val="1"/>
      <w:numFmt w:val="decimal"/>
      <w:lvlText w:val="%1．%2.%3.%4"/>
      <w:lvlJc w:val="left"/>
      <w:pPr>
        <w:tabs>
          <w:tab w:val="left" w:pos="1440"/>
        </w:tabs>
        <w:ind w:left="1440" w:hanging="144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800"/>
        </w:tabs>
        <w:ind w:left="1800" w:hanging="1800"/>
      </w:pPr>
      <w:rPr>
        <w:rFonts w:hint="default" w:cs="Times New Roman"/>
      </w:rPr>
    </w:lvl>
    <w:lvl w:ilvl="6" w:tentative="0">
      <w:start w:val="1"/>
      <w:numFmt w:val="decimal"/>
      <w:lvlText w:val="%1．%2.%3.%4.%5.%6.%7"/>
      <w:lvlJc w:val="left"/>
      <w:pPr>
        <w:tabs>
          <w:tab w:val="left" w:pos="2160"/>
        </w:tabs>
        <w:ind w:left="2160" w:hanging="2160"/>
      </w:pPr>
      <w:rPr>
        <w:rFonts w:hint="default" w:cs="Times New Roman"/>
      </w:rPr>
    </w:lvl>
    <w:lvl w:ilvl="7" w:tentative="0">
      <w:start w:val="1"/>
      <w:numFmt w:val="decimal"/>
      <w:lvlText w:val="%1．%2.%3.%4.%5.%6.%7.%8"/>
      <w:lvlJc w:val="left"/>
      <w:pPr>
        <w:tabs>
          <w:tab w:val="left" w:pos="2520"/>
        </w:tabs>
        <w:ind w:left="2520" w:hanging="2520"/>
      </w:pPr>
      <w:rPr>
        <w:rFonts w:hint="default" w:cs="Times New Roman"/>
      </w:rPr>
    </w:lvl>
    <w:lvl w:ilvl="8" w:tentative="0">
      <w:start w:val="1"/>
      <w:numFmt w:val="decimal"/>
      <w:lvlText w:val="%1．%2.%3.%4.%5.%6.%7.%8.%9"/>
      <w:lvlJc w:val="left"/>
      <w:pPr>
        <w:tabs>
          <w:tab w:val="left" w:pos="2520"/>
        </w:tabs>
        <w:ind w:left="2520" w:hanging="2520"/>
      </w:pPr>
      <w:rPr>
        <w:rFonts w:hint="default" w:cs="Times New Roman"/>
      </w:rPr>
    </w:lvl>
  </w:abstractNum>
  <w:abstractNum w:abstractNumId="6">
    <w:nsid w:val="4EFB3BA5"/>
    <w:multiLevelType w:val="multilevel"/>
    <w:tmpl w:val="4EFB3BA5"/>
    <w:lvl w:ilvl="0" w:tentative="0">
      <w:start w:val="1"/>
      <w:numFmt w:val="japaneseCounting"/>
      <w:lvlText w:val="（%1）"/>
      <w:lvlJc w:val="left"/>
      <w:pPr>
        <w:ind w:left="1222" w:hanging="720"/>
      </w:pPr>
      <w:rPr>
        <w:rFonts w:hint="default"/>
      </w:rPr>
    </w:lvl>
    <w:lvl w:ilvl="1" w:tentative="0">
      <w:start w:val="1"/>
      <w:numFmt w:val="lowerLetter"/>
      <w:lvlText w:val="%2)"/>
      <w:lvlJc w:val="left"/>
      <w:pPr>
        <w:ind w:left="1342" w:hanging="420"/>
      </w:pPr>
    </w:lvl>
    <w:lvl w:ilvl="2" w:tentative="0">
      <w:start w:val="1"/>
      <w:numFmt w:val="lowerRoman"/>
      <w:lvlText w:val="%3."/>
      <w:lvlJc w:val="right"/>
      <w:pPr>
        <w:ind w:left="1762" w:hanging="420"/>
      </w:pPr>
    </w:lvl>
    <w:lvl w:ilvl="3" w:tentative="0">
      <w:start w:val="1"/>
      <w:numFmt w:val="decimal"/>
      <w:lvlText w:val="%4."/>
      <w:lvlJc w:val="left"/>
      <w:pPr>
        <w:ind w:left="2182" w:hanging="420"/>
      </w:pPr>
    </w:lvl>
    <w:lvl w:ilvl="4" w:tentative="0">
      <w:start w:val="1"/>
      <w:numFmt w:val="lowerLetter"/>
      <w:lvlText w:val="%5)"/>
      <w:lvlJc w:val="left"/>
      <w:pPr>
        <w:ind w:left="2602" w:hanging="420"/>
      </w:pPr>
    </w:lvl>
    <w:lvl w:ilvl="5" w:tentative="0">
      <w:start w:val="1"/>
      <w:numFmt w:val="lowerRoman"/>
      <w:lvlText w:val="%6."/>
      <w:lvlJc w:val="right"/>
      <w:pPr>
        <w:ind w:left="3022" w:hanging="420"/>
      </w:pPr>
    </w:lvl>
    <w:lvl w:ilvl="6" w:tentative="0">
      <w:start w:val="1"/>
      <w:numFmt w:val="decimal"/>
      <w:lvlText w:val="%7."/>
      <w:lvlJc w:val="left"/>
      <w:pPr>
        <w:ind w:left="3442" w:hanging="420"/>
      </w:pPr>
    </w:lvl>
    <w:lvl w:ilvl="7" w:tentative="0">
      <w:start w:val="1"/>
      <w:numFmt w:val="lowerLetter"/>
      <w:lvlText w:val="%8)"/>
      <w:lvlJc w:val="left"/>
      <w:pPr>
        <w:ind w:left="3862" w:hanging="420"/>
      </w:pPr>
    </w:lvl>
    <w:lvl w:ilvl="8" w:tentative="0">
      <w:start w:val="1"/>
      <w:numFmt w:val="lowerRoman"/>
      <w:lvlText w:val="%9."/>
      <w:lvlJc w:val="right"/>
      <w:pPr>
        <w:ind w:left="4282" w:hanging="420"/>
      </w:pPr>
    </w:lvl>
  </w:abstractNum>
  <w:abstractNum w:abstractNumId="7">
    <w:nsid w:val="594DEBC9"/>
    <w:multiLevelType w:val="singleLevel"/>
    <w:tmpl w:val="594DEBC9"/>
    <w:lvl w:ilvl="0" w:tentative="0">
      <w:start w:val="2"/>
      <w:numFmt w:val="decimal"/>
      <w:suff w:val="nothing"/>
      <w:lvlText w:val="%1、"/>
      <w:lvlJc w:val="left"/>
    </w:lvl>
  </w:abstractNum>
  <w:num w:numId="1">
    <w:abstractNumId w:val="5"/>
  </w:num>
  <w:num w:numId="2">
    <w:abstractNumId w:val="1"/>
  </w:num>
  <w:num w:numId="3">
    <w:abstractNumId w:val="7"/>
  </w:num>
  <w:num w:numId="4">
    <w:abstractNumId w:val="0"/>
  </w:num>
  <w:num w:numId="5">
    <w:abstractNumId w:val="3"/>
  </w:num>
  <w:num w:numId="6">
    <w:abstractNumId w:val="2"/>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HorizontalSpacing w:val="120"/>
  <w:drawingGridVerticalSpacing w:val="163"/>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IwODhiZTc0YTM3YjMwODQ4MzQ3ZWY2OGM4OTZkZWUifQ=="/>
  </w:docVars>
  <w:rsids>
    <w:rsidRoot w:val="00172A27"/>
    <w:rsid w:val="00000582"/>
    <w:rsid w:val="00000DBB"/>
    <w:rsid w:val="000010DA"/>
    <w:rsid w:val="0000215D"/>
    <w:rsid w:val="00002890"/>
    <w:rsid w:val="00002B10"/>
    <w:rsid w:val="00003552"/>
    <w:rsid w:val="000035CA"/>
    <w:rsid w:val="00003AC8"/>
    <w:rsid w:val="00003B9C"/>
    <w:rsid w:val="00004EE4"/>
    <w:rsid w:val="000059B8"/>
    <w:rsid w:val="00005A0E"/>
    <w:rsid w:val="00007A6B"/>
    <w:rsid w:val="00007BE8"/>
    <w:rsid w:val="00010797"/>
    <w:rsid w:val="00010CF9"/>
    <w:rsid w:val="00011329"/>
    <w:rsid w:val="0001237A"/>
    <w:rsid w:val="00012825"/>
    <w:rsid w:val="00012DC2"/>
    <w:rsid w:val="00013005"/>
    <w:rsid w:val="0001320F"/>
    <w:rsid w:val="00013ABF"/>
    <w:rsid w:val="00013FC0"/>
    <w:rsid w:val="000145F0"/>
    <w:rsid w:val="0001493E"/>
    <w:rsid w:val="00015489"/>
    <w:rsid w:val="00015774"/>
    <w:rsid w:val="00015CBE"/>
    <w:rsid w:val="00016234"/>
    <w:rsid w:val="000163CA"/>
    <w:rsid w:val="00016481"/>
    <w:rsid w:val="00016B88"/>
    <w:rsid w:val="000170E4"/>
    <w:rsid w:val="000170F1"/>
    <w:rsid w:val="00020070"/>
    <w:rsid w:val="0002077C"/>
    <w:rsid w:val="000210F0"/>
    <w:rsid w:val="0002148A"/>
    <w:rsid w:val="00021890"/>
    <w:rsid w:val="00021B3D"/>
    <w:rsid w:val="00023BE4"/>
    <w:rsid w:val="000242B7"/>
    <w:rsid w:val="000242BC"/>
    <w:rsid w:val="00024D4C"/>
    <w:rsid w:val="00024FCA"/>
    <w:rsid w:val="0002655D"/>
    <w:rsid w:val="00027AD7"/>
    <w:rsid w:val="0003001B"/>
    <w:rsid w:val="00030070"/>
    <w:rsid w:val="000302F6"/>
    <w:rsid w:val="00030316"/>
    <w:rsid w:val="00030320"/>
    <w:rsid w:val="00030F31"/>
    <w:rsid w:val="0003106F"/>
    <w:rsid w:val="000315AA"/>
    <w:rsid w:val="00032363"/>
    <w:rsid w:val="00032472"/>
    <w:rsid w:val="0003268F"/>
    <w:rsid w:val="00032764"/>
    <w:rsid w:val="00032925"/>
    <w:rsid w:val="00033124"/>
    <w:rsid w:val="00033620"/>
    <w:rsid w:val="00033AAE"/>
    <w:rsid w:val="00033F95"/>
    <w:rsid w:val="00034339"/>
    <w:rsid w:val="00034359"/>
    <w:rsid w:val="00035011"/>
    <w:rsid w:val="000351F6"/>
    <w:rsid w:val="00035264"/>
    <w:rsid w:val="00036069"/>
    <w:rsid w:val="00036254"/>
    <w:rsid w:val="00036532"/>
    <w:rsid w:val="00036DF4"/>
    <w:rsid w:val="0003706F"/>
    <w:rsid w:val="000372DA"/>
    <w:rsid w:val="0004036B"/>
    <w:rsid w:val="00040B9C"/>
    <w:rsid w:val="00042388"/>
    <w:rsid w:val="00042794"/>
    <w:rsid w:val="00042BA1"/>
    <w:rsid w:val="0004310C"/>
    <w:rsid w:val="00043A7F"/>
    <w:rsid w:val="0004485D"/>
    <w:rsid w:val="00044968"/>
    <w:rsid w:val="00044BC3"/>
    <w:rsid w:val="00044C86"/>
    <w:rsid w:val="00044EBD"/>
    <w:rsid w:val="0004565F"/>
    <w:rsid w:val="00045988"/>
    <w:rsid w:val="00046239"/>
    <w:rsid w:val="00046406"/>
    <w:rsid w:val="00046785"/>
    <w:rsid w:val="00046927"/>
    <w:rsid w:val="00046AD1"/>
    <w:rsid w:val="00046EE1"/>
    <w:rsid w:val="00046FEE"/>
    <w:rsid w:val="00047675"/>
    <w:rsid w:val="00047A31"/>
    <w:rsid w:val="00050098"/>
    <w:rsid w:val="00050230"/>
    <w:rsid w:val="00050963"/>
    <w:rsid w:val="000509EE"/>
    <w:rsid w:val="00050C64"/>
    <w:rsid w:val="0005100E"/>
    <w:rsid w:val="000516B3"/>
    <w:rsid w:val="00051BB1"/>
    <w:rsid w:val="0005209B"/>
    <w:rsid w:val="000533D8"/>
    <w:rsid w:val="00053C1B"/>
    <w:rsid w:val="00054363"/>
    <w:rsid w:val="00054BB7"/>
    <w:rsid w:val="00054CAD"/>
    <w:rsid w:val="00055C96"/>
    <w:rsid w:val="00055F7C"/>
    <w:rsid w:val="000561C8"/>
    <w:rsid w:val="000564F1"/>
    <w:rsid w:val="00056A10"/>
    <w:rsid w:val="00056ACE"/>
    <w:rsid w:val="00056B49"/>
    <w:rsid w:val="00056F64"/>
    <w:rsid w:val="00060139"/>
    <w:rsid w:val="00060906"/>
    <w:rsid w:val="00060F75"/>
    <w:rsid w:val="000632A8"/>
    <w:rsid w:val="000639F9"/>
    <w:rsid w:val="00063C66"/>
    <w:rsid w:val="00063DB1"/>
    <w:rsid w:val="00063ED9"/>
    <w:rsid w:val="00063F46"/>
    <w:rsid w:val="00064A75"/>
    <w:rsid w:val="000652D7"/>
    <w:rsid w:val="0006573B"/>
    <w:rsid w:val="00065A02"/>
    <w:rsid w:val="00065D4C"/>
    <w:rsid w:val="00066941"/>
    <w:rsid w:val="00066AFF"/>
    <w:rsid w:val="000671B2"/>
    <w:rsid w:val="00070969"/>
    <w:rsid w:val="00070C20"/>
    <w:rsid w:val="00071068"/>
    <w:rsid w:val="000714AC"/>
    <w:rsid w:val="0007216C"/>
    <w:rsid w:val="00072FF1"/>
    <w:rsid w:val="00073637"/>
    <w:rsid w:val="0007363D"/>
    <w:rsid w:val="00073681"/>
    <w:rsid w:val="000736EB"/>
    <w:rsid w:val="000742FB"/>
    <w:rsid w:val="00075225"/>
    <w:rsid w:val="00075996"/>
    <w:rsid w:val="00075B37"/>
    <w:rsid w:val="00075B3C"/>
    <w:rsid w:val="00075D62"/>
    <w:rsid w:val="00076B4D"/>
    <w:rsid w:val="00076C78"/>
    <w:rsid w:val="00077F18"/>
    <w:rsid w:val="000806D7"/>
    <w:rsid w:val="00080B0F"/>
    <w:rsid w:val="000811E5"/>
    <w:rsid w:val="00082246"/>
    <w:rsid w:val="00082A7B"/>
    <w:rsid w:val="00083577"/>
    <w:rsid w:val="00083722"/>
    <w:rsid w:val="000848B2"/>
    <w:rsid w:val="00085218"/>
    <w:rsid w:val="00085343"/>
    <w:rsid w:val="00085459"/>
    <w:rsid w:val="000857EE"/>
    <w:rsid w:val="00085F22"/>
    <w:rsid w:val="00086950"/>
    <w:rsid w:val="000872C5"/>
    <w:rsid w:val="000875E4"/>
    <w:rsid w:val="00087705"/>
    <w:rsid w:val="00087951"/>
    <w:rsid w:val="00090026"/>
    <w:rsid w:val="000904E7"/>
    <w:rsid w:val="0009065A"/>
    <w:rsid w:val="00090E43"/>
    <w:rsid w:val="00093661"/>
    <w:rsid w:val="00093CEA"/>
    <w:rsid w:val="00093F9D"/>
    <w:rsid w:val="000950CF"/>
    <w:rsid w:val="00096214"/>
    <w:rsid w:val="00096427"/>
    <w:rsid w:val="00096A90"/>
    <w:rsid w:val="0009704E"/>
    <w:rsid w:val="00097EEF"/>
    <w:rsid w:val="000A0330"/>
    <w:rsid w:val="000A1938"/>
    <w:rsid w:val="000A2520"/>
    <w:rsid w:val="000A2638"/>
    <w:rsid w:val="000A275B"/>
    <w:rsid w:val="000A325C"/>
    <w:rsid w:val="000A455B"/>
    <w:rsid w:val="000A45E8"/>
    <w:rsid w:val="000A482F"/>
    <w:rsid w:val="000A493D"/>
    <w:rsid w:val="000A5269"/>
    <w:rsid w:val="000A530D"/>
    <w:rsid w:val="000A5D2F"/>
    <w:rsid w:val="000A6756"/>
    <w:rsid w:val="000A6A3D"/>
    <w:rsid w:val="000A7282"/>
    <w:rsid w:val="000A738E"/>
    <w:rsid w:val="000A74A4"/>
    <w:rsid w:val="000A76AA"/>
    <w:rsid w:val="000A7F43"/>
    <w:rsid w:val="000A7F59"/>
    <w:rsid w:val="000A7FDD"/>
    <w:rsid w:val="000B04E4"/>
    <w:rsid w:val="000B0585"/>
    <w:rsid w:val="000B191F"/>
    <w:rsid w:val="000B1D0B"/>
    <w:rsid w:val="000B1F73"/>
    <w:rsid w:val="000B232F"/>
    <w:rsid w:val="000B2865"/>
    <w:rsid w:val="000B2EFC"/>
    <w:rsid w:val="000B3065"/>
    <w:rsid w:val="000B3BF7"/>
    <w:rsid w:val="000B3D06"/>
    <w:rsid w:val="000B5102"/>
    <w:rsid w:val="000B5217"/>
    <w:rsid w:val="000B56A5"/>
    <w:rsid w:val="000B5B23"/>
    <w:rsid w:val="000B619A"/>
    <w:rsid w:val="000B6302"/>
    <w:rsid w:val="000B6B52"/>
    <w:rsid w:val="000B700A"/>
    <w:rsid w:val="000B74A2"/>
    <w:rsid w:val="000B7738"/>
    <w:rsid w:val="000C01ED"/>
    <w:rsid w:val="000C105D"/>
    <w:rsid w:val="000C1211"/>
    <w:rsid w:val="000C13DE"/>
    <w:rsid w:val="000C187A"/>
    <w:rsid w:val="000C1DEE"/>
    <w:rsid w:val="000C20D4"/>
    <w:rsid w:val="000C238E"/>
    <w:rsid w:val="000C26F9"/>
    <w:rsid w:val="000C2B44"/>
    <w:rsid w:val="000C4D20"/>
    <w:rsid w:val="000C6437"/>
    <w:rsid w:val="000C6591"/>
    <w:rsid w:val="000C6759"/>
    <w:rsid w:val="000C7229"/>
    <w:rsid w:val="000C7385"/>
    <w:rsid w:val="000C7989"/>
    <w:rsid w:val="000D1878"/>
    <w:rsid w:val="000D1F80"/>
    <w:rsid w:val="000D24AB"/>
    <w:rsid w:val="000D274B"/>
    <w:rsid w:val="000D2773"/>
    <w:rsid w:val="000D283D"/>
    <w:rsid w:val="000D2FC5"/>
    <w:rsid w:val="000D3002"/>
    <w:rsid w:val="000D373D"/>
    <w:rsid w:val="000D3981"/>
    <w:rsid w:val="000D3B68"/>
    <w:rsid w:val="000D3D36"/>
    <w:rsid w:val="000D3DC0"/>
    <w:rsid w:val="000D4D4E"/>
    <w:rsid w:val="000D5BA0"/>
    <w:rsid w:val="000D64ED"/>
    <w:rsid w:val="000D6650"/>
    <w:rsid w:val="000D6DE5"/>
    <w:rsid w:val="000D7CF4"/>
    <w:rsid w:val="000E23B7"/>
    <w:rsid w:val="000E291D"/>
    <w:rsid w:val="000E2992"/>
    <w:rsid w:val="000E2CF6"/>
    <w:rsid w:val="000E2D05"/>
    <w:rsid w:val="000E32CC"/>
    <w:rsid w:val="000E3698"/>
    <w:rsid w:val="000E43E9"/>
    <w:rsid w:val="000E5117"/>
    <w:rsid w:val="000E7101"/>
    <w:rsid w:val="000E71BC"/>
    <w:rsid w:val="000E71FB"/>
    <w:rsid w:val="000E7305"/>
    <w:rsid w:val="000E7708"/>
    <w:rsid w:val="000E7C31"/>
    <w:rsid w:val="000F0837"/>
    <w:rsid w:val="000F0DFB"/>
    <w:rsid w:val="000F1E3C"/>
    <w:rsid w:val="000F2127"/>
    <w:rsid w:val="000F2214"/>
    <w:rsid w:val="000F2AD4"/>
    <w:rsid w:val="000F3615"/>
    <w:rsid w:val="000F3BA0"/>
    <w:rsid w:val="000F40D7"/>
    <w:rsid w:val="000F4623"/>
    <w:rsid w:val="000F49FE"/>
    <w:rsid w:val="000F5755"/>
    <w:rsid w:val="000F6435"/>
    <w:rsid w:val="000F7285"/>
    <w:rsid w:val="000F7851"/>
    <w:rsid w:val="000F7884"/>
    <w:rsid w:val="000F7A97"/>
    <w:rsid w:val="000F7A9E"/>
    <w:rsid w:val="000F7D71"/>
    <w:rsid w:val="00100388"/>
    <w:rsid w:val="001009A2"/>
    <w:rsid w:val="001013E9"/>
    <w:rsid w:val="00101DAE"/>
    <w:rsid w:val="001020A8"/>
    <w:rsid w:val="00102189"/>
    <w:rsid w:val="0010229F"/>
    <w:rsid w:val="001029B2"/>
    <w:rsid w:val="00102B1A"/>
    <w:rsid w:val="00102C5F"/>
    <w:rsid w:val="00102F2F"/>
    <w:rsid w:val="0010301D"/>
    <w:rsid w:val="0010353A"/>
    <w:rsid w:val="001036BC"/>
    <w:rsid w:val="00104242"/>
    <w:rsid w:val="001049B0"/>
    <w:rsid w:val="00104C76"/>
    <w:rsid w:val="0010519A"/>
    <w:rsid w:val="0010548F"/>
    <w:rsid w:val="00105928"/>
    <w:rsid w:val="001059F1"/>
    <w:rsid w:val="001059F4"/>
    <w:rsid w:val="00105FE9"/>
    <w:rsid w:val="0010612F"/>
    <w:rsid w:val="0010683B"/>
    <w:rsid w:val="001068EB"/>
    <w:rsid w:val="00106AB6"/>
    <w:rsid w:val="001071AD"/>
    <w:rsid w:val="001073C2"/>
    <w:rsid w:val="00107629"/>
    <w:rsid w:val="001079ED"/>
    <w:rsid w:val="00110105"/>
    <w:rsid w:val="00110190"/>
    <w:rsid w:val="001114A7"/>
    <w:rsid w:val="00111712"/>
    <w:rsid w:val="00111C4A"/>
    <w:rsid w:val="00111C7A"/>
    <w:rsid w:val="00111FAA"/>
    <w:rsid w:val="001136E3"/>
    <w:rsid w:val="001139F1"/>
    <w:rsid w:val="00113E48"/>
    <w:rsid w:val="00115942"/>
    <w:rsid w:val="00115B0A"/>
    <w:rsid w:val="00115FCD"/>
    <w:rsid w:val="00116440"/>
    <w:rsid w:val="00116DFB"/>
    <w:rsid w:val="00117DF7"/>
    <w:rsid w:val="00117EE1"/>
    <w:rsid w:val="001205C7"/>
    <w:rsid w:val="00120801"/>
    <w:rsid w:val="001219D9"/>
    <w:rsid w:val="001220C8"/>
    <w:rsid w:val="00122356"/>
    <w:rsid w:val="00122924"/>
    <w:rsid w:val="00122BC0"/>
    <w:rsid w:val="0012322E"/>
    <w:rsid w:val="001248F1"/>
    <w:rsid w:val="00125702"/>
    <w:rsid w:val="00125CA0"/>
    <w:rsid w:val="0012635D"/>
    <w:rsid w:val="00126F2C"/>
    <w:rsid w:val="00127445"/>
    <w:rsid w:val="00127608"/>
    <w:rsid w:val="00127AD2"/>
    <w:rsid w:val="00127EA5"/>
    <w:rsid w:val="00130301"/>
    <w:rsid w:val="001305B9"/>
    <w:rsid w:val="00130B25"/>
    <w:rsid w:val="00130B84"/>
    <w:rsid w:val="001313B7"/>
    <w:rsid w:val="001321F2"/>
    <w:rsid w:val="00132250"/>
    <w:rsid w:val="00132BB3"/>
    <w:rsid w:val="0013325F"/>
    <w:rsid w:val="001339BD"/>
    <w:rsid w:val="00133A7D"/>
    <w:rsid w:val="00134A1D"/>
    <w:rsid w:val="00135427"/>
    <w:rsid w:val="001356FF"/>
    <w:rsid w:val="00135D8F"/>
    <w:rsid w:val="001363FD"/>
    <w:rsid w:val="001369B8"/>
    <w:rsid w:val="00136FBE"/>
    <w:rsid w:val="00137515"/>
    <w:rsid w:val="00137D37"/>
    <w:rsid w:val="00137E94"/>
    <w:rsid w:val="00140001"/>
    <w:rsid w:val="0014060A"/>
    <w:rsid w:val="0014074C"/>
    <w:rsid w:val="00140B77"/>
    <w:rsid w:val="00140F41"/>
    <w:rsid w:val="001410B4"/>
    <w:rsid w:val="00141C78"/>
    <w:rsid w:val="001422A8"/>
    <w:rsid w:val="0014240E"/>
    <w:rsid w:val="0014262D"/>
    <w:rsid w:val="00142FC6"/>
    <w:rsid w:val="001438E9"/>
    <w:rsid w:val="00143C3B"/>
    <w:rsid w:val="00143F48"/>
    <w:rsid w:val="001445A4"/>
    <w:rsid w:val="00144C84"/>
    <w:rsid w:val="00145125"/>
    <w:rsid w:val="00145341"/>
    <w:rsid w:val="001458DD"/>
    <w:rsid w:val="00145D50"/>
    <w:rsid w:val="0014602F"/>
    <w:rsid w:val="00146FA6"/>
    <w:rsid w:val="00147216"/>
    <w:rsid w:val="0014742F"/>
    <w:rsid w:val="00147526"/>
    <w:rsid w:val="00147941"/>
    <w:rsid w:val="001507DD"/>
    <w:rsid w:val="00150F45"/>
    <w:rsid w:val="00151BD8"/>
    <w:rsid w:val="00152027"/>
    <w:rsid w:val="0015312C"/>
    <w:rsid w:val="00153A1E"/>
    <w:rsid w:val="00154128"/>
    <w:rsid w:val="001547D4"/>
    <w:rsid w:val="00155007"/>
    <w:rsid w:val="001558DE"/>
    <w:rsid w:val="001566AE"/>
    <w:rsid w:val="00156DAD"/>
    <w:rsid w:val="00157305"/>
    <w:rsid w:val="00157706"/>
    <w:rsid w:val="0016035D"/>
    <w:rsid w:val="001611D1"/>
    <w:rsid w:val="00161B11"/>
    <w:rsid w:val="00162148"/>
    <w:rsid w:val="00162B3F"/>
    <w:rsid w:val="00162F54"/>
    <w:rsid w:val="00163C88"/>
    <w:rsid w:val="00163F10"/>
    <w:rsid w:val="00163F2D"/>
    <w:rsid w:val="0016464C"/>
    <w:rsid w:val="0016469A"/>
    <w:rsid w:val="00164BA8"/>
    <w:rsid w:val="00164E07"/>
    <w:rsid w:val="00165F33"/>
    <w:rsid w:val="0016653E"/>
    <w:rsid w:val="00166CF3"/>
    <w:rsid w:val="00167021"/>
    <w:rsid w:val="0016746A"/>
    <w:rsid w:val="00170A3E"/>
    <w:rsid w:val="00170DCF"/>
    <w:rsid w:val="00171B5E"/>
    <w:rsid w:val="00171BB3"/>
    <w:rsid w:val="00171DA2"/>
    <w:rsid w:val="00171E9C"/>
    <w:rsid w:val="00172226"/>
    <w:rsid w:val="00172A27"/>
    <w:rsid w:val="00172A84"/>
    <w:rsid w:val="00174189"/>
    <w:rsid w:val="00174519"/>
    <w:rsid w:val="00175219"/>
    <w:rsid w:val="0017671C"/>
    <w:rsid w:val="00176951"/>
    <w:rsid w:val="00180156"/>
    <w:rsid w:val="001802C1"/>
    <w:rsid w:val="001811AE"/>
    <w:rsid w:val="00181345"/>
    <w:rsid w:val="00181D7F"/>
    <w:rsid w:val="001824E3"/>
    <w:rsid w:val="00182700"/>
    <w:rsid w:val="00182FA3"/>
    <w:rsid w:val="001834F3"/>
    <w:rsid w:val="00183C37"/>
    <w:rsid w:val="001853AF"/>
    <w:rsid w:val="00185DC4"/>
    <w:rsid w:val="00185E8F"/>
    <w:rsid w:val="001864EC"/>
    <w:rsid w:val="00186A6A"/>
    <w:rsid w:val="001873FE"/>
    <w:rsid w:val="0018777A"/>
    <w:rsid w:val="001877DA"/>
    <w:rsid w:val="00190907"/>
    <w:rsid w:val="001909BB"/>
    <w:rsid w:val="00191013"/>
    <w:rsid w:val="0019184A"/>
    <w:rsid w:val="0019209F"/>
    <w:rsid w:val="001922EC"/>
    <w:rsid w:val="00192561"/>
    <w:rsid w:val="00192915"/>
    <w:rsid w:val="00193B48"/>
    <w:rsid w:val="001940F7"/>
    <w:rsid w:val="00194196"/>
    <w:rsid w:val="00194493"/>
    <w:rsid w:val="0019473D"/>
    <w:rsid w:val="00194BC4"/>
    <w:rsid w:val="00194EC9"/>
    <w:rsid w:val="00195006"/>
    <w:rsid w:val="001958B5"/>
    <w:rsid w:val="001962F9"/>
    <w:rsid w:val="001964AC"/>
    <w:rsid w:val="00196592"/>
    <w:rsid w:val="0019698B"/>
    <w:rsid w:val="001970AF"/>
    <w:rsid w:val="00197B69"/>
    <w:rsid w:val="00197BDC"/>
    <w:rsid w:val="00197BE3"/>
    <w:rsid w:val="001A0035"/>
    <w:rsid w:val="001A090C"/>
    <w:rsid w:val="001A1334"/>
    <w:rsid w:val="001A138D"/>
    <w:rsid w:val="001A163C"/>
    <w:rsid w:val="001A4085"/>
    <w:rsid w:val="001A4139"/>
    <w:rsid w:val="001A441F"/>
    <w:rsid w:val="001A4454"/>
    <w:rsid w:val="001A44A5"/>
    <w:rsid w:val="001A4885"/>
    <w:rsid w:val="001A4FE5"/>
    <w:rsid w:val="001A55A0"/>
    <w:rsid w:val="001A585B"/>
    <w:rsid w:val="001A5A9B"/>
    <w:rsid w:val="001A6787"/>
    <w:rsid w:val="001A6986"/>
    <w:rsid w:val="001B00B6"/>
    <w:rsid w:val="001B0AB0"/>
    <w:rsid w:val="001B0D19"/>
    <w:rsid w:val="001B0EE3"/>
    <w:rsid w:val="001B1575"/>
    <w:rsid w:val="001B209C"/>
    <w:rsid w:val="001B258C"/>
    <w:rsid w:val="001B2656"/>
    <w:rsid w:val="001B2861"/>
    <w:rsid w:val="001B2ED5"/>
    <w:rsid w:val="001B315F"/>
    <w:rsid w:val="001B3F15"/>
    <w:rsid w:val="001B4639"/>
    <w:rsid w:val="001B4BA0"/>
    <w:rsid w:val="001B4EAC"/>
    <w:rsid w:val="001B532F"/>
    <w:rsid w:val="001B53BA"/>
    <w:rsid w:val="001B5DC8"/>
    <w:rsid w:val="001B6869"/>
    <w:rsid w:val="001B6A31"/>
    <w:rsid w:val="001B6DF5"/>
    <w:rsid w:val="001B75BC"/>
    <w:rsid w:val="001B75CD"/>
    <w:rsid w:val="001B7B5D"/>
    <w:rsid w:val="001B7CEB"/>
    <w:rsid w:val="001C0062"/>
    <w:rsid w:val="001C08A2"/>
    <w:rsid w:val="001C0C05"/>
    <w:rsid w:val="001C1262"/>
    <w:rsid w:val="001C1707"/>
    <w:rsid w:val="001C19B5"/>
    <w:rsid w:val="001C1AA3"/>
    <w:rsid w:val="001C1C67"/>
    <w:rsid w:val="001C2C36"/>
    <w:rsid w:val="001C2DD9"/>
    <w:rsid w:val="001C42BB"/>
    <w:rsid w:val="001C4834"/>
    <w:rsid w:val="001C4AB1"/>
    <w:rsid w:val="001C4FB5"/>
    <w:rsid w:val="001C5E4D"/>
    <w:rsid w:val="001C6654"/>
    <w:rsid w:val="001C6942"/>
    <w:rsid w:val="001C6C0F"/>
    <w:rsid w:val="001C7358"/>
    <w:rsid w:val="001C7A49"/>
    <w:rsid w:val="001D0831"/>
    <w:rsid w:val="001D1137"/>
    <w:rsid w:val="001D1362"/>
    <w:rsid w:val="001D200D"/>
    <w:rsid w:val="001D21CF"/>
    <w:rsid w:val="001D237C"/>
    <w:rsid w:val="001D24CB"/>
    <w:rsid w:val="001D270E"/>
    <w:rsid w:val="001D2A42"/>
    <w:rsid w:val="001D2E4E"/>
    <w:rsid w:val="001D2FC0"/>
    <w:rsid w:val="001D388F"/>
    <w:rsid w:val="001D3A52"/>
    <w:rsid w:val="001D3C3C"/>
    <w:rsid w:val="001D45A2"/>
    <w:rsid w:val="001D495A"/>
    <w:rsid w:val="001D496F"/>
    <w:rsid w:val="001D6624"/>
    <w:rsid w:val="001D6B30"/>
    <w:rsid w:val="001D6C15"/>
    <w:rsid w:val="001D6D99"/>
    <w:rsid w:val="001D70FB"/>
    <w:rsid w:val="001D7192"/>
    <w:rsid w:val="001D73C6"/>
    <w:rsid w:val="001D777F"/>
    <w:rsid w:val="001D7E25"/>
    <w:rsid w:val="001D7E8D"/>
    <w:rsid w:val="001E0345"/>
    <w:rsid w:val="001E056A"/>
    <w:rsid w:val="001E087D"/>
    <w:rsid w:val="001E0FD8"/>
    <w:rsid w:val="001E1079"/>
    <w:rsid w:val="001E1372"/>
    <w:rsid w:val="001E1BC4"/>
    <w:rsid w:val="001E1C05"/>
    <w:rsid w:val="001E2123"/>
    <w:rsid w:val="001E263A"/>
    <w:rsid w:val="001E2A21"/>
    <w:rsid w:val="001E2B46"/>
    <w:rsid w:val="001E3BFB"/>
    <w:rsid w:val="001E3F0B"/>
    <w:rsid w:val="001E406C"/>
    <w:rsid w:val="001E45CC"/>
    <w:rsid w:val="001E5074"/>
    <w:rsid w:val="001E50C0"/>
    <w:rsid w:val="001E5513"/>
    <w:rsid w:val="001E56B5"/>
    <w:rsid w:val="001E5CF3"/>
    <w:rsid w:val="001E6A08"/>
    <w:rsid w:val="001E6D3B"/>
    <w:rsid w:val="001E6E06"/>
    <w:rsid w:val="001E71EE"/>
    <w:rsid w:val="001E7605"/>
    <w:rsid w:val="001E79B0"/>
    <w:rsid w:val="001F0B3A"/>
    <w:rsid w:val="001F0EC5"/>
    <w:rsid w:val="001F1672"/>
    <w:rsid w:val="001F1EB6"/>
    <w:rsid w:val="001F1F8B"/>
    <w:rsid w:val="001F20B3"/>
    <w:rsid w:val="001F34A1"/>
    <w:rsid w:val="001F3EA5"/>
    <w:rsid w:val="001F4455"/>
    <w:rsid w:val="001F488B"/>
    <w:rsid w:val="001F4EEE"/>
    <w:rsid w:val="001F4F6A"/>
    <w:rsid w:val="001F50FA"/>
    <w:rsid w:val="001F516E"/>
    <w:rsid w:val="001F51B7"/>
    <w:rsid w:val="001F546D"/>
    <w:rsid w:val="001F572C"/>
    <w:rsid w:val="001F590D"/>
    <w:rsid w:val="001F5CF1"/>
    <w:rsid w:val="001F5DDA"/>
    <w:rsid w:val="001F66C4"/>
    <w:rsid w:val="001F7323"/>
    <w:rsid w:val="001F7360"/>
    <w:rsid w:val="00200998"/>
    <w:rsid w:val="00200D0E"/>
    <w:rsid w:val="00202F54"/>
    <w:rsid w:val="00203499"/>
    <w:rsid w:val="002037F7"/>
    <w:rsid w:val="002039B2"/>
    <w:rsid w:val="0020430F"/>
    <w:rsid w:val="002047F4"/>
    <w:rsid w:val="00204B38"/>
    <w:rsid w:val="00205614"/>
    <w:rsid w:val="002057E5"/>
    <w:rsid w:val="0020659E"/>
    <w:rsid w:val="00206723"/>
    <w:rsid w:val="00206C1C"/>
    <w:rsid w:val="0020743B"/>
    <w:rsid w:val="00207CD2"/>
    <w:rsid w:val="00210A87"/>
    <w:rsid w:val="00210B0E"/>
    <w:rsid w:val="00210BC6"/>
    <w:rsid w:val="00210BF9"/>
    <w:rsid w:val="0021126C"/>
    <w:rsid w:val="002118C1"/>
    <w:rsid w:val="00211EB8"/>
    <w:rsid w:val="002127A5"/>
    <w:rsid w:val="00212B23"/>
    <w:rsid w:val="00212E7C"/>
    <w:rsid w:val="002138B6"/>
    <w:rsid w:val="002142B1"/>
    <w:rsid w:val="00214A4E"/>
    <w:rsid w:val="002153AF"/>
    <w:rsid w:val="0021546F"/>
    <w:rsid w:val="0021698B"/>
    <w:rsid w:val="00217BF2"/>
    <w:rsid w:val="00217D3F"/>
    <w:rsid w:val="00217F71"/>
    <w:rsid w:val="002207C7"/>
    <w:rsid w:val="00220D61"/>
    <w:rsid w:val="00221693"/>
    <w:rsid w:val="00221A75"/>
    <w:rsid w:val="00221C89"/>
    <w:rsid w:val="00221D42"/>
    <w:rsid w:val="00222228"/>
    <w:rsid w:val="00222C33"/>
    <w:rsid w:val="0022322C"/>
    <w:rsid w:val="0022324B"/>
    <w:rsid w:val="00223ACA"/>
    <w:rsid w:val="00223C15"/>
    <w:rsid w:val="00225699"/>
    <w:rsid w:val="002256C2"/>
    <w:rsid w:val="00225972"/>
    <w:rsid w:val="00225B70"/>
    <w:rsid w:val="00225F9C"/>
    <w:rsid w:val="00226608"/>
    <w:rsid w:val="00226FEB"/>
    <w:rsid w:val="0023037C"/>
    <w:rsid w:val="00230724"/>
    <w:rsid w:val="00230B47"/>
    <w:rsid w:val="00230E29"/>
    <w:rsid w:val="0023113C"/>
    <w:rsid w:val="0023171A"/>
    <w:rsid w:val="00232515"/>
    <w:rsid w:val="00232A54"/>
    <w:rsid w:val="00232DA8"/>
    <w:rsid w:val="00232FEF"/>
    <w:rsid w:val="00233154"/>
    <w:rsid w:val="002338D3"/>
    <w:rsid w:val="00234004"/>
    <w:rsid w:val="00234227"/>
    <w:rsid w:val="00234D54"/>
    <w:rsid w:val="00236147"/>
    <w:rsid w:val="0023670C"/>
    <w:rsid w:val="00236FF4"/>
    <w:rsid w:val="0023787D"/>
    <w:rsid w:val="00237987"/>
    <w:rsid w:val="00237D88"/>
    <w:rsid w:val="0024040E"/>
    <w:rsid w:val="00240505"/>
    <w:rsid w:val="00240915"/>
    <w:rsid w:val="0024093E"/>
    <w:rsid w:val="0024141B"/>
    <w:rsid w:val="00241E6C"/>
    <w:rsid w:val="0024211A"/>
    <w:rsid w:val="00242150"/>
    <w:rsid w:val="002425DA"/>
    <w:rsid w:val="00242B79"/>
    <w:rsid w:val="00242D96"/>
    <w:rsid w:val="00243460"/>
    <w:rsid w:val="002440B2"/>
    <w:rsid w:val="002444B5"/>
    <w:rsid w:val="0024476C"/>
    <w:rsid w:val="00245D75"/>
    <w:rsid w:val="00246D4D"/>
    <w:rsid w:val="00246DEC"/>
    <w:rsid w:val="00247252"/>
    <w:rsid w:val="00247384"/>
    <w:rsid w:val="00247546"/>
    <w:rsid w:val="00247AC7"/>
    <w:rsid w:val="00251291"/>
    <w:rsid w:val="00251993"/>
    <w:rsid w:val="00251A8D"/>
    <w:rsid w:val="0025230C"/>
    <w:rsid w:val="00252794"/>
    <w:rsid w:val="00252B67"/>
    <w:rsid w:val="0025438F"/>
    <w:rsid w:val="00254480"/>
    <w:rsid w:val="00255AED"/>
    <w:rsid w:val="0025611D"/>
    <w:rsid w:val="0025675A"/>
    <w:rsid w:val="00256CF6"/>
    <w:rsid w:val="00257D01"/>
    <w:rsid w:val="002602B0"/>
    <w:rsid w:val="002607FB"/>
    <w:rsid w:val="002619BE"/>
    <w:rsid w:val="00262058"/>
    <w:rsid w:val="002625E9"/>
    <w:rsid w:val="00262A3C"/>
    <w:rsid w:val="00262AF5"/>
    <w:rsid w:val="00262C45"/>
    <w:rsid w:val="002631C2"/>
    <w:rsid w:val="002638E7"/>
    <w:rsid w:val="002640FA"/>
    <w:rsid w:val="002644ED"/>
    <w:rsid w:val="00264D18"/>
    <w:rsid w:val="00264FE8"/>
    <w:rsid w:val="002651F4"/>
    <w:rsid w:val="002654FC"/>
    <w:rsid w:val="00265B18"/>
    <w:rsid w:val="00265BD2"/>
    <w:rsid w:val="00266155"/>
    <w:rsid w:val="00266BE5"/>
    <w:rsid w:val="00266D6F"/>
    <w:rsid w:val="00267B5D"/>
    <w:rsid w:val="0027009B"/>
    <w:rsid w:val="002705D3"/>
    <w:rsid w:val="00270675"/>
    <w:rsid w:val="00270D3F"/>
    <w:rsid w:val="002713C6"/>
    <w:rsid w:val="00271678"/>
    <w:rsid w:val="00271F03"/>
    <w:rsid w:val="0027279F"/>
    <w:rsid w:val="00272A6B"/>
    <w:rsid w:val="00273653"/>
    <w:rsid w:val="00274091"/>
    <w:rsid w:val="00274BFC"/>
    <w:rsid w:val="00275330"/>
    <w:rsid w:val="002754C0"/>
    <w:rsid w:val="0027587C"/>
    <w:rsid w:val="00275AD1"/>
    <w:rsid w:val="00275D8F"/>
    <w:rsid w:val="00276269"/>
    <w:rsid w:val="0027645C"/>
    <w:rsid w:val="00276908"/>
    <w:rsid w:val="0027694A"/>
    <w:rsid w:val="00276BB9"/>
    <w:rsid w:val="00277126"/>
    <w:rsid w:val="0027738E"/>
    <w:rsid w:val="00277540"/>
    <w:rsid w:val="00277F13"/>
    <w:rsid w:val="00281282"/>
    <w:rsid w:val="00281A21"/>
    <w:rsid w:val="00281B70"/>
    <w:rsid w:val="00282697"/>
    <w:rsid w:val="00283ABC"/>
    <w:rsid w:val="00283B0D"/>
    <w:rsid w:val="00284414"/>
    <w:rsid w:val="00284EE4"/>
    <w:rsid w:val="00284FFB"/>
    <w:rsid w:val="0028580A"/>
    <w:rsid w:val="00286225"/>
    <w:rsid w:val="00286A8D"/>
    <w:rsid w:val="00287166"/>
    <w:rsid w:val="00287552"/>
    <w:rsid w:val="00287CCD"/>
    <w:rsid w:val="00287E0B"/>
    <w:rsid w:val="0029007A"/>
    <w:rsid w:val="002908B0"/>
    <w:rsid w:val="00291DBE"/>
    <w:rsid w:val="00291F99"/>
    <w:rsid w:val="002928EA"/>
    <w:rsid w:val="002929DD"/>
    <w:rsid w:val="00293123"/>
    <w:rsid w:val="0029399D"/>
    <w:rsid w:val="0029452F"/>
    <w:rsid w:val="002945A7"/>
    <w:rsid w:val="00294B92"/>
    <w:rsid w:val="002955A2"/>
    <w:rsid w:val="00295A24"/>
    <w:rsid w:val="00295AAB"/>
    <w:rsid w:val="00295B3E"/>
    <w:rsid w:val="00295F28"/>
    <w:rsid w:val="002960C2"/>
    <w:rsid w:val="00296A51"/>
    <w:rsid w:val="00296DE3"/>
    <w:rsid w:val="002971D8"/>
    <w:rsid w:val="00297711"/>
    <w:rsid w:val="0029799F"/>
    <w:rsid w:val="00297C33"/>
    <w:rsid w:val="002A0C4A"/>
    <w:rsid w:val="002A10A9"/>
    <w:rsid w:val="002A15DF"/>
    <w:rsid w:val="002A168D"/>
    <w:rsid w:val="002A297C"/>
    <w:rsid w:val="002A2DFD"/>
    <w:rsid w:val="002A3307"/>
    <w:rsid w:val="002A3328"/>
    <w:rsid w:val="002A4B4D"/>
    <w:rsid w:val="002A4E9D"/>
    <w:rsid w:val="002A5269"/>
    <w:rsid w:val="002A595A"/>
    <w:rsid w:val="002A5ED7"/>
    <w:rsid w:val="002A67F7"/>
    <w:rsid w:val="002A719F"/>
    <w:rsid w:val="002A7342"/>
    <w:rsid w:val="002A767B"/>
    <w:rsid w:val="002A7764"/>
    <w:rsid w:val="002B0065"/>
    <w:rsid w:val="002B064B"/>
    <w:rsid w:val="002B200C"/>
    <w:rsid w:val="002B30C3"/>
    <w:rsid w:val="002B324D"/>
    <w:rsid w:val="002B59C9"/>
    <w:rsid w:val="002B5AC2"/>
    <w:rsid w:val="002B5F38"/>
    <w:rsid w:val="002B64D6"/>
    <w:rsid w:val="002B6778"/>
    <w:rsid w:val="002B68F1"/>
    <w:rsid w:val="002B7206"/>
    <w:rsid w:val="002B7420"/>
    <w:rsid w:val="002B7A97"/>
    <w:rsid w:val="002B7B3B"/>
    <w:rsid w:val="002B7E45"/>
    <w:rsid w:val="002C046A"/>
    <w:rsid w:val="002C0D16"/>
    <w:rsid w:val="002C0ECA"/>
    <w:rsid w:val="002C2A01"/>
    <w:rsid w:val="002C3F17"/>
    <w:rsid w:val="002C4996"/>
    <w:rsid w:val="002C4C06"/>
    <w:rsid w:val="002C570C"/>
    <w:rsid w:val="002C66C5"/>
    <w:rsid w:val="002C6DC5"/>
    <w:rsid w:val="002C6F08"/>
    <w:rsid w:val="002C7099"/>
    <w:rsid w:val="002D0B54"/>
    <w:rsid w:val="002D10C5"/>
    <w:rsid w:val="002D1213"/>
    <w:rsid w:val="002D163B"/>
    <w:rsid w:val="002D1F54"/>
    <w:rsid w:val="002D233E"/>
    <w:rsid w:val="002D2343"/>
    <w:rsid w:val="002D2728"/>
    <w:rsid w:val="002D2A24"/>
    <w:rsid w:val="002D2B85"/>
    <w:rsid w:val="002D3774"/>
    <w:rsid w:val="002D3AFB"/>
    <w:rsid w:val="002D3BE9"/>
    <w:rsid w:val="002D4099"/>
    <w:rsid w:val="002D40D1"/>
    <w:rsid w:val="002D4426"/>
    <w:rsid w:val="002D46C9"/>
    <w:rsid w:val="002D4975"/>
    <w:rsid w:val="002D4FD4"/>
    <w:rsid w:val="002D6835"/>
    <w:rsid w:val="002D7B47"/>
    <w:rsid w:val="002D7CC5"/>
    <w:rsid w:val="002E0260"/>
    <w:rsid w:val="002E0D05"/>
    <w:rsid w:val="002E0FEF"/>
    <w:rsid w:val="002E13F6"/>
    <w:rsid w:val="002E292D"/>
    <w:rsid w:val="002E34C2"/>
    <w:rsid w:val="002E3AF3"/>
    <w:rsid w:val="002E438D"/>
    <w:rsid w:val="002E47E5"/>
    <w:rsid w:val="002E48D8"/>
    <w:rsid w:val="002E4AA3"/>
    <w:rsid w:val="002E5413"/>
    <w:rsid w:val="002E56E9"/>
    <w:rsid w:val="002E585B"/>
    <w:rsid w:val="002E5946"/>
    <w:rsid w:val="002E5D68"/>
    <w:rsid w:val="002E5E19"/>
    <w:rsid w:val="002E74A0"/>
    <w:rsid w:val="002E77C2"/>
    <w:rsid w:val="002F06FC"/>
    <w:rsid w:val="002F08B8"/>
    <w:rsid w:val="002F09C6"/>
    <w:rsid w:val="002F0ACA"/>
    <w:rsid w:val="002F0F00"/>
    <w:rsid w:val="002F2C25"/>
    <w:rsid w:val="002F3506"/>
    <w:rsid w:val="002F3676"/>
    <w:rsid w:val="002F368C"/>
    <w:rsid w:val="002F41C6"/>
    <w:rsid w:val="002F42C4"/>
    <w:rsid w:val="002F44E6"/>
    <w:rsid w:val="002F4795"/>
    <w:rsid w:val="002F5094"/>
    <w:rsid w:val="002F51B4"/>
    <w:rsid w:val="002F5351"/>
    <w:rsid w:val="002F55FA"/>
    <w:rsid w:val="002F596E"/>
    <w:rsid w:val="002F7477"/>
    <w:rsid w:val="002F756E"/>
    <w:rsid w:val="002F77FD"/>
    <w:rsid w:val="002F7EC2"/>
    <w:rsid w:val="003009CA"/>
    <w:rsid w:val="00300FE3"/>
    <w:rsid w:val="00301078"/>
    <w:rsid w:val="00301BF1"/>
    <w:rsid w:val="00302DE9"/>
    <w:rsid w:val="0030349A"/>
    <w:rsid w:val="003036EF"/>
    <w:rsid w:val="00304191"/>
    <w:rsid w:val="003041EA"/>
    <w:rsid w:val="00304F2F"/>
    <w:rsid w:val="00305C68"/>
    <w:rsid w:val="00306E5B"/>
    <w:rsid w:val="00310029"/>
    <w:rsid w:val="003102CE"/>
    <w:rsid w:val="00310F05"/>
    <w:rsid w:val="0031192A"/>
    <w:rsid w:val="0031247C"/>
    <w:rsid w:val="00312B48"/>
    <w:rsid w:val="00312E58"/>
    <w:rsid w:val="00313914"/>
    <w:rsid w:val="003140C3"/>
    <w:rsid w:val="00314408"/>
    <w:rsid w:val="00314C36"/>
    <w:rsid w:val="003155DD"/>
    <w:rsid w:val="00316189"/>
    <w:rsid w:val="00316AF1"/>
    <w:rsid w:val="00316EC2"/>
    <w:rsid w:val="00317028"/>
    <w:rsid w:val="003170C2"/>
    <w:rsid w:val="003174E2"/>
    <w:rsid w:val="00317997"/>
    <w:rsid w:val="00317EE0"/>
    <w:rsid w:val="00317F1D"/>
    <w:rsid w:val="0032012C"/>
    <w:rsid w:val="00320CDD"/>
    <w:rsid w:val="00321892"/>
    <w:rsid w:val="003221E4"/>
    <w:rsid w:val="0032281C"/>
    <w:rsid w:val="003228B3"/>
    <w:rsid w:val="003236D1"/>
    <w:rsid w:val="00323B91"/>
    <w:rsid w:val="00324C8D"/>
    <w:rsid w:val="00325649"/>
    <w:rsid w:val="00325F24"/>
    <w:rsid w:val="003266C7"/>
    <w:rsid w:val="00326E2D"/>
    <w:rsid w:val="00327021"/>
    <w:rsid w:val="00327965"/>
    <w:rsid w:val="00327A60"/>
    <w:rsid w:val="00327B63"/>
    <w:rsid w:val="00327E31"/>
    <w:rsid w:val="00330797"/>
    <w:rsid w:val="003307BC"/>
    <w:rsid w:val="00331665"/>
    <w:rsid w:val="00331ADD"/>
    <w:rsid w:val="00331CA2"/>
    <w:rsid w:val="00331D36"/>
    <w:rsid w:val="003327D5"/>
    <w:rsid w:val="003328C0"/>
    <w:rsid w:val="003339F5"/>
    <w:rsid w:val="00333C46"/>
    <w:rsid w:val="00333E5A"/>
    <w:rsid w:val="00333ED2"/>
    <w:rsid w:val="00334599"/>
    <w:rsid w:val="00334BC6"/>
    <w:rsid w:val="003352EC"/>
    <w:rsid w:val="0033580B"/>
    <w:rsid w:val="0033645E"/>
    <w:rsid w:val="00336D4D"/>
    <w:rsid w:val="00336F53"/>
    <w:rsid w:val="003400CD"/>
    <w:rsid w:val="00340895"/>
    <w:rsid w:val="00340B43"/>
    <w:rsid w:val="003417E9"/>
    <w:rsid w:val="00342A16"/>
    <w:rsid w:val="003431C7"/>
    <w:rsid w:val="00343AC9"/>
    <w:rsid w:val="00343E5C"/>
    <w:rsid w:val="00344191"/>
    <w:rsid w:val="00344652"/>
    <w:rsid w:val="00345954"/>
    <w:rsid w:val="00345D6F"/>
    <w:rsid w:val="00345FE3"/>
    <w:rsid w:val="003466A4"/>
    <w:rsid w:val="00346D7C"/>
    <w:rsid w:val="00346E2A"/>
    <w:rsid w:val="003473DD"/>
    <w:rsid w:val="003474C2"/>
    <w:rsid w:val="003477C2"/>
    <w:rsid w:val="00347A90"/>
    <w:rsid w:val="00347E6B"/>
    <w:rsid w:val="00347E70"/>
    <w:rsid w:val="00347EE3"/>
    <w:rsid w:val="0035077A"/>
    <w:rsid w:val="0035101E"/>
    <w:rsid w:val="003511B0"/>
    <w:rsid w:val="0035124B"/>
    <w:rsid w:val="0035159A"/>
    <w:rsid w:val="00351A7A"/>
    <w:rsid w:val="003523B8"/>
    <w:rsid w:val="00352E3A"/>
    <w:rsid w:val="00353990"/>
    <w:rsid w:val="003541C0"/>
    <w:rsid w:val="0035450F"/>
    <w:rsid w:val="00354A80"/>
    <w:rsid w:val="00354EF2"/>
    <w:rsid w:val="003555CB"/>
    <w:rsid w:val="00356294"/>
    <w:rsid w:val="0035646B"/>
    <w:rsid w:val="003564F4"/>
    <w:rsid w:val="0035652F"/>
    <w:rsid w:val="003565B2"/>
    <w:rsid w:val="003568FC"/>
    <w:rsid w:val="003578F2"/>
    <w:rsid w:val="00360807"/>
    <w:rsid w:val="003608E5"/>
    <w:rsid w:val="0036104A"/>
    <w:rsid w:val="00361078"/>
    <w:rsid w:val="00361931"/>
    <w:rsid w:val="00361E55"/>
    <w:rsid w:val="00362089"/>
    <w:rsid w:val="00362288"/>
    <w:rsid w:val="00362568"/>
    <w:rsid w:val="003626B8"/>
    <w:rsid w:val="00362CA8"/>
    <w:rsid w:val="00362E1F"/>
    <w:rsid w:val="003639F5"/>
    <w:rsid w:val="0036432D"/>
    <w:rsid w:val="003664BA"/>
    <w:rsid w:val="00366C8E"/>
    <w:rsid w:val="00366F6F"/>
    <w:rsid w:val="00370903"/>
    <w:rsid w:val="00370F62"/>
    <w:rsid w:val="00371314"/>
    <w:rsid w:val="00371B70"/>
    <w:rsid w:val="00371DB2"/>
    <w:rsid w:val="00371E36"/>
    <w:rsid w:val="0037201D"/>
    <w:rsid w:val="0037242C"/>
    <w:rsid w:val="00372C4D"/>
    <w:rsid w:val="003734EF"/>
    <w:rsid w:val="00374AB0"/>
    <w:rsid w:val="00374D12"/>
    <w:rsid w:val="00374DE4"/>
    <w:rsid w:val="00374DFB"/>
    <w:rsid w:val="00375329"/>
    <w:rsid w:val="00376BF4"/>
    <w:rsid w:val="003804AF"/>
    <w:rsid w:val="003809D6"/>
    <w:rsid w:val="00380BA6"/>
    <w:rsid w:val="00381BE3"/>
    <w:rsid w:val="0038204C"/>
    <w:rsid w:val="00382B8D"/>
    <w:rsid w:val="0038364D"/>
    <w:rsid w:val="00383807"/>
    <w:rsid w:val="00383822"/>
    <w:rsid w:val="00383C9B"/>
    <w:rsid w:val="00383D21"/>
    <w:rsid w:val="00384280"/>
    <w:rsid w:val="003846DA"/>
    <w:rsid w:val="0038493F"/>
    <w:rsid w:val="003851D1"/>
    <w:rsid w:val="0038620D"/>
    <w:rsid w:val="00386475"/>
    <w:rsid w:val="00386702"/>
    <w:rsid w:val="0038695C"/>
    <w:rsid w:val="00387297"/>
    <w:rsid w:val="00387F85"/>
    <w:rsid w:val="00390479"/>
    <w:rsid w:val="0039050F"/>
    <w:rsid w:val="003905DD"/>
    <w:rsid w:val="00390AAB"/>
    <w:rsid w:val="00390B69"/>
    <w:rsid w:val="0039190F"/>
    <w:rsid w:val="0039316B"/>
    <w:rsid w:val="00394A28"/>
    <w:rsid w:val="00395AC4"/>
    <w:rsid w:val="00395B05"/>
    <w:rsid w:val="00397996"/>
    <w:rsid w:val="00397E9E"/>
    <w:rsid w:val="00397FCD"/>
    <w:rsid w:val="003A25AE"/>
    <w:rsid w:val="003A29BD"/>
    <w:rsid w:val="003A2C6C"/>
    <w:rsid w:val="003A2FF2"/>
    <w:rsid w:val="003A3059"/>
    <w:rsid w:val="003A38E3"/>
    <w:rsid w:val="003A39D5"/>
    <w:rsid w:val="003A417F"/>
    <w:rsid w:val="003A491B"/>
    <w:rsid w:val="003A4C7E"/>
    <w:rsid w:val="003A5889"/>
    <w:rsid w:val="003A62CE"/>
    <w:rsid w:val="003A7E6A"/>
    <w:rsid w:val="003A7F48"/>
    <w:rsid w:val="003B0844"/>
    <w:rsid w:val="003B0AF9"/>
    <w:rsid w:val="003B2549"/>
    <w:rsid w:val="003B2F47"/>
    <w:rsid w:val="003B47E3"/>
    <w:rsid w:val="003B4B2B"/>
    <w:rsid w:val="003B5026"/>
    <w:rsid w:val="003B586E"/>
    <w:rsid w:val="003B598E"/>
    <w:rsid w:val="003B5B68"/>
    <w:rsid w:val="003B6DF4"/>
    <w:rsid w:val="003B785E"/>
    <w:rsid w:val="003B7953"/>
    <w:rsid w:val="003B7BDD"/>
    <w:rsid w:val="003C0CE7"/>
    <w:rsid w:val="003C0E64"/>
    <w:rsid w:val="003C1849"/>
    <w:rsid w:val="003C1D61"/>
    <w:rsid w:val="003C35C9"/>
    <w:rsid w:val="003C39E4"/>
    <w:rsid w:val="003C3B01"/>
    <w:rsid w:val="003C3C3E"/>
    <w:rsid w:val="003C41D9"/>
    <w:rsid w:val="003C456C"/>
    <w:rsid w:val="003C58B6"/>
    <w:rsid w:val="003C6238"/>
    <w:rsid w:val="003C797E"/>
    <w:rsid w:val="003C7DCA"/>
    <w:rsid w:val="003C7EE3"/>
    <w:rsid w:val="003D18B8"/>
    <w:rsid w:val="003D204A"/>
    <w:rsid w:val="003D2BB1"/>
    <w:rsid w:val="003D42AA"/>
    <w:rsid w:val="003D4743"/>
    <w:rsid w:val="003D4931"/>
    <w:rsid w:val="003D4C90"/>
    <w:rsid w:val="003D52DC"/>
    <w:rsid w:val="003D5770"/>
    <w:rsid w:val="003D7147"/>
    <w:rsid w:val="003E02B8"/>
    <w:rsid w:val="003E054C"/>
    <w:rsid w:val="003E074B"/>
    <w:rsid w:val="003E0938"/>
    <w:rsid w:val="003E0A89"/>
    <w:rsid w:val="003E0E7F"/>
    <w:rsid w:val="003E1788"/>
    <w:rsid w:val="003E1C87"/>
    <w:rsid w:val="003E1DA9"/>
    <w:rsid w:val="003E1E2F"/>
    <w:rsid w:val="003E2634"/>
    <w:rsid w:val="003E2B2E"/>
    <w:rsid w:val="003E2C39"/>
    <w:rsid w:val="003E3166"/>
    <w:rsid w:val="003E3267"/>
    <w:rsid w:val="003E3EF1"/>
    <w:rsid w:val="003E44D9"/>
    <w:rsid w:val="003E498A"/>
    <w:rsid w:val="003E4A23"/>
    <w:rsid w:val="003E4CF5"/>
    <w:rsid w:val="003E5328"/>
    <w:rsid w:val="003E54A2"/>
    <w:rsid w:val="003E54B3"/>
    <w:rsid w:val="003E5968"/>
    <w:rsid w:val="003E673B"/>
    <w:rsid w:val="003E716D"/>
    <w:rsid w:val="003E7566"/>
    <w:rsid w:val="003E7CB5"/>
    <w:rsid w:val="003F0165"/>
    <w:rsid w:val="003F0B2B"/>
    <w:rsid w:val="003F1079"/>
    <w:rsid w:val="003F12F2"/>
    <w:rsid w:val="003F25DC"/>
    <w:rsid w:val="003F2894"/>
    <w:rsid w:val="003F35DF"/>
    <w:rsid w:val="003F3887"/>
    <w:rsid w:val="003F455D"/>
    <w:rsid w:val="003F45A9"/>
    <w:rsid w:val="003F4642"/>
    <w:rsid w:val="003F470A"/>
    <w:rsid w:val="003F503A"/>
    <w:rsid w:val="003F525A"/>
    <w:rsid w:val="003F562D"/>
    <w:rsid w:val="003F619F"/>
    <w:rsid w:val="003F6C2F"/>
    <w:rsid w:val="003F6E98"/>
    <w:rsid w:val="003F73E1"/>
    <w:rsid w:val="003F75EB"/>
    <w:rsid w:val="00400414"/>
    <w:rsid w:val="00400D08"/>
    <w:rsid w:val="004028C9"/>
    <w:rsid w:val="00402A4E"/>
    <w:rsid w:val="00402B00"/>
    <w:rsid w:val="004038CE"/>
    <w:rsid w:val="00403E97"/>
    <w:rsid w:val="0040466B"/>
    <w:rsid w:val="00405634"/>
    <w:rsid w:val="00405FEB"/>
    <w:rsid w:val="00407907"/>
    <w:rsid w:val="00410D9E"/>
    <w:rsid w:val="00411C00"/>
    <w:rsid w:val="00411F57"/>
    <w:rsid w:val="0041251F"/>
    <w:rsid w:val="004131EC"/>
    <w:rsid w:val="00415539"/>
    <w:rsid w:val="004165C0"/>
    <w:rsid w:val="00416F28"/>
    <w:rsid w:val="0041724B"/>
    <w:rsid w:val="004174F3"/>
    <w:rsid w:val="004175FE"/>
    <w:rsid w:val="00417946"/>
    <w:rsid w:val="00417C82"/>
    <w:rsid w:val="004209C6"/>
    <w:rsid w:val="00421074"/>
    <w:rsid w:val="00422383"/>
    <w:rsid w:val="00422D29"/>
    <w:rsid w:val="00423CD3"/>
    <w:rsid w:val="00423CF6"/>
    <w:rsid w:val="00424499"/>
    <w:rsid w:val="004246EB"/>
    <w:rsid w:val="004258C8"/>
    <w:rsid w:val="0042595A"/>
    <w:rsid w:val="00425AB7"/>
    <w:rsid w:val="00425D0E"/>
    <w:rsid w:val="00426FD9"/>
    <w:rsid w:val="004279A9"/>
    <w:rsid w:val="00427A97"/>
    <w:rsid w:val="004301EF"/>
    <w:rsid w:val="00431EAF"/>
    <w:rsid w:val="004332A6"/>
    <w:rsid w:val="00433691"/>
    <w:rsid w:val="004336E5"/>
    <w:rsid w:val="00433704"/>
    <w:rsid w:val="00433C94"/>
    <w:rsid w:val="0043427A"/>
    <w:rsid w:val="00434B46"/>
    <w:rsid w:val="00435243"/>
    <w:rsid w:val="00435FF7"/>
    <w:rsid w:val="004364D5"/>
    <w:rsid w:val="00436C08"/>
    <w:rsid w:val="004371A0"/>
    <w:rsid w:val="004374C8"/>
    <w:rsid w:val="004377EC"/>
    <w:rsid w:val="00437EDE"/>
    <w:rsid w:val="00440D13"/>
    <w:rsid w:val="00440D85"/>
    <w:rsid w:val="0044188F"/>
    <w:rsid w:val="00442085"/>
    <w:rsid w:val="004429C3"/>
    <w:rsid w:val="00443AA8"/>
    <w:rsid w:val="00443AC4"/>
    <w:rsid w:val="00443D3F"/>
    <w:rsid w:val="00443DCC"/>
    <w:rsid w:val="004441DD"/>
    <w:rsid w:val="00444930"/>
    <w:rsid w:val="00444D07"/>
    <w:rsid w:val="004465FA"/>
    <w:rsid w:val="00446816"/>
    <w:rsid w:val="00446ECA"/>
    <w:rsid w:val="00447030"/>
    <w:rsid w:val="00447A83"/>
    <w:rsid w:val="00447D51"/>
    <w:rsid w:val="00447DF2"/>
    <w:rsid w:val="00450258"/>
    <w:rsid w:val="00450B16"/>
    <w:rsid w:val="004515FC"/>
    <w:rsid w:val="004518E3"/>
    <w:rsid w:val="00451C37"/>
    <w:rsid w:val="00452EC8"/>
    <w:rsid w:val="004533D4"/>
    <w:rsid w:val="00453850"/>
    <w:rsid w:val="00453880"/>
    <w:rsid w:val="004543F5"/>
    <w:rsid w:val="0045481D"/>
    <w:rsid w:val="00454883"/>
    <w:rsid w:val="00454A74"/>
    <w:rsid w:val="004557CB"/>
    <w:rsid w:val="0045683D"/>
    <w:rsid w:val="004568B7"/>
    <w:rsid w:val="0045697B"/>
    <w:rsid w:val="004577D5"/>
    <w:rsid w:val="004578DA"/>
    <w:rsid w:val="00457E65"/>
    <w:rsid w:val="004607B6"/>
    <w:rsid w:val="0046081B"/>
    <w:rsid w:val="004608B1"/>
    <w:rsid w:val="00461281"/>
    <w:rsid w:val="00461489"/>
    <w:rsid w:val="004616B6"/>
    <w:rsid w:val="00461CE8"/>
    <w:rsid w:val="004621A3"/>
    <w:rsid w:val="00462259"/>
    <w:rsid w:val="00462608"/>
    <w:rsid w:val="0046265D"/>
    <w:rsid w:val="004628B3"/>
    <w:rsid w:val="00462C73"/>
    <w:rsid w:val="00463436"/>
    <w:rsid w:val="00463D43"/>
    <w:rsid w:val="00464926"/>
    <w:rsid w:val="00464DC3"/>
    <w:rsid w:val="004668C4"/>
    <w:rsid w:val="00467214"/>
    <w:rsid w:val="00467723"/>
    <w:rsid w:val="00467793"/>
    <w:rsid w:val="004679AF"/>
    <w:rsid w:val="00470109"/>
    <w:rsid w:val="00470241"/>
    <w:rsid w:val="004702B9"/>
    <w:rsid w:val="00471349"/>
    <w:rsid w:val="00471CF9"/>
    <w:rsid w:val="00471D41"/>
    <w:rsid w:val="00472292"/>
    <w:rsid w:val="00472492"/>
    <w:rsid w:val="00472B33"/>
    <w:rsid w:val="004730AD"/>
    <w:rsid w:val="0047354E"/>
    <w:rsid w:val="004742E0"/>
    <w:rsid w:val="004746F3"/>
    <w:rsid w:val="00474F75"/>
    <w:rsid w:val="00476293"/>
    <w:rsid w:val="00476349"/>
    <w:rsid w:val="004767BB"/>
    <w:rsid w:val="00477699"/>
    <w:rsid w:val="00477755"/>
    <w:rsid w:val="00480FF0"/>
    <w:rsid w:val="00481001"/>
    <w:rsid w:val="004830FE"/>
    <w:rsid w:val="00483315"/>
    <w:rsid w:val="004837E3"/>
    <w:rsid w:val="00484A32"/>
    <w:rsid w:val="00484FB4"/>
    <w:rsid w:val="004860A8"/>
    <w:rsid w:val="0048662F"/>
    <w:rsid w:val="0048687A"/>
    <w:rsid w:val="00486CDA"/>
    <w:rsid w:val="0048729B"/>
    <w:rsid w:val="004872EE"/>
    <w:rsid w:val="0048749F"/>
    <w:rsid w:val="00487C97"/>
    <w:rsid w:val="00487ECF"/>
    <w:rsid w:val="004901F9"/>
    <w:rsid w:val="0049069B"/>
    <w:rsid w:val="00491A1B"/>
    <w:rsid w:val="004920E9"/>
    <w:rsid w:val="004927BC"/>
    <w:rsid w:val="0049299B"/>
    <w:rsid w:val="00492B1A"/>
    <w:rsid w:val="00492FA9"/>
    <w:rsid w:val="00492FFC"/>
    <w:rsid w:val="00493000"/>
    <w:rsid w:val="0049399B"/>
    <w:rsid w:val="00494438"/>
    <w:rsid w:val="0049506A"/>
    <w:rsid w:val="00495A57"/>
    <w:rsid w:val="00497660"/>
    <w:rsid w:val="00497CA9"/>
    <w:rsid w:val="004A003C"/>
    <w:rsid w:val="004A0214"/>
    <w:rsid w:val="004A0AF8"/>
    <w:rsid w:val="004A0E9E"/>
    <w:rsid w:val="004A13B3"/>
    <w:rsid w:val="004A2A2A"/>
    <w:rsid w:val="004A4067"/>
    <w:rsid w:val="004A4F08"/>
    <w:rsid w:val="004A5793"/>
    <w:rsid w:val="004A5885"/>
    <w:rsid w:val="004A6330"/>
    <w:rsid w:val="004A6D02"/>
    <w:rsid w:val="004B0AF3"/>
    <w:rsid w:val="004B1F22"/>
    <w:rsid w:val="004B3632"/>
    <w:rsid w:val="004B38B8"/>
    <w:rsid w:val="004B3EB4"/>
    <w:rsid w:val="004B3EED"/>
    <w:rsid w:val="004B475B"/>
    <w:rsid w:val="004B4837"/>
    <w:rsid w:val="004B4880"/>
    <w:rsid w:val="004B5061"/>
    <w:rsid w:val="004B5277"/>
    <w:rsid w:val="004B52FC"/>
    <w:rsid w:val="004B586C"/>
    <w:rsid w:val="004B5DF9"/>
    <w:rsid w:val="004B5E3C"/>
    <w:rsid w:val="004B663B"/>
    <w:rsid w:val="004B68BD"/>
    <w:rsid w:val="004B72C2"/>
    <w:rsid w:val="004B7367"/>
    <w:rsid w:val="004B7401"/>
    <w:rsid w:val="004B7B25"/>
    <w:rsid w:val="004B7BB7"/>
    <w:rsid w:val="004C07A2"/>
    <w:rsid w:val="004C0AEA"/>
    <w:rsid w:val="004C142C"/>
    <w:rsid w:val="004C1621"/>
    <w:rsid w:val="004C2884"/>
    <w:rsid w:val="004C31AB"/>
    <w:rsid w:val="004C388C"/>
    <w:rsid w:val="004C3D4C"/>
    <w:rsid w:val="004C412D"/>
    <w:rsid w:val="004C47F8"/>
    <w:rsid w:val="004C4833"/>
    <w:rsid w:val="004C4DF2"/>
    <w:rsid w:val="004C6450"/>
    <w:rsid w:val="004C66BD"/>
    <w:rsid w:val="004C6DAE"/>
    <w:rsid w:val="004C6F84"/>
    <w:rsid w:val="004C7D3D"/>
    <w:rsid w:val="004C7DE8"/>
    <w:rsid w:val="004D03BF"/>
    <w:rsid w:val="004D04B6"/>
    <w:rsid w:val="004D163B"/>
    <w:rsid w:val="004D1EF8"/>
    <w:rsid w:val="004D21D3"/>
    <w:rsid w:val="004D25DC"/>
    <w:rsid w:val="004D2F51"/>
    <w:rsid w:val="004D33C9"/>
    <w:rsid w:val="004D3677"/>
    <w:rsid w:val="004D39A6"/>
    <w:rsid w:val="004D4690"/>
    <w:rsid w:val="004D49B7"/>
    <w:rsid w:val="004D50B2"/>
    <w:rsid w:val="004D5537"/>
    <w:rsid w:val="004D623B"/>
    <w:rsid w:val="004D66C7"/>
    <w:rsid w:val="004D67BE"/>
    <w:rsid w:val="004D78C5"/>
    <w:rsid w:val="004E00FD"/>
    <w:rsid w:val="004E0B2C"/>
    <w:rsid w:val="004E1170"/>
    <w:rsid w:val="004E33EA"/>
    <w:rsid w:val="004E3851"/>
    <w:rsid w:val="004E3BCC"/>
    <w:rsid w:val="004E3D44"/>
    <w:rsid w:val="004E3D82"/>
    <w:rsid w:val="004E48B8"/>
    <w:rsid w:val="004E4B06"/>
    <w:rsid w:val="004E4D9F"/>
    <w:rsid w:val="004E55B4"/>
    <w:rsid w:val="004E59B7"/>
    <w:rsid w:val="004E63C9"/>
    <w:rsid w:val="004E687C"/>
    <w:rsid w:val="004E68F2"/>
    <w:rsid w:val="004E7149"/>
    <w:rsid w:val="004E73C8"/>
    <w:rsid w:val="004E7928"/>
    <w:rsid w:val="004F023A"/>
    <w:rsid w:val="004F0338"/>
    <w:rsid w:val="004F042A"/>
    <w:rsid w:val="004F0B8D"/>
    <w:rsid w:val="004F104F"/>
    <w:rsid w:val="004F1260"/>
    <w:rsid w:val="004F1604"/>
    <w:rsid w:val="004F20DA"/>
    <w:rsid w:val="004F2159"/>
    <w:rsid w:val="004F2326"/>
    <w:rsid w:val="004F239D"/>
    <w:rsid w:val="004F28E2"/>
    <w:rsid w:val="004F2CE5"/>
    <w:rsid w:val="004F3069"/>
    <w:rsid w:val="004F3542"/>
    <w:rsid w:val="004F3DB5"/>
    <w:rsid w:val="004F3FB9"/>
    <w:rsid w:val="004F40B9"/>
    <w:rsid w:val="004F489A"/>
    <w:rsid w:val="004F4D75"/>
    <w:rsid w:val="004F50FB"/>
    <w:rsid w:val="004F5724"/>
    <w:rsid w:val="004F5FC1"/>
    <w:rsid w:val="004F637F"/>
    <w:rsid w:val="004F64B4"/>
    <w:rsid w:val="004F6566"/>
    <w:rsid w:val="0050034B"/>
    <w:rsid w:val="005010FE"/>
    <w:rsid w:val="005017F0"/>
    <w:rsid w:val="00502357"/>
    <w:rsid w:val="00502552"/>
    <w:rsid w:val="0050287C"/>
    <w:rsid w:val="0050364D"/>
    <w:rsid w:val="00503B37"/>
    <w:rsid w:val="0050441E"/>
    <w:rsid w:val="0050490D"/>
    <w:rsid w:val="00504C30"/>
    <w:rsid w:val="00504EB5"/>
    <w:rsid w:val="005051C2"/>
    <w:rsid w:val="00505518"/>
    <w:rsid w:val="00505C4D"/>
    <w:rsid w:val="00505D02"/>
    <w:rsid w:val="005070F0"/>
    <w:rsid w:val="00507139"/>
    <w:rsid w:val="00507405"/>
    <w:rsid w:val="0051060F"/>
    <w:rsid w:val="0051126B"/>
    <w:rsid w:val="005117E4"/>
    <w:rsid w:val="005117F6"/>
    <w:rsid w:val="00511A5C"/>
    <w:rsid w:val="00511A98"/>
    <w:rsid w:val="005127AD"/>
    <w:rsid w:val="00512804"/>
    <w:rsid w:val="00512A6A"/>
    <w:rsid w:val="00513161"/>
    <w:rsid w:val="00513DA7"/>
    <w:rsid w:val="00513F10"/>
    <w:rsid w:val="00514768"/>
    <w:rsid w:val="00514899"/>
    <w:rsid w:val="00514FA1"/>
    <w:rsid w:val="0051538D"/>
    <w:rsid w:val="005156B7"/>
    <w:rsid w:val="0051679D"/>
    <w:rsid w:val="00516D4C"/>
    <w:rsid w:val="00517240"/>
    <w:rsid w:val="0051790B"/>
    <w:rsid w:val="00517A21"/>
    <w:rsid w:val="00517F8B"/>
    <w:rsid w:val="00520220"/>
    <w:rsid w:val="005205E5"/>
    <w:rsid w:val="0052087B"/>
    <w:rsid w:val="005210C6"/>
    <w:rsid w:val="00521675"/>
    <w:rsid w:val="005222DC"/>
    <w:rsid w:val="0052267F"/>
    <w:rsid w:val="00522C08"/>
    <w:rsid w:val="005232BA"/>
    <w:rsid w:val="0052391F"/>
    <w:rsid w:val="0052392B"/>
    <w:rsid w:val="00524220"/>
    <w:rsid w:val="005247B2"/>
    <w:rsid w:val="00524EA2"/>
    <w:rsid w:val="00524EA8"/>
    <w:rsid w:val="00525110"/>
    <w:rsid w:val="0052623A"/>
    <w:rsid w:val="00526527"/>
    <w:rsid w:val="00526D22"/>
    <w:rsid w:val="00526D78"/>
    <w:rsid w:val="00527118"/>
    <w:rsid w:val="0052785B"/>
    <w:rsid w:val="00527C4A"/>
    <w:rsid w:val="0053056D"/>
    <w:rsid w:val="005306AC"/>
    <w:rsid w:val="00530713"/>
    <w:rsid w:val="00531245"/>
    <w:rsid w:val="005315C1"/>
    <w:rsid w:val="00531977"/>
    <w:rsid w:val="005319C7"/>
    <w:rsid w:val="00531ADC"/>
    <w:rsid w:val="00531C5C"/>
    <w:rsid w:val="00532520"/>
    <w:rsid w:val="00532A4A"/>
    <w:rsid w:val="00532C19"/>
    <w:rsid w:val="00533690"/>
    <w:rsid w:val="0053371C"/>
    <w:rsid w:val="005338FB"/>
    <w:rsid w:val="00534043"/>
    <w:rsid w:val="00534ADC"/>
    <w:rsid w:val="005356F9"/>
    <w:rsid w:val="00535BBF"/>
    <w:rsid w:val="00535CF0"/>
    <w:rsid w:val="00535DD2"/>
    <w:rsid w:val="00535E24"/>
    <w:rsid w:val="00535ED4"/>
    <w:rsid w:val="005364FF"/>
    <w:rsid w:val="005369D9"/>
    <w:rsid w:val="00536BCD"/>
    <w:rsid w:val="00536DFF"/>
    <w:rsid w:val="00536E1E"/>
    <w:rsid w:val="0053710B"/>
    <w:rsid w:val="00537267"/>
    <w:rsid w:val="0053729D"/>
    <w:rsid w:val="00537FF0"/>
    <w:rsid w:val="00540720"/>
    <w:rsid w:val="00540FE5"/>
    <w:rsid w:val="00542FB1"/>
    <w:rsid w:val="00543626"/>
    <w:rsid w:val="00544F25"/>
    <w:rsid w:val="00544F3A"/>
    <w:rsid w:val="00545051"/>
    <w:rsid w:val="005454B6"/>
    <w:rsid w:val="00546055"/>
    <w:rsid w:val="005462AC"/>
    <w:rsid w:val="00546661"/>
    <w:rsid w:val="0054690A"/>
    <w:rsid w:val="005469C9"/>
    <w:rsid w:val="00546DC4"/>
    <w:rsid w:val="005473E1"/>
    <w:rsid w:val="005500EE"/>
    <w:rsid w:val="0055047E"/>
    <w:rsid w:val="005522D1"/>
    <w:rsid w:val="0055345A"/>
    <w:rsid w:val="00554B89"/>
    <w:rsid w:val="00554EFA"/>
    <w:rsid w:val="0055585E"/>
    <w:rsid w:val="0055590E"/>
    <w:rsid w:val="00555A4B"/>
    <w:rsid w:val="00555CAF"/>
    <w:rsid w:val="00555EE2"/>
    <w:rsid w:val="005561E8"/>
    <w:rsid w:val="00556274"/>
    <w:rsid w:val="005566F2"/>
    <w:rsid w:val="005567C0"/>
    <w:rsid w:val="00556AF0"/>
    <w:rsid w:val="00556F4D"/>
    <w:rsid w:val="005575AB"/>
    <w:rsid w:val="00557BD1"/>
    <w:rsid w:val="00557E4F"/>
    <w:rsid w:val="00557EF3"/>
    <w:rsid w:val="005600F5"/>
    <w:rsid w:val="005608E4"/>
    <w:rsid w:val="005609DF"/>
    <w:rsid w:val="00561068"/>
    <w:rsid w:val="005615AC"/>
    <w:rsid w:val="0056176E"/>
    <w:rsid w:val="00561A07"/>
    <w:rsid w:val="00562286"/>
    <w:rsid w:val="005635FC"/>
    <w:rsid w:val="00563DA6"/>
    <w:rsid w:val="00564544"/>
    <w:rsid w:val="005647B8"/>
    <w:rsid w:val="00565676"/>
    <w:rsid w:val="005672FA"/>
    <w:rsid w:val="005674D7"/>
    <w:rsid w:val="00567E04"/>
    <w:rsid w:val="00570124"/>
    <w:rsid w:val="005701E5"/>
    <w:rsid w:val="00571896"/>
    <w:rsid w:val="00571AD2"/>
    <w:rsid w:val="0057277C"/>
    <w:rsid w:val="00573EC0"/>
    <w:rsid w:val="005740D7"/>
    <w:rsid w:val="005741CB"/>
    <w:rsid w:val="00574A61"/>
    <w:rsid w:val="005750B4"/>
    <w:rsid w:val="0057536C"/>
    <w:rsid w:val="00575693"/>
    <w:rsid w:val="005756B9"/>
    <w:rsid w:val="0057582B"/>
    <w:rsid w:val="005758D9"/>
    <w:rsid w:val="0057596F"/>
    <w:rsid w:val="0057617B"/>
    <w:rsid w:val="00577A05"/>
    <w:rsid w:val="0058027C"/>
    <w:rsid w:val="0058081D"/>
    <w:rsid w:val="005808F3"/>
    <w:rsid w:val="0058197B"/>
    <w:rsid w:val="00581D68"/>
    <w:rsid w:val="005827BA"/>
    <w:rsid w:val="00582DDE"/>
    <w:rsid w:val="00582F07"/>
    <w:rsid w:val="005833F8"/>
    <w:rsid w:val="00583725"/>
    <w:rsid w:val="00583916"/>
    <w:rsid w:val="00584084"/>
    <w:rsid w:val="0058412E"/>
    <w:rsid w:val="00584AD6"/>
    <w:rsid w:val="00584FE9"/>
    <w:rsid w:val="005854FB"/>
    <w:rsid w:val="00585E48"/>
    <w:rsid w:val="00586231"/>
    <w:rsid w:val="005876AD"/>
    <w:rsid w:val="005877EE"/>
    <w:rsid w:val="005879ED"/>
    <w:rsid w:val="005921D9"/>
    <w:rsid w:val="00592259"/>
    <w:rsid w:val="0059275B"/>
    <w:rsid w:val="0059291F"/>
    <w:rsid w:val="0059296C"/>
    <w:rsid w:val="00593331"/>
    <w:rsid w:val="00593627"/>
    <w:rsid w:val="005936CA"/>
    <w:rsid w:val="00593904"/>
    <w:rsid w:val="0059480B"/>
    <w:rsid w:val="00594ADF"/>
    <w:rsid w:val="0059588C"/>
    <w:rsid w:val="00596325"/>
    <w:rsid w:val="00596738"/>
    <w:rsid w:val="00596B81"/>
    <w:rsid w:val="00596D8A"/>
    <w:rsid w:val="005A1803"/>
    <w:rsid w:val="005A1ADC"/>
    <w:rsid w:val="005A2158"/>
    <w:rsid w:val="005A3335"/>
    <w:rsid w:val="005A46FF"/>
    <w:rsid w:val="005A4C22"/>
    <w:rsid w:val="005A4E47"/>
    <w:rsid w:val="005A59DF"/>
    <w:rsid w:val="005A5E26"/>
    <w:rsid w:val="005A61C5"/>
    <w:rsid w:val="005A642B"/>
    <w:rsid w:val="005A6658"/>
    <w:rsid w:val="005A6744"/>
    <w:rsid w:val="005A6C83"/>
    <w:rsid w:val="005A6DB3"/>
    <w:rsid w:val="005A70D5"/>
    <w:rsid w:val="005A7B52"/>
    <w:rsid w:val="005A7FC4"/>
    <w:rsid w:val="005B042D"/>
    <w:rsid w:val="005B0D19"/>
    <w:rsid w:val="005B16F5"/>
    <w:rsid w:val="005B17F8"/>
    <w:rsid w:val="005B1F26"/>
    <w:rsid w:val="005B1F6F"/>
    <w:rsid w:val="005B2014"/>
    <w:rsid w:val="005B2305"/>
    <w:rsid w:val="005B2534"/>
    <w:rsid w:val="005B3089"/>
    <w:rsid w:val="005B4092"/>
    <w:rsid w:val="005B5412"/>
    <w:rsid w:val="005B5C07"/>
    <w:rsid w:val="005B6241"/>
    <w:rsid w:val="005B6578"/>
    <w:rsid w:val="005B67C7"/>
    <w:rsid w:val="005B691C"/>
    <w:rsid w:val="005B6AFA"/>
    <w:rsid w:val="005B7AC4"/>
    <w:rsid w:val="005C015B"/>
    <w:rsid w:val="005C043F"/>
    <w:rsid w:val="005C0C2F"/>
    <w:rsid w:val="005C19EF"/>
    <w:rsid w:val="005C1B1E"/>
    <w:rsid w:val="005C21AF"/>
    <w:rsid w:val="005C2840"/>
    <w:rsid w:val="005C2908"/>
    <w:rsid w:val="005C2A79"/>
    <w:rsid w:val="005C2B31"/>
    <w:rsid w:val="005C368E"/>
    <w:rsid w:val="005C3CCE"/>
    <w:rsid w:val="005C468A"/>
    <w:rsid w:val="005C4B8B"/>
    <w:rsid w:val="005C4D93"/>
    <w:rsid w:val="005C4F43"/>
    <w:rsid w:val="005C51B6"/>
    <w:rsid w:val="005C5B24"/>
    <w:rsid w:val="005C5B63"/>
    <w:rsid w:val="005C6005"/>
    <w:rsid w:val="005C6D0F"/>
    <w:rsid w:val="005C6E41"/>
    <w:rsid w:val="005C7421"/>
    <w:rsid w:val="005C7A48"/>
    <w:rsid w:val="005D03A5"/>
    <w:rsid w:val="005D07E7"/>
    <w:rsid w:val="005D1561"/>
    <w:rsid w:val="005D22D7"/>
    <w:rsid w:val="005D23B9"/>
    <w:rsid w:val="005D2492"/>
    <w:rsid w:val="005D2AFF"/>
    <w:rsid w:val="005D31B9"/>
    <w:rsid w:val="005D3E8F"/>
    <w:rsid w:val="005D3FC0"/>
    <w:rsid w:val="005D45DF"/>
    <w:rsid w:val="005D60F5"/>
    <w:rsid w:val="005D6F97"/>
    <w:rsid w:val="005D77B2"/>
    <w:rsid w:val="005D7B66"/>
    <w:rsid w:val="005E046B"/>
    <w:rsid w:val="005E08CA"/>
    <w:rsid w:val="005E103D"/>
    <w:rsid w:val="005E114F"/>
    <w:rsid w:val="005E217D"/>
    <w:rsid w:val="005E29E5"/>
    <w:rsid w:val="005E2C8F"/>
    <w:rsid w:val="005E2D79"/>
    <w:rsid w:val="005E3139"/>
    <w:rsid w:val="005E32C8"/>
    <w:rsid w:val="005E35D1"/>
    <w:rsid w:val="005E3F8D"/>
    <w:rsid w:val="005E41B1"/>
    <w:rsid w:val="005E47BB"/>
    <w:rsid w:val="005E51D0"/>
    <w:rsid w:val="005E527A"/>
    <w:rsid w:val="005E55AD"/>
    <w:rsid w:val="005E5AD9"/>
    <w:rsid w:val="005E5D10"/>
    <w:rsid w:val="005E68FD"/>
    <w:rsid w:val="005E6C16"/>
    <w:rsid w:val="005E7057"/>
    <w:rsid w:val="005F0180"/>
    <w:rsid w:val="005F03FB"/>
    <w:rsid w:val="005F05E4"/>
    <w:rsid w:val="005F0661"/>
    <w:rsid w:val="005F09AE"/>
    <w:rsid w:val="005F1287"/>
    <w:rsid w:val="005F1A02"/>
    <w:rsid w:val="005F2682"/>
    <w:rsid w:val="005F27CD"/>
    <w:rsid w:val="005F2DCC"/>
    <w:rsid w:val="005F3B5F"/>
    <w:rsid w:val="005F3F23"/>
    <w:rsid w:val="005F403F"/>
    <w:rsid w:val="005F4A5A"/>
    <w:rsid w:val="005F4CF7"/>
    <w:rsid w:val="005F580B"/>
    <w:rsid w:val="005F5DF1"/>
    <w:rsid w:val="005F67D4"/>
    <w:rsid w:val="006003A9"/>
    <w:rsid w:val="00600B1F"/>
    <w:rsid w:val="00600D03"/>
    <w:rsid w:val="0060112B"/>
    <w:rsid w:val="00601D55"/>
    <w:rsid w:val="00602234"/>
    <w:rsid w:val="00602408"/>
    <w:rsid w:val="00602CD6"/>
    <w:rsid w:val="00602D0D"/>
    <w:rsid w:val="00602D8F"/>
    <w:rsid w:val="006053A0"/>
    <w:rsid w:val="00605467"/>
    <w:rsid w:val="00605551"/>
    <w:rsid w:val="00605E50"/>
    <w:rsid w:val="0060615A"/>
    <w:rsid w:val="00606603"/>
    <w:rsid w:val="00606902"/>
    <w:rsid w:val="0060691F"/>
    <w:rsid w:val="00606ECD"/>
    <w:rsid w:val="006071A0"/>
    <w:rsid w:val="00607688"/>
    <w:rsid w:val="0060786F"/>
    <w:rsid w:val="0060789E"/>
    <w:rsid w:val="00607BB9"/>
    <w:rsid w:val="00607C08"/>
    <w:rsid w:val="00607E8C"/>
    <w:rsid w:val="00611B45"/>
    <w:rsid w:val="00611C08"/>
    <w:rsid w:val="00611C23"/>
    <w:rsid w:val="00612226"/>
    <w:rsid w:val="006127DA"/>
    <w:rsid w:val="00612CA9"/>
    <w:rsid w:val="00612D70"/>
    <w:rsid w:val="006131D5"/>
    <w:rsid w:val="00613A39"/>
    <w:rsid w:val="00613D36"/>
    <w:rsid w:val="00614158"/>
    <w:rsid w:val="006148B6"/>
    <w:rsid w:val="00614AAB"/>
    <w:rsid w:val="00615214"/>
    <w:rsid w:val="006156F4"/>
    <w:rsid w:val="00615BB0"/>
    <w:rsid w:val="00616C2F"/>
    <w:rsid w:val="006170B6"/>
    <w:rsid w:val="006173FE"/>
    <w:rsid w:val="00617B5D"/>
    <w:rsid w:val="00617C46"/>
    <w:rsid w:val="00617CD8"/>
    <w:rsid w:val="00620268"/>
    <w:rsid w:val="0062036E"/>
    <w:rsid w:val="0062087B"/>
    <w:rsid w:val="00621103"/>
    <w:rsid w:val="0062117E"/>
    <w:rsid w:val="0062122C"/>
    <w:rsid w:val="00621591"/>
    <w:rsid w:val="006224A9"/>
    <w:rsid w:val="00622871"/>
    <w:rsid w:val="0062295F"/>
    <w:rsid w:val="006229E4"/>
    <w:rsid w:val="00622D98"/>
    <w:rsid w:val="00622E26"/>
    <w:rsid w:val="00622FB9"/>
    <w:rsid w:val="00623F72"/>
    <w:rsid w:val="006249FF"/>
    <w:rsid w:val="00624BFA"/>
    <w:rsid w:val="006259C6"/>
    <w:rsid w:val="00625B87"/>
    <w:rsid w:val="006262B9"/>
    <w:rsid w:val="0062651F"/>
    <w:rsid w:val="00626567"/>
    <w:rsid w:val="00626F22"/>
    <w:rsid w:val="006305DD"/>
    <w:rsid w:val="006306AD"/>
    <w:rsid w:val="00630737"/>
    <w:rsid w:val="0063199B"/>
    <w:rsid w:val="0063277C"/>
    <w:rsid w:val="00632B75"/>
    <w:rsid w:val="00632D82"/>
    <w:rsid w:val="00633137"/>
    <w:rsid w:val="0063334D"/>
    <w:rsid w:val="0063354F"/>
    <w:rsid w:val="00633C03"/>
    <w:rsid w:val="00633E36"/>
    <w:rsid w:val="00634089"/>
    <w:rsid w:val="00634603"/>
    <w:rsid w:val="00634E07"/>
    <w:rsid w:val="00635680"/>
    <w:rsid w:val="006356ED"/>
    <w:rsid w:val="00635C7F"/>
    <w:rsid w:val="00636112"/>
    <w:rsid w:val="006363CB"/>
    <w:rsid w:val="00636465"/>
    <w:rsid w:val="006379A9"/>
    <w:rsid w:val="00637D50"/>
    <w:rsid w:val="00640627"/>
    <w:rsid w:val="0064095D"/>
    <w:rsid w:val="00640A64"/>
    <w:rsid w:val="006411FA"/>
    <w:rsid w:val="00641226"/>
    <w:rsid w:val="00641239"/>
    <w:rsid w:val="00641F71"/>
    <w:rsid w:val="00642118"/>
    <w:rsid w:val="00642F38"/>
    <w:rsid w:val="00643343"/>
    <w:rsid w:val="00643916"/>
    <w:rsid w:val="00643C21"/>
    <w:rsid w:val="00643CF5"/>
    <w:rsid w:val="00644298"/>
    <w:rsid w:val="00644A0A"/>
    <w:rsid w:val="00645606"/>
    <w:rsid w:val="00645634"/>
    <w:rsid w:val="00645A81"/>
    <w:rsid w:val="00645D49"/>
    <w:rsid w:val="006460DC"/>
    <w:rsid w:val="006461EE"/>
    <w:rsid w:val="0064708F"/>
    <w:rsid w:val="00647275"/>
    <w:rsid w:val="006476B5"/>
    <w:rsid w:val="00647B00"/>
    <w:rsid w:val="006502F4"/>
    <w:rsid w:val="006504C1"/>
    <w:rsid w:val="00650D91"/>
    <w:rsid w:val="00650F52"/>
    <w:rsid w:val="00651D45"/>
    <w:rsid w:val="00651F54"/>
    <w:rsid w:val="00651FED"/>
    <w:rsid w:val="0065209D"/>
    <w:rsid w:val="006524DC"/>
    <w:rsid w:val="00653F05"/>
    <w:rsid w:val="00654222"/>
    <w:rsid w:val="006544A9"/>
    <w:rsid w:val="00654EC6"/>
    <w:rsid w:val="00655155"/>
    <w:rsid w:val="00655F72"/>
    <w:rsid w:val="00655FD4"/>
    <w:rsid w:val="006574C0"/>
    <w:rsid w:val="00657C35"/>
    <w:rsid w:val="00657C73"/>
    <w:rsid w:val="00657F14"/>
    <w:rsid w:val="00660399"/>
    <w:rsid w:val="006608BD"/>
    <w:rsid w:val="006609E6"/>
    <w:rsid w:val="00660C97"/>
    <w:rsid w:val="00660C9F"/>
    <w:rsid w:val="0066154B"/>
    <w:rsid w:val="00661DD9"/>
    <w:rsid w:val="00661F2A"/>
    <w:rsid w:val="00661F98"/>
    <w:rsid w:val="0066242E"/>
    <w:rsid w:val="0066267E"/>
    <w:rsid w:val="006626D9"/>
    <w:rsid w:val="006628E3"/>
    <w:rsid w:val="00662AE9"/>
    <w:rsid w:val="00662D05"/>
    <w:rsid w:val="006631DB"/>
    <w:rsid w:val="006632ED"/>
    <w:rsid w:val="0066332D"/>
    <w:rsid w:val="00663B80"/>
    <w:rsid w:val="006643F7"/>
    <w:rsid w:val="00665225"/>
    <w:rsid w:val="0066599F"/>
    <w:rsid w:val="00665A16"/>
    <w:rsid w:val="00665EEF"/>
    <w:rsid w:val="0066643F"/>
    <w:rsid w:val="00666C02"/>
    <w:rsid w:val="00666C85"/>
    <w:rsid w:val="00667053"/>
    <w:rsid w:val="006670DB"/>
    <w:rsid w:val="006703C2"/>
    <w:rsid w:val="006705F4"/>
    <w:rsid w:val="00670B17"/>
    <w:rsid w:val="00670C02"/>
    <w:rsid w:val="006711BA"/>
    <w:rsid w:val="00671554"/>
    <w:rsid w:val="00671779"/>
    <w:rsid w:val="00671AFD"/>
    <w:rsid w:val="00671FCD"/>
    <w:rsid w:val="006721EA"/>
    <w:rsid w:val="00672B42"/>
    <w:rsid w:val="00672BA4"/>
    <w:rsid w:val="00672C80"/>
    <w:rsid w:val="00673479"/>
    <w:rsid w:val="0067362E"/>
    <w:rsid w:val="00673992"/>
    <w:rsid w:val="00673C09"/>
    <w:rsid w:val="00673E41"/>
    <w:rsid w:val="0067456A"/>
    <w:rsid w:val="006748E9"/>
    <w:rsid w:val="006761DE"/>
    <w:rsid w:val="006763BC"/>
    <w:rsid w:val="00676B53"/>
    <w:rsid w:val="00677034"/>
    <w:rsid w:val="006775F5"/>
    <w:rsid w:val="006803F4"/>
    <w:rsid w:val="006809A6"/>
    <w:rsid w:val="0068101B"/>
    <w:rsid w:val="00681610"/>
    <w:rsid w:val="006816AF"/>
    <w:rsid w:val="00681896"/>
    <w:rsid w:val="00681C51"/>
    <w:rsid w:val="006822EA"/>
    <w:rsid w:val="00682432"/>
    <w:rsid w:val="006824AB"/>
    <w:rsid w:val="00682676"/>
    <w:rsid w:val="00682B91"/>
    <w:rsid w:val="00683144"/>
    <w:rsid w:val="006843EF"/>
    <w:rsid w:val="006845FC"/>
    <w:rsid w:val="006847CF"/>
    <w:rsid w:val="0068489D"/>
    <w:rsid w:val="006850A1"/>
    <w:rsid w:val="00685E50"/>
    <w:rsid w:val="0068668C"/>
    <w:rsid w:val="00686852"/>
    <w:rsid w:val="00686860"/>
    <w:rsid w:val="00687733"/>
    <w:rsid w:val="006879F1"/>
    <w:rsid w:val="0069085F"/>
    <w:rsid w:val="00690C45"/>
    <w:rsid w:val="00691ECF"/>
    <w:rsid w:val="00692894"/>
    <w:rsid w:val="00692E4A"/>
    <w:rsid w:val="006930AD"/>
    <w:rsid w:val="006939B6"/>
    <w:rsid w:val="006947C0"/>
    <w:rsid w:val="00694E74"/>
    <w:rsid w:val="006952A8"/>
    <w:rsid w:val="006952F5"/>
    <w:rsid w:val="00695E0C"/>
    <w:rsid w:val="0069676A"/>
    <w:rsid w:val="006967C6"/>
    <w:rsid w:val="00696A19"/>
    <w:rsid w:val="00697209"/>
    <w:rsid w:val="006973B5"/>
    <w:rsid w:val="0069784A"/>
    <w:rsid w:val="00697A97"/>
    <w:rsid w:val="00697B72"/>
    <w:rsid w:val="006A0002"/>
    <w:rsid w:val="006A03D4"/>
    <w:rsid w:val="006A05B7"/>
    <w:rsid w:val="006A0F5E"/>
    <w:rsid w:val="006A18CC"/>
    <w:rsid w:val="006A1A19"/>
    <w:rsid w:val="006A1E27"/>
    <w:rsid w:val="006A1F4C"/>
    <w:rsid w:val="006A2232"/>
    <w:rsid w:val="006A22EE"/>
    <w:rsid w:val="006A2793"/>
    <w:rsid w:val="006A3284"/>
    <w:rsid w:val="006A3548"/>
    <w:rsid w:val="006A4334"/>
    <w:rsid w:val="006A437E"/>
    <w:rsid w:val="006A4402"/>
    <w:rsid w:val="006A459B"/>
    <w:rsid w:val="006A4D57"/>
    <w:rsid w:val="006A4E9E"/>
    <w:rsid w:val="006A52DC"/>
    <w:rsid w:val="006A53C1"/>
    <w:rsid w:val="006A56E9"/>
    <w:rsid w:val="006A5780"/>
    <w:rsid w:val="006A5858"/>
    <w:rsid w:val="006A5B6C"/>
    <w:rsid w:val="006A6676"/>
    <w:rsid w:val="006A6D55"/>
    <w:rsid w:val="006A7268"/>
    <w:rsid w:val="006A7710"/>
    <w:rsid w:val="006A7C7E"/>
    <w:rsid w:val="006A7D95"/>
    <w:rsid w:val="006B0956"/>
    <w:rsid w:val="006B0D84"/>
    <w:rsid w:val="006B102C"/>
    <w:rsid w:val="006B13BB"/>
    <w:rsid w:val="006B1464"/>
    <w:rsid w:val="006B1852"/>
    <w:rsid w:val="006B1F39"/>
    <w:rsid w:val="006B367C"/>
    <w:rsid w:val="006B38AC"/>
    <w:rsid w:val="006B43D6"/>
    <w:rsid w:val="006B4426"/>
    <w:rsid w:val="006B4EEA"/>
    <w:rsid w:val="006B4FEA"/>
    <w:rsid w:val="006B5247"/>
    <w:rsid w:val="006B576A"/>
    <w:rsid w:val="006B6106"/>
    <w:rsid w:val="006B6677"/>
    <w:rsid w:val="006B670B"/>
    <w:rsid w:val="006B7029"/>
    <w:rsid w:val="006B7783"/>
    <w:rsid w:val="006B7A33"/>
    <w:rsid w:val="006C011E"/>
    <w:rsid w:val="006C04B7"/>
    <w:rsid w:val="006C0EB1"/>
    <w:rsid w:val="006C1EDD"/>
    <w:rsid w:val="006C229D"/>
    <w:rsid w:val="006C292E"/>
    <w:rsid w:val="006C2ECF"/>
    <w:rsid w:val="006C32D5"/>
    <w:rsid w:val="006C339F"/>
    <w:rsid w:val="006C37CE"/>
    <w:rsid w:val="006C3925"/>
    <w:rsid w:val="006C39D0"/>
    <w:rsid w:val="006C3FB9"/>
    <w:rsid w:val="006C3FC5"/>
    <w:rsid w:val="006C580E"/>
    <w:rsid w:val="006C59DD"/>
    <w:rsid w:val="006C5FFB"/>
    <w:rsid w:val="006C684E"/>
    <w:rsid w:val="006C70DA"/>
    <w:rsid w:val="006C77C6"/>
    <w:rsid w:val="006C787E"/>
    <w:rsid w:val="006C78FB"/>
    <w:rsid w:val="006C7B9E"/>
    <w:rsid w:val="006C7F6E"/>
    <w:rsid w:val="006D054F"/>
    <w:rsid w:val="006D0F45"/>
    <w:rsid w:val="006D1B92"/>
    <w:rsid w:val="006D1D40"/>
    <w:rsid w:val="006D20EF"/>
    <w:rsid w:val="006D2356"/>
    <w:rsid w:val="006D2614"/>
    <w:rsid w:val="006D3D17"/>
    <w:rsid w:val="006D45C1"/>
    <w:rsid w:val="006D46D8"/>
    <w:rsid w:val="006D4CCB"/>
    <w:rsid w:val="006D55CD"/>
    <w:rsid w:val="006D6431"/>
    <w:rsid w:val="006D6515"/>
    <w:rsid w:val="006D653F"/>
    <w:rsid w:val="006E0666"/>
    <w:rsid w:val="006E12AE"/>
    <w:rsid w:val="006E2B82"/>
    <w:rsid w:val="006E310D"/>
    <w:rsid w:val="006E3695"/>
    <w:rsid w:val="006E4188"/>
    <w:rsid w:val="006E4D03"/>
    <w:rsid w:val="006E4F7A"/>
    <w:rsid w:val="006E541D"/>
    <w:rsid w:val="006E5475"/>
    <w:rsid w:val="006E59A3"/>
    <w:rsid w:val="006E5DC1"/>
    <w:rsid w:val="006E5E83"/>
    <w:rsid w:val="006E6471"/>
    <w:rsid w:val="006E6573"/>
    <w:rsid w:val="006E6614"/>
    <w:rsid w:val="006E71A3"/>
    <w:rsid w:val="006E7BBF"/>
    <w:rsid w:val="006E7F34"/>
    <w:rsid w:val="006F04EF"/>
    <w:rsid w:val="006F0A87"/>
    <w:rsid w:val="006F0C6A"/>
    <w:rsid w:val="006F178D"/>
    <w:rsid w:val="006F1DCF"/>
    <w:rsid w:val="006F1E6A"/>
    <w:rsid w:val="006F201A"/>
    <w:rsid w:val="006F282C"/>
    <w:rsid w:val="006F283E"/>
    <w:rsid w:val="006F3A37"/>
    <w:rsid w:val="006F3DA7"/>
    <w:rsid w:val="006F44CA"/>
    <w:rsid w:val="006F452D"/>
    <w:rsid w:val="006F4D0A"/>
    <w:rsid w:val="006F4EB5"/>
    <w:rsid w:val="006F5612"/>
    <w:rsid w:val="006F57E7"/>
    <w:rsid w:val="006F5971"/>
    <w:rsid w:val="006F5D0D"/>
    <w:rsid w:val="006F6EE8"/>
    <w:rsid w:val="006F6FB4"/>
    <w:rsid w:val="006F6FCD"/>
    <w:rsid w:val="006F7355"/>
    <w:rsid w:val="007003CB"/>
    <w:rsid w:val="0070107E"/>
    <w:rsid w:val="00701CF6"/>
    <w:rsid w:val="007023CF"/>
    <w:rsid w:val="0070298B"/>
    <w:rsid w:val="00703255"/>
    <w:rsid w:val="007032A9"/>
    <w:rsid w:val="0070360F"/>
    <w:rsid w:val="0070369C"/>
    <w:rsid w:val="00703E00"/>
    <w:rsid w:val="007043DA"/>
    <w:rsid w:val="00704991"/>
    <w:rsid w:val="007049CA"/>
    <w:rsid w:val="00704CB5"/>
    <w:rsid w:val="00705747"/>
    <w:rsid w:val="00705BE3"/>
    <w:rsid w:val="007062C6"/>
    <w:rsid w:val="00706D94"/>
    <w:rsid w:val="00707D1B"/>
    <w:rsid w:val="00707E8B"/>
    <w:rsid w:val="00710B74"/>
    <w:rsid w:val="007118BF"/>
    <w:rsid w:val="00711E6E"/>
    <w:rsid w:val="00712185"/>
    <w:rsid w:val="0071295A"/>
    <w:rsid w:val="0071482F"/>
    <w:rsid w:val="00715DAA"/>
    <w:rsid w:val="007166AC"/>
    <w:rsid w:val="00716B74"/>
    <w:rsid w:val="00717A91"/>
    <w:rsid w:val="00717C05"/>
    <w:rsid w:val="00717CB4"/>
    <w:rsid w:val="00720653"/>
    <w:rsid w:val="00720C77"/>
    <w:rsid w:val="00720FF3"/>
    <w:rsid w:val="00721B71"/>
    <w:rsid w:val="00721FCF"/>
    <w:rsid w:val="0072211E"/>
    <w:rsid w:val="0072252D"/>
    <w:rsid w:val="00722639"/>
    <w:rsid w:val="00722E7C"/>
    <w:rsid w:val="007232FB"/>
    <w:rsid w:val="007234A5"/>
    <w:rsid w:val="00723510"/>
    <w:rsid w:val="007236BD"/>
    <w:rsid w:val="007238DE"/>
    <w:rsid w:val="00724004"/>
    <w:rsid w:val="007240F6"/>
    <w:rsid w:val="00724E95"/>
    <w:rsid w:val="00725CC9"/>
    <w:rsid w:val="00726F6A"/>
    <w:rsid w:val="00727AD0"/>
    <w:rsid w:val="00727DCE"/>
    <w:rsid w:val="00727E85"/>
    <w:rsid w:val="007305BC"/>
    <w:rsid w:val="00731A3E"/>
    <w:rsid w:val="007321A1"/>
    <w:rsid w:val="0073244C"/>
    <w:rsid w:val="00732676"/>
    <w:rsid w:val="00732CDF"/>
    <w:rsid w:val="0073346F"/>
    <w:rsid w:val="00733874"/>
    <w:rsid w:val="0073393E"/>
    <w:rsid w:val="00733B2A"/>
    <w:rsid w:val="00733C93"/>
    <w:rsid w:val="00733E36"/>
    <w:rsid w:val="00734199"/>
    <w:rsid w:val="007341CE"/>
    <w:rsid w:val="007343EE"/>
    <w:rsid w:val="007369F5"/>
    <w:rsid w:val="00736C5A"/>
    <w:rsid w:val="00736E86"/>
    <w:rsid w:val="00736F86"/>
    <w:rsid w:val="0073738D"/>
    <w:rsid w:val="00737541"/>
    <w:rsid w:val="007377F5"/>
    <w:rsid w:val="00737EB4"/>
    <w:rsid w:val="00740F43"/>
    <w:rsid w:val="0074160B"/>
    <w:rsid w:val="00741A25"/>
    <w:rsid w:val="00741AC4"/>
    <w:rsid w:val="007428A4"/>
    <w:rsid w:val="00743C80"/>
    <w:rsid w:val="007451CF"/>
    <w:rsid w:val="0074560E"/>
    <w:rsid w:val="007463FF"/>
    <w:rsid w:val="00746617"/>
    <w:rsid w:val="007476A4"/>
    <w:rsid w:val="0074773A"/>
    <w:rsid w:val="007509E7"/>
    <w:rsid w:val="00750B74"/>
    <w:rsid w:val="007511CD"/>
    <w:rsid w:val="0075148B"/>
    <w:rsid w:val="00751B3A"/>
    <w:rsid w:val="00751F59"/>
    <w:rsid w:val="00752843"/>
    <w:rsid w:val="00752B3E"/>
    <w:rsid w:val="00752BB5"/>
    <w:rsid w:val="007533B8"/>
    <w:rsid w:val="00753F2B"/>
    <w:rsid w:val="007542A8"/>
    <w:rsid w:val="0075490D"/>
    <w:rsid w:val="00754C4F"/>
    <w:rsid w:val="00754E2E"/>
    <w:rsid w:val="0075543C"/>
    <w:rsid w:val="00755CDA"/>
    <w:rsid w:val="00756372"/>
    <w:rsid w:val="00756528"/>
    <w:rsid w:val="00756A2E"/>
    <w:rsid w:val="0075742F"/>
    <w:rsid w:val="007614CE"/>
    <w:rsid w:val="00761503"/>
    <w:rsid w:val="007622EE"/>
    <w:rsid w:val="00762EA4"/>
    <w:rsid w:val="0076455B"/>
    <w:rsid w:val="0076473D"/>
    <w:rsid w:val="00764935"/>
    <w:rsid w:val="007650B9"/>
    <w:rsid w:val="007653D1"/>
    <w:rsid w:val="00765866"/>
    <w:rsid w:val="00765A23"/>
    <w:rsid w:val="00766075"/>
    <w:rsid w:val="007669E1"/>
    <w:rsid w:val="007677D1"/>
    <w:rsid w:val="00770305"/>
    <w:rsid w:val="007710B0"/>
    <w:rsid w:val="00771475"/>
    <w:rsid w:val="00771666"/>
    <w:rsid w:val="007718ED"/>
    <w:rsid w:val="00771C65"/>
    <w:rsid w:val="00771F48"/>
    <w:rsid w:val="0077207D"/>
    <w:rsid w:val="00772621"/>
    <w:rsid w:val="0077270D"/>
    <w:rsid w:val="00772A40"/>
    <w:rsid w:val="00772A59"/>
    <w:rsid w:val="007745D4"/>
    <w:rsid w:val="00774BC3"/>
    <w:rsid w:val="00774D1E"/>
    <w:rsid w:val="00776E2A"/>
    <w:rsid w:val="00777041"/>
    <w:rsid w:val="007776A5"/>
    <w:rsid w:val="00777CEF"/>
    <w:rsid w:val="00780434"/>
    <w:rsid w:val="007804F1"/>
    <w:rsid w:val="00780B11"/>
    <w:rsid w:val="00781989"/>
    <w:rsid w:val="00781A9D"/>
    <w:rsid w:val="00781E3A"/>
    <w:rsid w:val="007821D6"/>
    <w:rsid w:val="00783B55"/>
    <w:rsid w:val="00783E8A"/>
    <w:rsid w:val="00784158"/>
    <w:rsid w:val="00784180"/>
    <w:rsid w:val="0078450E"/>
    <w:rsid w:val="0078533E"/>
    <w:rsid w:val="00785461"/>
    <w:rsid w:val="00785821"/>
    <w:rsid w:val="00786091"/>
    <w:rsid w:val="00786AD7"/>
    <w:rsid w:val="00787475"/>
    <w:rsid w:val="00787770"/>
    <w:rsid w:val="00790A76"/>
    <w:rsid w:val="00790CBF"/>
    <w:rsid w:val="00790F6C"/>
    <w:rsid w:val="00791189"/>
    <w:rsid w:val="007911B0"/>
    <w:rsid w:val="00791B02"/>
    <w:rsid w:val="00791D8C"/>
    <w:rsid w:val="007937CD"/>
    <w:rsid w:val="0079395D"/>
    <w:rsid w:val="00793B5B"/>
    <w:rsid w:val="00793C90"/>
    <w:rsid w:val="007948A8"/>
    <w:rsid w:val="00794E4E"/>
    <w:rsid w:val="007953BD"/>
    <w:rsid w:val="0079657B"/>
    <w:rsid w:val="00796928"/>
    <w:rsid w:val="00796F2E"/>
    <w:rsid w:val="00797097"/>
    <w:rsid w:val="0079799C"/>
    <w:rsid w:val="00797BAA"/>
    <w:rsid w:val="007A002B"/>
    <w:rsid w:val="007A064B"/>
    <w:rsid w:val="007A0714"/>
    <w:rsid w:val="007A07D1"/>
    <w:rsid w:val="007A09BF"/>
    <w:rsid w:val="007A0B32"/>
    <w:rsid w:val="007A0C7C"/>
    <w:rsid w:val="007A11B3"/>
    <w:rsid w:val="007A1222"/>
    <w:rsid w:val="007A2FE4"/>
    <w:rsid w:val="007A36CA"/>
    <w:rsid w:val="007A3DCA"/>
    <w:rsid w:val="007A3F30"/>
    <w:rsid w:val="007A4A96"/>
    <w:rsid w:val="007A5644"/>
    <w:rsid w:val="007A5961"/>
    <w:rsid w:val="007A5A86"/>
    <w:rsid w:val="007A5AD0"/>
    <w:rsid w:val="007A66A5"/>
    <w:rsid w:val="007A75B0"/>
    <w:rsid w:val="007A79F2"/>
    <w:rsid w:val="007B0167"/>
    <w:rsid w:val="007B0961"/>
    <w:rsid w:val="007B0CC2"/>
    <w:rsid w:val="007B0F73"/>
    <w:rsid w:val="007B1052"/>
    <w:rsid w:val="007B1213"/>
    <w:rsid w:val="007B1634"/>
    <w:rsid w:val="007B2469"/>
    <w:rsid w:val="007B24E2"/>
    <w:rsid w:val="007B2A83"/>
    <w:rsid w:val="007B31F2"/>
    <w:rsid w:val="007B34A9"/>
    <w:rsid w:val="007B34E7"/>
    <w:rsid w:val="007B371D"/>
    <w:rsid w:val="007B3CD4"/>
    <w:rsid w:val="007B4E93"/>
    <w:rsid w:val="007B585B"/>
    <w:rsid w:val="007B5D4F"/>
    <w:rsid w:val="007B5E36"/>
    <w:rsid w:val="007B611B"/>
    <w:rsid w:val="007B666B"/>
    <w:rsid w:val="007B74C0"/>
    <w:rsid w:val="007B74D2"/>
    <w:rsid w:val="007B74FA"/>
    <w:rsid w:val="007B75D8"/>
    <w:rsid w:val="007B7A5F"/>
    <w:rsid w:val="007C0B78"/>
    <w:rsid w:val="007C0B99"/>
    <w:rsid w:val="007C2379"/>
    <w:rsid w:val="007C23A2"/>
    <w:rsid w:val="007C24C7"/>
    <w:rsid w:val="007C259E"/>
    <w:rsid w:val="007C2641"/>
    <w:rsid w:val="007C287B"/>
    <w:rsid w:val="007C336B"/>
    <w:rsid w:val="007C3589"/>
    <w:rsid w:val="007C3B01"/>
    <w:rsid w:val="007C463B"/>
    <w:rsid w:val="007C4815"/>
    <w:rsid w:val="007C4845"/>
    <w:rsid w:val="007C519D"/>
    <w:rsid w:val="007C5443"/>
    <w:rsid w:val="007C553E"/>
    <w:rsid w:val="007C6A62"/>
    <w:rsid w:val="007C6B04"/>
    <w:rsid w:val="007C6D2F"/>
    <w:rsid w:val="007C7510"/>
    <w:rsid w:val="007C7925"/>
    <w:rsid w:val="007D0609"/>
    <w:rsid w:val="007D0710"/>
    <w:rsid w:val="007D0BD2"/>
    <w:rsid w:val="007D1C62"/>
    <w:rsid w:val="007D1E67"/>
    <w:rsid w:val="007D3B9C"/>
    <w:rsid w:val="007D3C73"/>
    <w:rsid w:val="007D3C91"/>
    <w:rsid w:val="007D4490"/>
    <w:rsid w:val="007D5BD5"/>
    <w:rsid w:val="007D5DB8"/>
    <w:rsid w:val="007D5E9D"/>
    <w:rsid w:val="007D64D0"/>
    <w:rsid w:val="007D6B6D"/>
    <w:rsid w:val="007D7A9A"/>
    <w:rsid w:val="007D7E5A"/>
    <w:rsid w:val="007D7EC7"/>
    <w:rsid w:val="007E0334"/>
    <w:rsid w:val="007E0824"/>
    <w:rsid w:val="007E0FAD"/>
    <w:rsid w:val="007E0FD1"/>
    <w:rsid w:val="007E15AC"/>
    <w:rsid w:val="007E1922"/>
    <w:rsid w:val="007E1B70"/>
    <w:rsid w:val="007E2436"/>
    <w:rsid w:val="007E249C"/>
    <w:rsid w:val="007E2785"/>
    <w:rsid w:val="007E3878"/>
    <w:rsid w:val="007E396B"/>
    <w:rsid w:val="007E3A8D"/>
    <w:rsid w:val="007E3AA9"/>
    <w:rsid w:val="007E4069"/>
    <w:rsid w:val="007E4427"/>
    <w:rsid w:val="007E47A3"/>
    <w:rsid w:val="007E4891"/>
    <w:rsid w:val="007E4ACF"/>
    <w:rsid w:val="007E5535"/>
    <w:rsid w:val="007E5A58"/>
    <w:rsid w:val="007E5A61"/>
    <w:rsid w:val="007E6B65"/>
    <w:rsid w:val="007E6B84"/>
    <w:rsid w:val="007E6CA4"/>
    <w:rsid w:val="007E75FC"/>
    <w:rsid w:val="007F0182"/>
    <w:rsid w:val="007F02CF"/>
    <w:rsid w:val="007F0750"/>
    <w:rsid w:val="007F0786"/>
    <w:rsid w:val="007F19C3"/>
    <w:rsid w:val="007F1B3D"/>
    <w:rsid w:val="007F27BB"/>
    <w:rsid w:val="007F285F"/>
    <w:rsid w:val="007F3F1E"/>
    <w:rsid w:val="007F4276"/>
    <w:rsid w:val="007F438F"/>
    <w:rsid w:val="007F47FF"/>
    <w:rsid w:val="007F4E8F"/>
    <w:rsid w:val="007F54FC"/>
    <w:rsid w:val="007F585B"/>
    <w:rsid w:val="007F64C7"/>
    <w:rsid w:val="007F6864"/>
    <w:rsid w:val="007F6A3B"/>
    <w:rsid w:val="007F6E41"/>
    <w:rsid w:val="007F704F"/>
    <w:rsid w:val="007F7FFA"/>
    <w:rsid w:val="0080042C"/>
    <w:rsid w:val="0080172A"/>
    <w:rsid w:val="00801B8B"/>
    <w:rsid w:val="00801C02"/>
    <w:rsid w:val="00802021"/>
    <w:rsid w:val="008021B0"/>
    <w:rsid w:val="00802363"/>
    <w:rsid w:val="008029A3"/>
    <w:rsid w:val="00802AB8"/>
    <w:rsid w:val="00803054"/>
    <w:rsid w:val="008033ED"/>
    <w:rsid w:val="00803539"/>
    <w:rsid w:val="00803F36"/>
    <w:rsid w:val="00804375"/>
    <w:rsid w:val="00804ADC"/>
    <w:rsid w:val="00804F4D"/>
    <w:rsid w:val="008050B7"/>
    <w:rsid w:val="00805CF1"/>
    <w:rsid w:val="00805D28"/>
    <w:rsid w:val="00806880"/>
    <w:rsid w:val="00806961"/>
    <w:rsid w:val="008074A6"/>
    <w:rsid w:val="008100B9"/>
    <w:rsid w:val="00810705"/>
    <w:rsid w:val="00810A04"/>
    <w:rsid w:val="00810C47"/>
    <w:rsid w:val="00811891"/>
    <w:rsid w:val="00811D5F"/>
    <w:rsid w:val="00812FD5"/>
    <w:rsid w:val="008132C2"/>
    <w:rsid w:val="008135A8"/>
    <w:rsid w:val="00813E85"/>
    <w:rsid w:val="0081429F"/>
    <w:rsid w:val="008142EC"/>
    <w:rsid w:val="00814FD0"/>
    <w:rsid w:val="008150ED"/>
    <w:rsid w:val="00815133"/>
    <w:rsid w:val="0081546B"/>
    <w:rsid w:val="008159B5"/>
    <w:rsid w:val="00815F5E"/>
    <w:rsid w:val="00816245"/>
    <w:rsid w:val="008168E0"/>
    <w:rsid w:val="008168EA"/>
    <w:rsid w:val="00817EFB"/>
    <w:rsid w:val="00817FA6"/>
    <w:rsid w:val="00820C4A"/>
    <w:rsid w:val="00822F58"/>
    <w:rsid w:val="008233EA"/>
    <w:rsid w:val="00823609"/>
    <w:rsid w:val="00824104"/>
    <w:rsid w:val="00824323"/>
    <w:rsid w:val="0082476E"/>
    <w:rsid w:val="00824ABD"/>
    <w:rsid w:val="00825B1D"/>
    <w:rsid w:val="00825C15"/>
    <w:rsid w:val="00826677"/>
    <w:rsid w:val="008269B9"/>
    <w:rsid w:val="00826DDF"/>
    <w:rsid w:val="00827D4C"/>
    <w:rsid w:val="00831B6C"/>
    <w:rsid w:val="00831FDF"/>
    <w:rsid w:val="008320AC"/>
    <w:rsid w:val="008322FE"/>
    <w:rsid w:val="0083278F"/>
    <w:rsid w:val="008333AB"/>
    <w:rsid w:val="00834086"/>
    <w:rsid w:val="008347B5"/>
    <w:rsid w:val="00835099"/>
    <w:rsid w:val="008362AD"/>
    <w:rsid w:val="0083636B"/>
    <w:rsid w:val="00836634"/>
    <w:rsid w:val="00836AFD"/>
    <w:rsid w:val="00836CF1"/>
    <w:rsid w:val="00836F59"/>
    <w:rsid w:val="00837165"/>
    <w:rsid w:val="008373CE"/>
    <w:rsid w:val="0083794D"/>
    <w:rsid w:val="00837BAE"/>
    <w:rsid w:val="0084047A"/>
    <w:rsid w:val="00840682"/>
    <w:rsid w:val="00840BE8"/>
    <w:rsid w:val="00841782"/>
    <w:rsid w:val="00842B4F"/>
    <w:rsid w:val="00843718"/>
    <w:rsid w:val="00843E92"/>
    <w:rsid w:val="00843FDF"/>
    <w:rsid w:val="008440A0"/>
    <w:rsid w:val="008444D5"/>
    <w:rsid w:val="00844AF9"/>
    <w:rsid w:val="00844D82"/>
    <w:rsid w:val="0084532C"/>
    <w:rsid w:val="0084556F"/>
    <w:rsid w:val="00847227"/>
    <w:rsid w:val="00847466"/>
    <w:rsid w:val="0084796A"/>
    <w:rsid w:val="0085024A"/>
    <w:rsid w:val="008514D5"/>
    <w:rsid w:val="00852ADA"/>
    <w:rsid w:val="00853012"/>
    <w:rsid w:val="0085369F"/>
    <w:rsid w:val="00853BEA"/>
    <w:rsid w:val="00853CD3"/>
    <w:rsid w:val="00854F2D"/>
    <w:rsid w:val="008552EC"/>
    <w:rsid w:val="008558EF"/>
    <w:rsid w:val="00855B71"/>
    <w:rsid w:val="00856947"/>
    <w:rsid w:val="008572D7"/>
    <w:rsid w:val="008576F5"/>
    <w:rsid w:val="00857CD6"/>
    <w:rsid w:val="00857F78"/>
    <w:rsid w:val="0086088F"/>
    <w:rsid w:val="0086093C"/>
    <w:rsid w:val="00860B28"/>
    <w:rsid w:val="00861089"/>
    <w:rsid w:val="00861A71"/>
    <w:rsid w:val="00861A74"/>
    <w:rsid w:val="00862EFB"/>
    <w:rsid w:val="008631CE"/>
    <w:rsid w:val="00863606"/>
    <w:rsid w:val="00863D53"/>
    <w:rsid w:val="008640F6"/>
    <w:rsid w:val="00864941"/>
    <w:rsid w:val="0086558E"/>
    <w:rsid w:val="00865F4D"/>
    <w:rsid w:val="008660B9"/>
    <w:rsid w:val="00866314"/>
    <w:rsid w:val="0086643E"/>
    <w:rsid w:val="00866CA4"/>
    <w:rsid w:val="00866D8E"/>
    <w:rsid w:val="008673D4"/>
    <w:rsid w:val="0086746F"/>
    <w:rsid w:val="00870E34"/>
    <w:rsid w:val="008718D3"/>
    <w:rsid w:val="00871F79"/>
    <w:rsid w:val="0087218A"/>
    <w:rsid w:val="00872262"/>
    <w:rsid w:val="00872D76"/>
    <w:rsid w:val="00872E82"/>
    <w:rsid w:val="00873143"/>
    <w:rsid w:val="00874084"/>
    <w:rsid w:val="00874133"/>
    <w:rsid w:val="00874799"/>
    <w:rsid w:val="0087619D"/>
    <w:rsid w:val="0087629C"/>
    <w:rsid w:val="00876829"/>
    <w:rsid w:val="00876E17"/>
    <w:rsid w:val="00877338"/>
    <w:rsid w:val="00877387"/>
    <w:rsid w:val="00877428"/>
    <w:rsid w:val="00877767"/>
    <w:rsid w:val="008777C4"/>
    <w:rsid w:val="00877FFA"/>
    <w:rsid w:val="00880632"/>
    <w:rsid w:val="00881183"/>
    <w:rsid w:val="00881847"/>
    <w:rsid w:val="00882B59"/>
    <w:rsid w:val="00882DE7"/>
    <w:rsid w:val="008833B8"/>
    <w:rsid w:val="008837AE"/>
    <w:rsid w:val="00883A1C"/>
    <w:rsid w:val="008847C2"/>
    <w:rsid w:val="0088481C"/>
    <w:rsid w:val="00884A53"/>
    <w:rsid w:val="008850A6"/>
    <w:rsid w:val="008854D0"/>
    <w:rsid w:val="00886AC6"/>
    <w:rsid w:val="0088723D"/>
    <w:rsid w:val="00887376"/>
    <w:rsid w:val="00890373"/>
    <w:rsid w:val="0089065A"/>
    <w:rsid w:val="0089092B"/>
    <w:rsid w:val="0089196C"/>
    <w:rsid w:val="00893230"/>
    <w:rsid w:val="008935B6"/>
    <w:rsid w:val="008937B1"/>
    <w:rsid w:val="00893C46"/>
    <w:rsid w:val="00894340"/>
    <w:rsid w:val="00894417"/>
    <w:rsid w:val="00895F4A"/>
    <w:rsid w:val="0089640B"/>
    <w:rsid w:val="00896D54"/>
    <w:rsid w:val="0089776A"/>
    <w:rsid w:val="008A0354"/>
    <w:rsid w:val="008A199A"/>
    <w:rsid w:val="008A1F0B"/>
    <w:rsid w:val="008A1FB1"/>
    <w:rsid w:val="008A2278"/>
    <w:rsid w:val="008A2461"/>
    <w:rsid w:val="008A2878"/>
    <w:rsid w:val="008A332A"/>
    <w:rsid w:val="008A33D9"/>
    <w:rsid w:val="008A34C4"/>
    <w:rsid w:val="008A3CAA"/>
    <w:rsid w:val="008A3CFB"/>
    <w:rsid w:val="008A41A4"/>
    <w:rsid w:val="008A43CC"/>
    <w:rsid w:val="008A479C"/>
    <w:rsid w:val="008A4C76"/>
    <w:rsid w:val="008A5193"/>
    <w:rsid w:val="008A54A8"/>
    <w:rsid w:val="008A590D"/>
    <w:rsid w:val="008A59DD"/>
    <w:rsid w:val="008A5CC3"/>
    <w:rsid w:val="008A5CDA"/>
    <w:rsid w:val="008A6265"/>
    <w:rsid w:val="008A641B"/>
    <w:rsid w:val="008A697A"/>
    <w:rsid w:val="008A6CDF"/>
    <w:rsid w:val="008A6E72"/>
    <w:rsid w:val="008A7ABB"/>
    <w:rsid w:val="008A7E32"/>
    <w:rsid w:val="008B034C"/>
    <w:rsid w:val="008B049D"/>
    <w:rsid w:val="008B0E75"/>
    <w:rsid w:val="008B1271"/>
    <w:rsid w:val="008B164E"/>
    <w:rsid w:val="008B28F9"/>
    <w:rsid w:val="008B30C3"/>
    <w:rsid w:val="008B346E"/>
    <w:rsid w:val="008B3D7D"/>
    <w:rsid w:val="008B4915"/>
    <w:rsid w:val="008B4A17"/>
    <w:rsid w:val="008B4FAB"/>
    <w:rsid w:val="008B6369"/>
    <w:rsid w:val="008B6CFC"/>
    <w:rsid w:val="008B7CC9"/>
    <w:rsid w:val="008C00FD"/>
    <w:rsid w:val="008C02BD"/>
    <w:rsid w:val="008C0945"/>
    <w:rsid w:val="008C0E51"/>
    <w:rsid w:val="008C0F35"/>
    <w:rsid w:val="008C1AE4"/>
    <w:rsid w:val="008C2E82"/>
    <w:rsid w:val="008C2F04"/>
    <w:rsid w:val="008C3298"/>
    <w:rsid w:val="008C364F"/>
    <w:rsid w:val="008C3CF3"/>
    <w:rsid w:val="008C4A44"/>
    <w:rsid w:val="008C4E54"/>
    <w:rsid w:val="008C5C97"/>
    <w:rsid w:val="008C5CC6"/>
    <w:rsid w:val="008C5E94"/>
    <w:rsid w:val="008C65D9"/>
    <w:rsid w:val="008C6C2D"/>
    <w:rsid w:val="008C7736"/>
    <w:rsid w:val="008C77DD"/>
    <w:rsid w:val="008D076E"/>
    <w:rsid w:val="008D0B90"/>
    <w:rsid w:val="008D1098"/>
    <w:rsid w:val="008D217A"/>
    <w:rsid w:val="008D2926"/>
    <w:rsid w:val="008D2A6B"/>
    <w:rsid w:val="008D2C41"/>
    <w:rsid w:val="008D2CAC"/>
    <w:rsid w:val="008D2D36"/>
    <w:rsid w:val="008D31E5"/>
    <w:rsid w:val="008D4566"/>
    <w:rsid w:val="008D459E"/>
    <w:rsid w:val="008D4EAF"/>
    <w:rsid w:val="008D5263"/>
    <w:rsid w:val="008D5384"/>
    <w:rsid w:val="008D66EF"/>
    <w:rsid w:val="008D732F"/>
    <w:rsid w:val="008D7772"/>
    <w:rsid w:val="008D7E92"/>
    <w:rsid w:val="008E07A2"/>
    <w:rsid w:val="008E08B0"/>
    <w:rsid w:val="008E08F6"/>
    <w:rsid w:val="008E15CC"/>
    <w:rsid w:val="008E186F"/>
    <w:rsid w:val="008E188F"/>
    <w:rsid w:val="008E2955"/>
    <w:rsid w:val="008E2B83"/>
    <w:rsid w:val="008E2F3E"/>
    <w:rsid w:val="008E3024"/>
    <w:rsid w:val="008E361C"/>
    <w:rsid w:val="008E389B"/>
    <w:rsid w:val="008E3AE6"/>
    <w:rsid w:val="008E405C"/>
    <w:rsid w:val="008E450C"/>
    <w:rsid w:val="008E46F3"/>
    <w:rsid w:val="008E489B"/>
    <w:rsid w:val="008E4961"/>
    <w:rsid w:val="008E4C90"/>
    <w:rsid w:val="008E5C85"/>
    <w:rsid w:val="008E5E5C"/>
    <w:rsid w:val="008E622E"/>
    <w:rsid w:val="008E6408"/>
    <w:rsid w:val="008E68E5"/>
    <w:rsid w:val="008E690F"/>
    <w:rsid w:val="008E758D"/>
    <w:rsid w:val="008E7BD6"/>
    <w:rsid w:val="008E7CEF"/>
    <w:rsid w:val="008F01D5"/>
    <w:rsid w:val="008F0425"/>
    <w:rsid w:val="008F0A9A"/>
    <w:rsid w:val="008F20F5"/>
    <w:rsid w:val="008F3650"/>
    <w:rsid w:val="008F3D95"/>
    <w:rsid w:val="008F402D"/>
    <w:rsid w:val="008F47E6"/>
    <w:rsid w:val="008F4817"/>
    <w:rsid w:val="008F499B"/>
    <w:rsid w:val="008F4E2B"/>
    <w:rsid w:val="008F6E29"/>
    <w:rsid w:val="008F7DC6"/>
    <w:rsid w:val="00900CEA"/>
    <w:rsid w:val="009028CE"/>
    <w:rsid w:val="00902A72"/>
    <w:rsid w:val="00902C59"/>
    <w:rsid w:val="009033CA"/>
    <w:rsid w:val="00903585"/>
    <w:rsid w:val="00903656"/>
    <w:rsid w:val="00903B19"/>
    <w:rsid w:val="00903DF5"/>
    <w:rsid w:val="0090422C"/>
    <w:rsid w:val="00904742"/>
    <w:rsid w:val="0090506E"/>
    <w:rsid w:val="009050BF"/>
    <w:rsid w:val="0090530E"/>
    <w:rsid w:val="00905463"/>
    <w:rsid w:val="009058A5"/>
    <w:rsid w:val="009069F2"/>
    <w:rsid w:val="00906B2D"/>
    <w:rsid w:val="00906E24"/>
    <w:rsid w:val="009073AA"/>
    <w:rsid w:val="009101B6"/>
    <w:rsid w:val="009101E0"/>
    <w:rsid w:val="00911A82"/>
    <w:rsid w:val="0091209C"/>
    <w:rsid w:val="00912429"/>
    <w:rsid w:val="009129E8"/>
    <w:rsid w:val="009159AC"/>
    <w:rsid w:val="00915C01"/>
    <w:rsid w:val="009170C2"/>
    <w:rsid w:val="00920AD4"/>
    <w:rsid w:val="009213A7"/>
    <w:rsid w:val="0092182D"/>
    <w:rsid w:val="00921A76"/>
    <w:rsid w:val="009220AC"/>
    <w:rsid w:val="00922469"/>
    <w:rsid w:val="00922505"/>
    <w:rsid w:val="00922749"/>
    <w:rsid w:val="0092336E"/>
    <w:rsid w:val="00923A03"/>
    <w:rsid w:val="00923C0B"/>
    <w:rsid w:val="00923DA6"/>
    <w:rsid w:val="00923ED9"/>
    <w:rsid w:val="0092424F"/>
    <w:rsid w:val="00924512"/>
    <w:rsid w:val="00924551"/>
    <w:rsid w:val="00925711"/>
    <w:rsid w:val="009257A8"/>
    <w:rsid w:val="0092602B"/>
    <w:rsid w:val="0092676E"/>
    <w:rsid w:val="00926B51"/>
    <w:rsid w:val="00930109"/>
    <w:rsid w:val="00930926"/>
    <w:rsid w:val="00930C68"/>
    <w:rsid w:val="00930E05"/>
    <w:rsid w:val="00930E5E"/>
    <w:rsid w:val="00930EFD"/>
    <w:rsid w:val="009320D2"/>
    <w:rsid w:val="0093227F"/>
    <w:rsid w:val="00932455"/>
    <w:rsid w:val="00932691"/>
    <w:rsid w:val="009330C8"/>
    <w:rsid w:val="009331C1"/>
    <w:rsid w:val="0093338C"/>
    <w:rsid w:val="00933905"/>
    <w:rsid w:val="00934C05"/>
    <w:rsid w:val="00934E64"/>
    <w:rsid w:val="0093516F"/>
    <w:rsid w:val="009353BC"/>
    <w:rsid w:val="00935E8D"/>
    <w:rsid w:val="00935FCB"/>
    <w:rsid w:val="00936C26"/>
    <w:rsid w:val="00936EAB"/>
    <w:rsid w:val="00937352"/>
    <w:rsid w:val="00937F21"/>
    <w:rsid w:val="00941366"/>
    <w:rsid w:val="009413AC"/>
    <w:rsid w:val="009417D8"/>
    <w:rsid w:val="00941D42"/>
    <w:rsid w:val="00941DAE"/>
    <w:rsid w:val="00941DBB"/>
    <w:rsid w:val="00941E97"/>
    <w:rsid w:val="00942436"/>
    <w:rsid w:val="00942686"/>
    <w:rsid w:val="00942BD1"/>
    <w:rsid w:val="00944036"/>
    <w:rsid w:val="009447EC"/>
    <w:rsid w:val="00944E7B"/>
    <w:rsid w:val="00945AC3"/>
    <w:rsid w:val="00947048"/>
    <w:rsid w:val="00947167"/>
    <w:rsid w:val="009471AC"/>
    <w:rsid w:val="0094736D"/>
    <w:rsid w:val="00947CCE"/>
    <w:rsid w:val="0095023A"/>
    <w:rsid w:val="009505D5"/>
    <w:rsid w:val="009506DA"/>
    <w:rsid w:val="009507BB"/>
    <w:rsid w:val="0095139E"/>
    <w:rsid w:val="00951B0B"/>
    <w:rsid w:val="00951CDE"/>
    <w:rsid w:val="00952CA5"/>
    <w:rsid w:val="00952F8A"/>
    <w:rsid w:val="009543D8"/>
    <w:rsid w:val="0095533E"/>
    <w:rsid w:val="00955FE0"/>
    <w:rsid w:val="0095698A"/>
    <w:rsid w:val="00956E42"/>
    <w:rsid w:val="00957125"/>
    <w:rsid w:val="009573A5"/>
    <w:rsid w:val="0095751F"/>
    <w:rsid w:val="00957754"/>
    <w:rsid w:val="00957B80"/>
    <w:rsid w:val="00957BCB"/>
    <w:rsid w:val="00957C59"/>
    <w:rsid w:val="00960288"/>
    <w:rsid w:val="0096038E"/>
    <w:rsid w:val="00960489"/>
    <w:rsid w:val="009604B2"/>
    <w:rsid w:val="009607BF"/>
    <w:rsid w:val="009608CE"/>
    <w:rsid w:val="009611A3"/>
    <w:rsid w:val="00961473"/>
    <w:rsid w:val="009618A3"/>
    <w:rsid w:val="00961B44"/>
    <w:rsid w:val="00961C2D"/>
    <w:rsid w:val="009620AF"/>
    <w:rsid w:val="00962263"/>
    <w:rsid w:val="009623B0"/>
    <w:rsid w:val="00962560"/>
    <w:rsid w:val="00962590"/>
    <w:rsid w:val="00962D6F"/>
    <w:rsid w:val="009639E9"/>
    <w:rsid w:val="00964E42"/>
    <w:rsid w:val="00965058"/>
    <w:rsid w:val="00965272"/>
    <w:rsid w:val="009652FC"/>
    <w:rsid w:val="0096542F"/>
    <w:rsid w:val="00965439"/>
    <w:rsid w:val="00965AF2"/>
    <w:rsid w:val="00966453"/>
    <w:rsid w:val="0096651A"/>
    <w:rsid w:val="009672F0"/>
    <w:rsid w:val="0096731E"/>
    <w:rsid w:val="009676A9"/>
    <w:rsid w:val="009677C6"/>
    <w:rsid w:val="00970CCB"/>
    <w:rsid w:val="009723BF"/>
    <w:rsid w:val="009723EA"/>
    <w:rsid w:val="009727FD"/>
    <w:rsid w:val="00972857"/>
    <w:rsid w:val="00972B9C"/>
    <w:rsid w:val="00972E17"/>
    <w:rsid w:val="00973659"/>
    <w:rsid w:val="00973762"/>
    <w:rsid w:val="009746C0"/>
    <w:rsid w:val="00974997"/>
    <w:rsid w:val="00974B20"/>
    <w:rsid w:val="009750A1"/>
    <w:rsid w:val="009762EF"/>
    <w:rsid w:val="00976F12"/>
    <w:rsid w:val="009775A0"/>
    <w:rsid w:val="009804BB"/>
    <w:rsid w:val="0098207B"/>
    <w:rsid w:val="009831A0"/>
    <w:rsid w:val="00983490"/>
    <w:rsid w:val="00983567"/>
    <w:rsid w:val="00984B21"/>
    <w:rsid w:val="0098518D"/>
    <w:rsid w:val="0098526D"/>
    <w:rsid w:val="0098588B"/>
    <w:rsid w:val="00985B59"/>
    <w:rsid w:val="00986423"/>
    <w:rsid w:val="0098659B"/>
    <w:rsid w:val="00986890"/>
    <w:rsid w:val="009868BC"/>
    <w:rsid w:val="00986982"/>
    <w:rsid w:val="00987471"/>
    <w:rsid w:val="009875A9"/>
    <w:rsid w:val="0098788E"/>
    <w:rsid w:val="00987C44"/>
    <w:rsid w:val="00987FBE"/>
    <w:rsid w:val="00990B9E"/>
    <w:rsid w:val="00990DF3"/>
    <w:rsid w:val="00991887"/>
    <w:rsid w:val="00991DEF"/>
    <w:rsid w:val="0099205F"/>
    <w:rsid w:val="00992CA6"/>
    <w:rsid w:val="00993332"/>
    <w:rsid w:val="00993EF0"/>
    <w:rsid w:val="009941B4"/>
    <w:rsid w:val="009943EB"/>
    <w:rsid w:val="009948A7"/>
    <w:rsid w:val="00994D82"/>
    <w:rsid w:val="009957B2"/>
    <w:rsid w:val="00995EB2"/>
    <w:rsid w:val="00996368"/>
    <w:rsid w:val="00996BC5"/>
    <w:rsid w:val="009A02D4"/>
    <w:rsid w:val="009A0A19"/>
    <w:rsid w:val="009A149E"/>
    <w:rsid w:val="009A226E"/>
    <w:rsid w:val="009A2345"/>
    <w:rsid w:val="009A24AB"/>
    <w:rsid w:val="009A2509"/>
    <w:rsid w:val="009A25FA"/>
    <w:rsid w:val="009A288F"/>
    <w:rsid w:val="009A29D5"/>
    <w:rsid w:val="009A2EF4"/>
    <w:rsid w:val="009A39DD"/>
    <w:rsid w:val="009A3A6E"/>
    <w:rsid w:val="009A3B5B"/>
    <w:rsid w:val="009A3BA0"/>
    <w:rsid w:val="009A3BBD"/>
    <w:rsid w:val="009A3E36"/>
    <w:rsid w:val="009A42FF"/>
    <w:rsid w:val="009A4406"/>
    <w:rsid w:val="009A486E"/>
    <w:rsid w:val="009A4FED"/>
    <w:rsid w:val="009A5134"/>
    <w:rsid w:val="009A6A98"/>
    <w:rsid w:val="009B0410"/>
    <w:rsid w:val="009B092F"/>
    <w:rsid w:val="009B2055"/>
    <w:rsid w:val="009B2371"/>
    <w:rsid w:val="009B2821"/>
    <w:rsid w:val="009B29FE"/>
    <w:rsid w:val="009B3265"/>
    <w:rsid w:val="009B3DA9"/>
    <w:rsid w:val="009B3E9A"/>
    <w:rsid w:val="009B44A4"/>
    <w:rsid w:val="009B4BCC"/>
    <w:rsid w:val="009B4EA0"/>
    <w:rsid w:val="009B5680"/>
    <w:rsid w:val="009B5877"/>
    <w:rsid w:val="009B5879"/>
    <w:rsid w:val="009B591E"/>
    <w:rsid w:val="009B5984"/>
    <w:rsid w:val="009B5DFB"/>
    <w:rsid w:val="009B62A9"/>
    <w:rsid w:val="009B6A42"/>
    <w:rsid w:val="009B6C1D"/>
    <w:rsid w:val="009B6E67"/>
    <w:rsid w:val="009B7A2E"/>
    <w:rsid w:val="009C06EA"/>
    <w:rsid w:val="009C09C7"/>
    <w:rsid w:val="009C15A8"/>
    <w:rsid w:val="009C2556"/>
    <w:rsid w:val="009C3721"/>
    <w:rsid w:val="009C3733"/>
    <w:rsid w:val="009C3B77"/>
    <w:rsid w:val="009C47CD"/>
    <w:rsid w:val="009C4B5C"/>
    <w:rsid w:val="009C4CE7"/>
    <w:rsid w:val="009C4E92"/>
    <w:rsid w:val="009C562E"/>
    <w:rsid w:val="009C64F6"/>
    <w:rsid w:val="009C6650"/>
    <w:rsid w:val="009C6E24"/>
    <w:rsid w:val="009C6F84"/>
    <w:rsid w:val="009C7A03"/>
    <w:rsid w:val="009C7E60"/>
    <w:rsid w:val="009D0743"/>
    <w:rsid w:val="009D082C"/>
    <w:rsid w:val="009D165A"/>
    <w:rsid w:val="009D241E"/>
    <w:rsid w:val="009D2496"/>
    <w:rsid w:val="009D2723"/>
    <w:rsid w:val="009D36D6"/>
    <w:rsid w:val="009D3B30"/>
    <w:rsid w:val="009D4821"/>
    <w:rsid w:val="009D4AA2"/>
    <w:rsid w:val="009D4FA7"/>
    <w:rsid w:val="009D51CE"/>
    <w:rsid w:val="009D529A"/>
    <w:rsid w:val="009D5441"/>
    <w:rsid w:val="009D5A57"/>
    <w:rsid w:val="009D5E7F"/>
    <w:rsid w:val="009D5E9A"/>
    <w:rsid w:val="009D64B0"/>
    <w:rsid w:val="009D697F"/>
    <w:rsid w:val="009D6A79"/>
    <w:rsid w:val="009D76BC"/>
    <w:rsid w:val="009E07E9"/>
    <w:rsid w:val="009E08E2"/>
    <w:rsid w:val="009E0A77"/>
    <w:rsid w:val="009E0FD8"/>
    <w:rsid w:val="009E1B2A"/>
    <w:rsid w:val="009E1BAA"/>
    <w:rsid w:val="009E2AC3"/>
    <w:rsid w:val="009E2D66"/>
    <w:rsid w:val="009E2DF3"/>
    <w:rsid w:val="009E304B"/>
    <w:rsid w:val="009E30D5"/>
    <w:rsid w:val="009E3E25"/>
    <w:rsid w:val="009E42F0"/>
    <w:rsid w:val="009E4946"/>
    <w:rsid w:val="009E5159"/>
    <w:rsid w:val="009E58BE"/>
    <w:rsid w:val="009E58EF"/>
    <w:rsid w:val="009E5A20"/>
    <w:rsid w:val="009E6157"/>
    <w:rsid w:val="009E662D"/>
    <w:rsid w:val="009E7085"/>
    <w:rsid w:val="009E75A0"/>
    <w:rsid w:val="009F001E"/>
    <w:rsid w:val="009F0D5D"/>
    <w:rsid w:val="009F0ECE"/>
    <w:rsid w:val="009F110A"/>
    <w:rsid w:val="009F2001"/>
    <w:rsid w:val="009F204D"/>
    <w:rsid w:val="009F2CF7"/>
    <w:rsid w:val="009F36C3"/>
    <w:rsid w:val="009F3713"/>
    <w:rsid w:val="009F3D60"/>
    <w:rsid w:val="009F4195"/>
    <w:rsid w:val="009F42E1"/>
    <w:rsid w:val="009F43B7"/>
    <w:rsid w:val="009F458B"/>
    <w:rsid w:val="009F4BA9"/>
    <w:rsid w:val="009F511D"/>
    <w:rsid w:val="009F56AF"/>
    <w:rsid w:val="009F5724"/>
    <w:rsid w:val="009F576D"/>
    <w:rsid w:val="009F57E4"/>
    <w:rsid w:val="009F5B33"/>
    <w:rsid w:val="009F6627"/>
    <w:rsid w:val="009F7194"/>
    <w:rsid w:val="009F7284"/>
    <w:rsid w:val="009F7BDF"/>
    <w:rsid w:val="00A00CA8"/>
    <w:rsid w:val="00A00F58"/>
    <w:rsid w:val="00A02022"/>
    <w:rsid w:val="00A0306C"/>
    <w:rsid w:val="00A0309F"/>
    <w:rsid w:val="00A03792"/>
    <w:rsid w:val="00A03DE9"/>
    <w:rsid w:val="00A04150"/>
    <w:rsid w:val="00A050CE"/>
    <w:rsid w:val="00A055AE"/>
    <w:rsid w:val="00A058DF"/>
    <w:rsid w:val="00A05A33"/>
    <w:rsid w:val="00A05AC0"/>
    <w:rsid w:val="00A06711"/>
    <w:rsid w:val="00A067FE"/>
    <w:rsid w:val="00A06ADC"/>
    <w:rsid w:val="00A0706E"/>
    <w:rsid w:val="00A07413"/>
    <w:rsid w:val="00A0742C"/>
    <w:rsid w:val="00A07DF7"/>
    <w:rsid w:val="00A11166"/>
    <w:rsid w:val="00A116CE"/>
    <w:rsid w:val="00A1174B"/>
    <w:rsid w:val="00A11BF1"/>
    <w:rsid w:val="00A129FF"/>
    <w:rsid w:val="00A132B3"/>
    <w:rsid w:val="00A13363"/>
    <w:rsid w:val="00A13981"/>
    <w:rsid w:val="00A13A41"/>
    <w:rsid w:val="00A13AA5"/>
    <w:rsid w:val="00A14065"/>
    <w:rsid w:val="00A15D6D"/>
    <w:rsid w:val="00A15FC0"/>
    <w:rsid w:val="00A16063"/>
    <w:rsid w:val="00A165A3"/>
    <w:rsid w:val="00A172B5"/>
    <w:rsid w:val="00A175BA"/>
    <w:rsid w:val="00A20283"/>
    <w:rsid w:val="00A20554"/>
    <w:rsid w:val="00A205B8"/>
    <w:rsid w:val="00A20BE9"/>
    <w:rsid w:val="00A2108C"/>
    <w:rsid w:val="00A22ADF"/>
    <w:rsid w:val="00A236DE"/>
    <w:rsid w:val="00A236FA"/>
    <w:rsid w:val="00A239F7"/>
    <w:rsid w:val="00A23E16"/>
    <w:rsid w:val="00A24A89"/>
    <w:rsid w:val="00A25108"/>
    <w:rsid w:val="00A25F56"/>
    <w:rsid w:val="00A26018"/>
    <w:rsid w:val="00A26898"/>
    <w:rsid w:val="00A26CD5"/>
    <w:rsid w:val="00A26E0D"/>
    <w:rsid w:val="00A30705"/>
    <w:rsid w:val="00A30917"/>
    <w:rsid w:val="00A30D29"/>
    <w:rsid w:val="00A32317"/>
    <w:rsid w:val="00A33266"/>
    <w:rsid w:val="00A333B1"/>
    <w:rsid w:val="00A33B72"/>
    <w:rsid w:val="00A3464F"/>
    <w:rsid w:val="00A356A1"/>
    <w:rsid w:val="00A35E1F"/>
    <w:rsid w:val="00A35F8A"/>
    <w:rsid w:val="00A366EE"/>
    <w:rsid w:val="00A3673B"/>
    <w:rsid w:val="00A369B9"/>
    <w:rsid w:val="00A36FA1"/>
    <w:rsid w:val="00A375DA"/>
    <w:rsid w:val="00A378A6"/>
    <w:rsid w:val="00A37FD3"/>
    <w:rsid w:val="00A409B0"/>
    <w:rsid w:val="00A41528"/>
    <w:rsid w:val="00A41BB7"/>
    <w:rsid w:val="00A422B4"/>
    <w:rsid w:val="00A42B5E"/>
    <w:rsid w:val="00A42B64"/>
    <w:rsid w:val="00A42F73"/>
    <w:rsid w:val="00A4302A"/>
    <w:rsid w:val="00A43816"/>
    <w:rsid w:val="00A43F95"/>
    <w:rsid w:val="00A44032"/>
    <w:rsid w:val="00A444F2"/>
    <w:rsid w:val="00A445EF"/>
    <w:rsid w:val="00A44B0D"/>
    <w:rsid w:val="00A45332"/>
    <w:rsid w:val="00A45767"/>
    <w:rsid w:val="00A458D1"/>
    <w:rsid w:val="00A45A90"/>
    <w:rsid w:val="00A46515"/>
    <w:rsid w:val="00A46963"/>
    <w:rsid w:val="00A46AF3"/>
    <w:rsid w:val="00A46C47"/>
    <w:rsid w:val="00A46D31"/>
    <w:rsid w:val="00A46EC7"/>
    <w:rsid w:val="00A4751E"/>
    <w:rsid w:val="00A47531"/>
    <w:rsid w:val="00A47ACC"/>
    <w:rsid w:val="00A5021B"/>
    <w:rsid w:val="00A50358"/>
    <w:rsid w:val="00A505A0"/>
    <w:rsid w:val="00A50BB7"/>
    <w:rsid w:val="00A50DBE"/>
    <w:rsid w:val="00A50E3E"/>
    <w:rsid w:val="00A51024"/>
    <w:rsid w:val="00A511D2"/>
    <w:rsid w:val="00A51320"/>
    <w:rsid w:val="00A513A0"/>
    <w:rsid w:val="00A51540"/>
    <w:rsid w:val="00A51964"/>
    <w:rsid w:val="00A51B3E"/>
    <w:rsid w:val="00A5262C"/>
    <w:rsid w:val="00A527BD"/>
    <w:rsid w:val="00A52F71"/>
    <w:rsid w:val="00A5310A"/>
    <w:rsid w:val="00A5310E"/>
    <w:rsid w:val="00A537C5"/>
    <w:rsid w:val="00A54391"/>
    <w:rsid w:val="00A5441D"/>
    <w:rsid w:val="00A55017"/>
    <w:rsid w:val="00A5571C"/>
    <w:rsid w:val="00A55A57"/>
    <w:rsid w:val="00A55DC3"/>
    <w:rsid w:val="00A56955"/>
    <w:rsid w:val="00A57B0B"/>
    <w:rsid w:val="00A57CCC"/>
    <w:rsid w:val="00A602DC"/>
    <w:rsid w:val="00A6036D"/>
    <w:rsid w:val="00A60ADE"/>
    <w:rsid w:val="00A614EA"/>
    <w:rsid w:val="00A61B43"/>
    <w:rsid w:val="00A62EA3"/>
    <w:rsid w:val="00A631F8"/>
    <w:rsid w:val="00A64224"/>
    <w:rsid w:val="00A64A1E"/>
    <w:rsid w:val="00A64B07"/>
    <w:rsid w:val="00A65613"/>
    <w:rsid w:val="00A65884"/>
    <w:rsid w:val="00A65CA8"/>
    <w:rsid w:val="00A65D21"/>
    <w:rsid w:val="00A66867"/>
    <w:rsid w:val="00A670B7"/>
    <w:rsid w:val="00A67897"/>
    <w:rsid w:val="00A67958"/>
    <w:rsid w:val="00A67F63"/>
    <w:rsid w:val="00A703F4"/>
    <w:rsid w:val="00A7124D"/>
    <w:rsid w:val="00A71539"/>
    <w:rsid w:val="00A72096"/>
    <w:rsid w:val="00A72D64"/>
    <w:rsid w:val="00A72E26"/>
    <w:rsid w:val="00A72F0B"/>
    <w:rsid w:val="00A7310D"/>
    <w:rsid w:val="00A73760"/>
    <w:rsid w:val="00A740A1"/>
    <w:rsid w:val="00A74259"/>
    <w:rsid w:val="00A7479B"/>
    <w:rsid w:val="00A74AFD"/>
    <w:rsid w:val="00A74F00"/>
    <w:rsid w:val="00A74F27"/>
    <w:rsid w:val="00A7520F"/>
    <w:rsid w:val="00A753C6"/>
    <w:rsid w:val="00A76133"/>
    <w:rsid w:val="00A76426"/>
    <w:rsid w:val="00A7676E"/>
    <w:rsid w:val="00A771A4"/>
    <w:rsid w:val="00A773A9"/>
    <w:rsid w:val="00A77848"/>
    <w:rsid w:val="00A8005B"/>
    <w:rsid w:val="00A80550"/>
    <w:rsid w:val="00A80993"/>
    <w:rsid w:val="00A80BE3"/>
    <w:rsid w:val="00A81A5A"/>
    <w:rsid w:val="00A83ABF"/>
    <w:rsid w:val="00A849F6"/>
    <w:rsid w:val="00A8537B"/>
    <w:rsid w:val="00A8590E"/>
    <w:rsid w:val="00A85BAC"/>
    <w:rsid w:val="00A85C67"/>
    <w:rsid w:val="00A85C83"/>
    <w:rsid w:val="00A86581"/>
    <w:rsid w:val="00A867B0"/>
    <w:rsid w:val="00A86BC2"/>
    <w:rsid w:val="00A86D66"/>
    <w:rsid w:val="00A87338"/>
    <w:rsid w:val="00A87AF9"/>
    <w:rsid w:val="00A87BDD"/>
    <w:rsid w:val="00A87F77"/>
    <w:rsid w:val="00A90453"/>
    <w:rsid w:val="00A90CEB"/>
    <w:rsid w:val="00A90FC2"/>
    <w:rsid w:val="00A913D5"/>
    <w:rsid w:val="00A92976"/>
    <w:rsid w:val="00A92E13"/>
    <w:rsid w:val="00A9315A"/>
    <w:rsid w:val="00A93228"/>
    <w:rsid w:val="00A93495"/>
    <w:rsid w:val="00A93622"/>
    <w:rsid w:val="00A93805"/>
    <w:rsid w:val="00A93ADB"/>
    <w:rsid w:val="00A940F5"/>
    <w:rsid w:val="00A9419A"/>
    <w:rsid w:val="00A94347"/>
    <w:rsid w:val="00A9484B"/>
    <w:rsid w:val="00A95D1A"/>
    <w:rsid w:val="00AA0086"/>
    <w:rsid w:val="00AA0379"/>
    <w:rsid w:val="00AA0A76"/>
    <w:rsid w:val="00AA0CB9"/>
    <w:rsid w:val="00AA1549"/>
    <w:rsid w:val="00AA2136"/>
    <w:rsid w:val="00AA2B7B"/>
    <w:rsid w:val="00AA3102"/>
    <w:rsid w:val="00AA3270"/>
    <w:rsid w:val="00AA3AA8"/>
    <w:rsid w:val="00AA3F11"/>
    <w:rsid w:val="00AA58DF"/>
    <w:rsid w:val="00AA5C5C"/>
    <w:rsid w:val="00AA64D2"/>
    <w:rsid w:val="00AA6EFC"/>
    <w:rsid w:val="00AA7174"/>
    <w:rsid w:val="00AA7E89"/>
    <w:rsid w:val="00AB0064"/>
    <w:rsid w:val="00AB0313"/>
    <w:rsid w:val="00AB032E"/>
    <w:rsid w:val="00AB07EE"/>
    <w:rsid w:val="00AB09D8"/>
    <w:rsid w:val="00AB1162"/>
    <w:rsid w:val="00AB15FE"/>
    <w:rsid w:val="00AB16F6"/>
    <w:rsid w:val="00AB1814"/>
    <w:rsid w:val="00AB18BC"/>
    <w:rsid w:val="00AB2382"/>
    <w:rsid w:val="00AB2759"/>
    <w:rsid w:val="00AB3172"/>
    <w:rsid w:val="00AB34F4"/>
    <w:rsid w:val="00AB3A48"/>
    <w:rsid w:val="00AB3ADE"/>
    <w:rsid w:val="00AB3EB3"/>
    <w:rsid w:val="00AB4862"/>
    <w:rsid w:val="00AB545A"/>
    <w:rsid w:val="00AB63DB"/>
    <w:rsid w:val="00AB69B8"/>
    <w:rsid w:val="00AB6C21"/>
    <w:rsid w:val="00AB6F86"/>
    <w:rsid w:val="00AB6FF6"/>
    <w:rsid w:val="00AB75BB"/>
    <w:rsid w:val="00AB7908"/>
    <w:rsid w:val="00AB79E1"/>
    <w:rsid w:val="00AC0114"/>
    <w:rsid w:val="00AC018C"/>
    <w:rsid w:val="00AC0993"/>
    <w:rsid w:val="00AC0AFA"/>
    <w:rsid w:val="00AC0B12"/>
    <w:rsid w:val="00AC0BB6"/>
    <w:rsid w:val="00AC0C0E"/>
    <w:rsid w:val="00AC1B65"/>
    <w:rsid w:val="00AC3598"/>
    <w:rsid w:val="00AC3872"/>
    <w:rsid w:val="00AC49E9"/>
    <w:rsid w:val="00AC5240"/>
    <w:rsid w:val="00AC65DD"/>
    <w:rsid w:val="00AC6A91"/>
    <w:rsid w:val="00AC6BE2"/>
    <w:rsid w:val="00AC6E7C"/>
    <w:rsid w:val="00AC7086"/>
    <w:rsid w:val="00AC71C6"/>
    <w:rsid w:val="00AC7A88"/>
    <w:rsid w:val="00AC7AD4"/>
    <w:rsid w:val="00AC7D16"/>
    <w:rsid w:val="00AC7FB2"/>
    <w:rsid w:val="00AD03E4"/>
    <w:rsid w:val="00AD1063"/>
    <w:rsid w:val="00AD10B6"/>
    <w:rsid w:val="00AD1726"/>
    <w:rsid w:val="00AD18FD"/>
    <w:rsid w:val="00AD2193"/>
    <w:rsid w:val="00AD2C92"/>
    <w:rsid w:val="00AD2CDE"/>
    <w:rsid w:val="00AD3075"/>
    <w:rsid w:val="00AD38B2"/>
    <w:rsid w:val="00AD3BB0"/>
    <w:rsid w:val="00AD452B"/>
    <w:rsid w:val="00AD4F55"/>
    <w:rsid w:val="00AD504D"/>
    <w:rsid w:val="00AD5161"/>
    <w:rsid w:val="00AD5A68"/>
    <w:rsid w:val="00AD6158"/>
    <w:rsid w:val="00AD72A5"/>
    <w:rsid w:val="00AD7AD8"/>
    <w:rsid w:val="00AD7EEC"/>
    <w:rsid w:val="00AE0558"/>
    <w:rsid w:val="00AE0653"/>
    <w:rsid w:val="00AE0A90"/>
    <w:rsid w:val="00AE15BB"/>
    <w:rsid w:val="00AE2013"/>
    <w:rsid w:val="00AE288C"/>
    <w:rsid w:val="00AE2C0C"/>
    <w:rsid w:val="00AE3144"/>
    <w:rsid w:val="00AE33BE"/>
    <w:rsid w:val="00AE35FC"/>
    <w:rsid w:val="00AE416A"/>
    <w:rsid w:val="00AE4AD4"/>
    <w:rsid w:val="00AE5384"/>
    <w:rsid w:val="00AE57C0"/>
    <w:rsid w:val="00AE6170"/>
    <w:rsid w:val="00AF0255"/>
    <w:rsid w:val="00AF05E0"/>
    <w:rsid w:val="00AF0613"/>
    <w:rsid w:val="00AF070A"/>
    <w:rsid w:val="00AF0984"/>
    <w:rsid w:val="00AF1376"/>
    <w:rsid w:val="00AF13B4"/>
    <w:rsid w:val="00AF14F9"/>
    <w:rsid w:val="00AF2D29"/>
    <w:rsid w:val="00AF32C6"/>
    <w:rsid w:val="00AF3C3B"/>
    <w:rsid w:val="00AF4B54"/>
    <w:rsid w:val="00AF5461"/>
    <w:rsid w:val="00AF5C08"/>
    <w:rsid w:val="00AF629C"/>
    <w:rsid w:val="00AF7023"/>
    <w:rsid w:val="00AF78A7"/>
    <w:rsid w:val="00B00E5D"/>
    <w:rsid w:val="00B018E8"/>
    <w:rsid w:val="00B026B7"/>
    <w:rsid w:val="00B03915"/>
    <w:rsid w:val="00B04495"/>
    <w:rsid w:val="00B04F80"/>
    <w:rsid w:val="00B05874"/>
    <w:rsid w:val="00B06CA7"/>
    <w:rsid w:val="00B072B5"/>
    <w:rsid w:val="00B072E6"/>
    <w:rsid w:val="00B07A12"/>
    <w:rsid w:val="00B102CE"/>
    <w:rsid w:val="00B10978"/>
    <w:rsid w:val="00B10E48"/>
    <w:rsid w:val="00B10EDB"/>
    <w:rsid w:val="00B11633"/>
    <w:rsid w:val="00B12337"/>
    <w:rsid w:val="00B1265F"/>
    <w:rsid w:val="00B129C8"/>
    <w:rsid w:val="00B13DA2"/>
    <w:rsid w:val="00B13E7B"/>
    <w:rsid w:val="00B1411D"/>
    <w:rsid w:val="00B14541"/>
    <w:rsid w:val="00B152E6"/>
    <w:rsid w:val="00B155A9"/>
    <w:rsid w:val="00B162A8"/>
    <w:rsid w:val="00B1790E"/>
    <w:rsid w:val="00B17B53"/>
    <w:rsid w:val="00B17BE3"/>
    <w:rsid w:val="00B17E63"/>
    <w:rsid w:val="00B2010D"/>
    <w:rsid w:val="00B203FA"/>
    <w:rsid w:val="00B209FE"/>
    <w:rsid w:val="00B21778"/>
    <w:rsid w:val="00B218DE"/>
    <w:rsid w:val="00B219CE"/>
    <w:rsid w:val="00B21F88"/>
    <w:rsid w:val="00B22D69"/>
    <w:rsid w:val="00B23085"/>
    <w:rsid w:val="00B24450"/>
    <w:rsid w:val="00B24598"/>
    <w:rsid w:val="00B248AD"/>
    <w:rsid w:val="00B249A2"/>
    <w:rsid w:val="00B257FC"/>
    <w:rsid w:val="00B26720"/>
    <w:rsid w:val="00B2747C"/>
    <w:rsid w:val="00B27BFA"/>
    <w:rsid w:val="00B31510"/>
    <w:rsid w:val="00B31D75"/>
    <w:rsid w:val="00B33468"/>
    <w:rsid w:val="00B33832"/>
    <w:rsid w:val="00B338C3"/>
    <w:rsid w:val="00B33BFB"/>
    <w:rsid w:val="00B3446C"/>
    <w:rsid w:val="00B3590A"/>
    <w:rsid w:val="00B35DCB"/>
    <w:rsid w:val="00B36CBA"/>
    <w:rsid w:val="00B4047F"/>
    <w:rsid w:val="00B40C61"/>
    <w:rsid w:val="00B42A06"/>
    <w:rsid w:val="00B42ACC"/>
    <w:rsid w:val="00B42AD8"/>
    <w:rsid w:val="00B42AFC"/>
    <w:rsid w:val="00B42CED"/>
    <w:rsid w:val="00B437CE"/>
    <w:rsid w:val="00B43E13"/>
    <w:rsid w:val="00B44F82"/>
    <w:rsid w:val="00B4507F"/>
    <w:rsid w:val="00B4555E"/>
    <w:rsid w:val="00B45CDD"/>
    <w:rsid w:val="00B46130"/>
    <w:rsid w:val="00B466C5"/>
    <w:rsid w:val="00B46CCB"/>
    <w:rsid w:val="00B47BE7"/>
    <w:rsid w:val="00B50988"/>
    <w:rsid w:val="00B511FA"/>
    <w:rsid w:val="00B5144F"/>
    <w:rsid w:val="00B5150F"/>
    <w:rsid w:val="00B51C66"/>
    <w:rsid w:val="00B520CF"/>
    <w:rsid w:val="00B533B4"/>
    <w:rsid w:val="00B537CA"/>
    <w:rsid w:val="00B54900"/>
    <w:rsid w:val="00B54B62"/>
    <w:rsid w:val="00B54D1E"/>
    <w:rsid w:val="00B55585"/>
    <w:rsid w:val="00B562FB"/>
    <w:rsid w:val="00B569B0"/>
    <w:rsid w:val="00B56F2C"/>
    <w:rsid w:val="00B61134"/>
    <w:rsid w:val="00B61200"/>
    <w:rsid w:val="00B612B0"/>
    <w:rsid w:val="00B617E8"/>
    <w:rsid w:val="00B61B5B"/>
    <w:rsid w:val="00B6208F"/>
    <w:rsid w:val="00B622AD"/>
    <w:rsid w:val="00B625FA"/>
    <w:rsid w:val="00B6263F"/>
    <w:rsid w:val="00B62705"/>
    <w:rsid w:val="00B62940"/>
    <w:rsid w:val="00B62ABC"/>
    <w:rsid w:val="00B636F6"/>
    <w:rsid w:val="00B637DC"/>
    <w:rsid w:val="00B63999"/>
    <w:rsid w:val="00B63DE0"/>
    <w:rsid w:val="00B640AB"/>
    <w:rsid w:val="00B641FB"/>
    <w:rsid w:val="00B64218"/>
    <w:rsid w:val="00B649FE"/>
    <w:rsid w:val="00B650DC"/>
    <w:rsid w:val="00B6554F"/>
    <w:rsid w:val="00B658A1"/>
    <w:rsid w:val="00B65EE3"/>
    <w:rsid w:val="00B66322"/>
    <w:rsid w:val="00B6636D"/>
    <w:rsid w:val="00B6707A"/>
    <w:rsid w:val="00B673B1"/>
    <w:rsid w:val="00B673E6"/>
    <w:rsid w:val="00B676C2"/>
    <w:rsid w:val="00B67A36"/>
    <w:rsid w:val="00B67DD9"/>
    <w:rsid w:val="00B700B7"/>
    <w:rsid w:val="00B7011A"/>
    <w:rsid w:val="00B707AD"/>
    <w:rsid w:val="00B70D7D"/>
    <w:rsid w:val="00B712B5"/>
    <w:rsid w:val="00B718F5"/>
    <w:rsid w:val="00B72413"/>
    <w:rsid w:val="00B725B1"/>
    <w:rsid w:val="00B72AFD"/>
    <w:rsid w:val="00B73360"/>
    <w:rsid w:val="00B7338A"/>
    <w:rsid w:val="00B74C17"/>
    <w:rsid w:val="00B75042"/>
    <w:rsid w:val="00B75289"/>
    <w:rsid w:val="00B759CA"/>
    <w:rsid w:val="00B7616F"/>
    <w:rsid w:val="00B769AF"/>
    <w:rsid w:val="00B77A5E"/>
    <w:rsid w:val="00B77AF9"/>
    <w:rsid w:val="00B80C12"/>
    <w:rsid w:val="00B81359"/>
    <w:rsid w:val="00B81B8A"/>
    <w:rsid w:val="00B829F1"/>
    <w:rsid w:val="00B839B8"/>
    <w:rsid w:val="00B839FA"/>
    <w:rsid w:val="00B83A85"/>
    <w:rsid w:val="00B83D6E"/>
    <w:rsid w:val="00B843DE"/>
    <w:rsid w:val="00B84482"/>
    <w:rsid w:val="00B844B9"/>
    <w:rsid w:val="00B84EA7"/>
    <w:rsid w:val="00B8542C"/>
    <w:rsid w:val="00B8561E"/>
    <w:rsid w:val="00B85AD2"/>
    <w:rsid w:val="00B86224"/>
    <w:rsid w:val="00B8636D"/>
    <w:rsid w:val="00B86A1B"/>
    <w:rsid w:val="00B86B80"/>
    <w:rsid w:val="00B87138"/>
    <w:rsid w:val="00B872AD"/>
    <w:rsid w:val="00B876C9"/>
    <w:rsid w:val="00B877E1"/>
    <w:rsid w:val="00B9077C"/>
    <w:rsid w:val="00B93D6B"/>
    <w:rsid w:val="00B94533"/>
    <w:rsid w:val="00B94664"/>
    <w:rsid w:val="00B9507E"/>
    <w:rsid w:val="00B96665"/>
    <w:rsid w:val="00B97412"/>
    <w:rsid w:val="00B97B0A"/>
    <w:rsid w:val="00B97CC1"/>
    <w:rsid w:val="00BA036F"/>
    <w:rsid w:val="00BA109A"/>
    <w:rsid w:val="00BA2AF6"/>
    <w:rsid w:val="00BA3048"/>
    <w:rsid w:val="00BA3B58"/>
    <w:rsid w:val="00BA4817"/>
    <w:rsid w:val="00BA4D13"/>
    <w:rsid w:val="00BA5D07"/>
    <w:rsid w:val="00BA6046"/>
    <w:rsid w:val="00BA68E9"/>
    <w:rsid w:val="00BA735C"/>
    <w:rsid w:val="00BA74DD"/>
    <w:rsid w:val="00BA762F"/>
    <w:rsid w:val="00BA7CF5"/>
    <w:rsid w:val="00BB2260"/>
    <w:rsid w:val="00BB256B"/>
    <w:rsid w:val="00BB28A3"/>
    <w:rsid w:val="00BB2BB7"/>
    <w:rsid w:val="00BB2DEA"/>
    <w:rsid w:val="00BB32DC"/>
    <w:rsid w:val="00BB3BB4"/>
    <w:rsid w:val="00BB3FE6"/>
    <w:rsid w:val="00BB4066"/>
    <w:rsid w:val="00BB4B2E"/>
    <w:rsid w:val="00BB51D1"/>
    <w:rsid w:val="00BB5CFF"/>
    <w:rsid w:val="00BB63BD"/>
    <w:rsid w:val="00BB6880"/>
    <w:rsid w:val="00BB69BC"/>
    <w:rsid w:val="00BB7388"/>
    <w:rsid w:val="00BB781E"/>
    <w:rsid w:val="00BB7C60"/>
    <w:rsid w:val="00BB7FD0"/>
    <w:rsid w:val="00BC03E3"/>
    <w:rsid w:val="00BC0642"/>
    <w:rsid w:val="00BC0949"/>
    <w:rsid w:val="00BC1A06"/>
    <w:rsid w:val="00BC1E41"/>
    <w:rsid w:val="00BC22D8"/>
    <w:rsid w:val="00BC2E3D"/>
    <w:rsid w:val="00BC376D"/>
    <w:rsid w:val="00BC465D"/>
    <w:rsid w:val="00BC4BBB"/>
    <w:rsid w:val="00BC6259"/>
    <w:rsid w:val="00BC659B"/>
    <w:rsid w:val="00BC673B"/>
    <w:rsid w:val="00BC6A9A"/>
    <w:rsid w:val="00BC6FA2"/>
    <w:rsid w:val="00BC71B7"/>
    <w:rsid w:val="00BC773F"/>
    <w:rsid w:val="00BD0AE3"/>
    <w:rsid w:val="00BD0CD0"/>
    <w:rsid w:val="00BD0EC3"/>
    <w:rsid w:val="00BD12DF"/>
    <w:rsid w:val="00BD13D3"/>
    <w:rsid w:val="00BD156F"/>
    <w:rsid w:val="00BD2786"/>
    <w:rsid w:val="00BD2B5D"/>
    <w:rsid w:val="00BD3E94"/>
    <w:rsid w:val="00BD3FD3"/>
    <w:rsid w:val="00BD57A4"/>
    <w:rsid w:val="00BD5B2D"/>
    <w:rsid w:val="00BD5EE5"/>
    <w:rsid w:val="00BD6086"/>
    <w:rsid w:val="00BD6115"/>
    <w:rsid w:val="00BD6331"/>
    <w:rsid w:val="00BD763D"/>
    <w:rsid w:val="00BE0D0B"/>
    <w:rsid w:val="00BE0FBE"/>
    <w:rsid w:val="00BE1E91"/>
    <w:rsid w:val="00BE2068"/>
    <w:rsid w:val="00BE2279"/>
    <w:rsid w:val="00BE285B"/>
    <w:rsid w:val="00BE2A27"/>
    <w:rsid w:val="00BE2CDE"/>
    <w:rsid w:val="00BE3194"/>
    <w:rsid w:val="00BE3A87"/>
    <w:rsid w:val="00BE3D87"/>
    <w:rsid w:val="00BE49BB"/>
    <w:rsid w:val="00BE4C40"/>
    <w:rsid w:val="00BE4CE4"/>
    <w:rsid w:val="00BE4DEC"/>
    <w:rsid w:val="00BE4FDC"/>
    <w:rsid w:val="00BE5A0F"/>
    <w:rsid w:val="00BE697C"/>
    <w:rsid w:val="00BE6B6A"/>
    <w:rsid w:val="00BE7810"/>
    <w:rsid w:val="00BE7A7F"/>
    <w:rsid w:val="00BF0B8B"/>
    <w:rsid w:val="00BF22BD"/>
    <w:rsid w:val="00BF38A3"/>
    <w:rsid w:val="00BF4941"/>
    <w:rsid w:val="00BF5F4D"/>
    <w:rsid w:val="00BF651B"/>
    <w:rsid w:val="00BF6E4F"/>
    <w:rsid w:val="00BF7284"/>
    <w:rsid w:val="00BF7ACD"/>
    <w:rsid w:val="00BF7B83"/>
    <w:rsid w:val="00BF7F2C"/>
    <w:rsid w:val="00C002D7"/>
    <w:rsid w:val="00C00353"/>
    <w:rsid w:val="00C0074C"/>
    <w:rsid w:val="00C00812"/>
    <w:rsid w:val="00C00AB9"/>
    <w:rsid w:val="00C01949"/>
    <w:rsid w:val="00C01DD5"/>
    <w:rsid w:val="00C01F84"/>
    <w:rsid w:val="00C0248D"/>
    <w:rsid w:val="00C0249B"/>
    <w:rsid w:val="00C02A11"/>
    <w:rsid w:val="00C02F30"/>
    <w:rsid w:val="00C02FB8"/>
    <w:rsid w:val="00C0325A"/>
    <w:rsid w:val="00C03486"/>
    <w:rsid w:val="00C03694"/>
    <w:rsid w:val="00C03B3B"/>
    <w:rsid w:val="00C0450A"/>
    <w:rsid w:val="00C04D60"/>
    <w:rsid w:val="00C04F91"/>
    <w:rsid w:val="00C05182"/>
    <w:rsid w:val="00C05299"/>
    <w:rsid w:val="00C053AC"/>
    <w:rsid w:val="00C0550E"/>
    <w:rsid w:val="00C0609F"/>
    <w:rsid w:val="00C06A5D"/>
    <w:rsid w:val="00C07213"/>
    <w:rsid w:val="00C07600"/>
    <w:rsid w:val="00C07870"/>
    <w:rsid w:val="00C07C2D"/>
    <w:rsid w:val="00C100BB"/>
    <w:rsid w:val="00C10693"/>
    <w:rsid w:val="00C109E3"/>
    <w:rsid w:val="00C1169B"/>
    <w:rsid w:val="00C11A29"/>
    <w:rsid w:val="00C12783"/>
    <w:rsid w:val="00C12E3B"/>
    <w:rsid w:val="00C1399C"/>
    <w:rsid w:val="00C158D9"/>
    <w:rsid w:val="00C160F2"/>
    <w:rsid w:val="00C165F6"/>
    <w:rsid w:val="00C1779E"/>
    <w:rsid w:val="00C17BBC"/>
    <w:rsid w:val="00C17DD9"/>
    <w:rsid w:val="00C2060E"/>
    <w:rsid w:val="00C208C3"/>
    <w:rsid w:val="00C214A3"/>
    <w:rsid w:val="00C21BC4"/>
    <w:rsid w:val="00C2246B"/>
    <w:rsid w:val="00C237BE"/>
    <w:rsid w:val="00C252A6"/>
    <w:rsid w:val="00C25BC0"/>
    <w:rsid w:val="00C25D95"/>
    <w:rsid w:val="00C25E52"/>
    <w:rsid w:val="00C2692B"/>
    <w:rsid w:val="00C27330"/>
    <w:rsid w:val="00C276E0"/>
    <w:rsid w:val="00C276EB"/>
    <w:rsid w:val="00C27779"/>
    <w:rsid w:val="00C27C87"/>
    <w:rsid w:val="00C27EE6"/>
    <w:rsid w:val="00C30149"/>
    <w:rsid w:val="00C30E73"/>
    <w:rsid w:val="00C318D1"/>
    <w:rsid w:val="00C33125"/>
    <w:rsid w:val="00C3328E"/>
    <w:rsid w:val="00C333C5"/>
    <w:rsid w:val="00C33764"/>
    <w:rsid w:val="00C33EDC"/>
    <w:rsid w:val="00C341EC"/>
    <w:rsid w:val="00C343C7"/>
    <w:rsid w:val="00C3460B"/>
    <w:rsid w:val="00C34C0D"/>
    <w:rsid w:val="00C34E51"/>
    <w:rsid w:val="00C35248"/>
    <w:rsid w:val="00C36187"/>
    <w:rsid w:val="00C3648B"/>
    <w:rsid w:val="00C365D9"/>
    <w:rsid w:val="00C3673F"/>
    <w:rsid w:val="00C3679F"/>
    <w:rsid w:val="00C36B31"/>
    <w:rsid w:val="00C36C9E"/>
    <w:rsid w:val="00C3717B"/>
    <w:rsid w:val="00C3768F"/>
    <w:rsid w:val="00C407D8"/>
    <w:rsid w:val="00C409D3"/>
    <w:rsid w:val="00C41333"/>
    <w:rsid w:val="00C41B03"/>
    <w:rsid w:val="00C41F96"/>
    <w:rsid w:val="00C4254F"/>
    <w:rsid w:val="00C436BB"/>
    <w:rsid w:val="00C445E4"/>
    <w:rsid w:val="00C44859"/>
    <w:rsid w:val="00C44D52"/>
    <w:rsid w:val="00C450F7"/>
    <w:rsid w:val="00C4599E"/>
    <w:rsid w:val="00C45D61"/>
    <w:rsid w:val="00C45FFA"/>
    <w:rsid w:val="00C461A2"/>
    <w:rsid w:val="00C461A9"/>
    <w:rsid w:val="00C4669C"/>
    <w:rsid w:val="00C471EC"/>
    <w:rsid w:val="00C473C6"/>
    <w:rsid w:val="00C4753D"/>
    <w:rsid w:val="00C50207"/>
    <w:rsid w:val="00C509CF"/>
    <w:rsid w:val="00C51811"/>
    <w:rsid w:val="00C51EDB"/>
    <w:rsid w:val="00C5213A"/>
    <w:rsid w:val="00C521A3"/>
    <w:rsid w:val="00C52260"/>
    <w:rsid w:val="00C524CB"/>
    <w:rsid w:val="00C52744"/>
    <w:rsid w:val="00C52ABB"/>
    <w:rsid w:val="00C52BEF"/>
    <w:rsid w:val="00C53343"/>
    <w:rsid w:val="00C5376F"/>
    <w:rsid w:val="00C55432"/>
    <w:rsid w:val="00C56061"/>
    <w:rsid w:val="00C561AD"/>
    <w:rsid w:val="00C56EB4"/>
    <w:rsid w:val="00C57079"/>
    <w:rsid w:val="00C5777C"/>
    <w:rsid w:val="00C577AA"/>
    <w:rsid w:val="00C577D3"/>
    <w:rsid w:val="00C57BC4"/>
    <w:rsid w:val="00C57E0B"/>
    <w:rsid w:val="00C57F2D"/>
    <w:rsid w:val="00C601E5"/>
    <w:rsid w:val="00C6045C"/>
    <w:rsid w:val="00C60F8E"/>
    <w:rsid w:val="00C615D8"/>
    <w:rsid w:val="00C617BD"/>
    <w:rsid w:val="00C62632"/>
    <w:rsid w:val="00C62702"/>
    <w:rsid w:val="00C627F6"/>
    <w:rsid w:val="00C63670"/>
    <w:rsid w:val="00C638DB"/>
    <w:rsid w:val="00C64072"/>
    <w:rsid w:val="00C6448E"/>
    <w:rsid w:val="00C64A3B"/>
    <w:rsid w:val="00C64B27"/>
    <w:rsid w:val="00C6518C"/>
    <w:rsid w:val="00C6682E"/>
    <w:rsid w:val="00C671DA"/>
    <w:rsid w:val="00C6769F"/>
    <w:rsid w:val="00C70039"/>
    <w:rsid w:val="00C70163"/>
    <w:rsid w:val="00C70506"/>
    <w:rsid w:val="00C712B7"/>
    <w:rsid w:val="00C716F4"/>
    <w:rsid w:val="00C7179B"/>
    <w:rsid w:val="00C718F7"/>
    <w:rsid w:val="00C72C97"/>
    <w:rsid w:val="00C73837"/>
    <w:rsid w:val="00C73CD1"/>
    <w:rsid w:val="00C73D17"/>
    <w:rsid w:val="00C74C7C"/>
    <w:rsid w:val="00C754C8"/>
    <w:rsid w:val="00C757E6"/>
    <w:rsid w:val="00C75875"/>
    <w:rsid w:val="00C75E17"/>
    <w:rsid w:val="00C7783E"/>
    <w:rsid w:val="00C77A80"/>
    <w:rsid w:val="00C77AB1"/>
    <w:rsid w:val="00C77ABF"/>
    <w:rsid w:val="00C77BE7"/>
    <w:rsid w:val="00C802A4"/>
    <w:rsid w:val="00C80C85"/>
    <w:rsid w:val="00C80FE4"/>
    <w:rsid w:val="00C811E6"/>
    <w:rsid w:val="00C81C30"/>
    <w:rsid w:val="00C8268C"/>
    <w:rsid w:val="00C82E4C"/>
    <w:rsid w:val="00C82FC4"/>
    <w:rsid w:val="00C830FA"/>
    <w:rsid w:val="00C83B14"/>
    <w:rsid w:val="00C84080"/>
    <w:rsid w:val="00C8463D"/>
    <w:rsid w:val="00C84D4C"/>
    <w:rsid w:val="00C84E5F"/>
    <w:rsid w:val="00C84F34"/>
    <w:rsid w:val="00C84F90"/>
    <w:rsid w:val="00C85382"/>
    <w:rsid w:val="00C8571C"/>
    <w:rsid w:val="00C8589C"/>
    <w:rsid w:val="00C85925"/>
    <w:rsid w:val="00C85BA8"/>
    <w:rsid w:val="00C85E0B"/>
    <w:rsid w:val="00C86521"/>
    <w:rsid w:val="00C86EEA"/>
    <w:rsid w:val="00C87A50"/>
    <w:rsid w:val="00C90749"/>
    <w:rsid w:val="00C909DC"/>
    <w:rsid w:val="00C91C25"/>
    <w:rsid w:val="00C922F3"/>
    <w:rsid w:val="00C927ED"/>
    <w:rsid w:val="00C93308"/>
    <w:rsid w:val="00C9369D"/>
    <w:rsid w:val="00C93CF9"/>
    <w:rsid w:val="00C948B3"/>
    <w:rsid w:val="00C94C84"/>
    <w:rsid w:val="00C94CF6"/>
    <w:rsid w:val="00C958F7"/>
    <w:rsid w:val="00C95CEA"/>
    <w:rsid w:val="00C962CE"/>
    <w:rsid w:val="00C96502"/>
    <w:rsid w:val="00C96C05"/>
    <w:rsid w:val="00C96F80"/>
    <w:rsid w:val="00C97799"/>
    <w:rsid w:val="00CA1494"/>
    <w:rsid w:val="00CA1DC9"/>
    <w:rsid w:val="00CA2281"/>
    <w:rsid w:val="00CA2465"/>
    <w:rsid w:val="00CA2F2D"/>
    <w:rsid w:val="00CA3B1F"/>
    <w:rsid w:val="00CA3D4F"/>
    <w:rsid w:val="00CA3F3E"/>
    <w:rsid w:val="00CA473C"/>
    <w:rsid w:val="00CA4B3A"/>
    <w:rsid w:val="00CA4BD0"/>
    <w:rsid w:val="00CA4D8D"/>
    <w:rsid w:val="00CA5229"/>
    <w:rsid w:val="00CA527C"/>
    <w:rsid w:val="00CA5528"/>
    <w:rsid w:val="00CA5983"/>
    <w:rsid w:val="00CA5B64"/>
    <w:rsid w:val="00CA6CE8"/>
    <w:rsid w:val="00CA73C7"/>
    <w:rsid w:val="00CA7DFF"/>
    <w:rsid w:val="00CB005D"/>
    <w:rsid w:val="00CB00D5"/>
    <w:rsid w:val="00CB0198"/>
    <w:rsid w:val="00CB0283"/>
    <w:rsid w:val="00CB0612"/>
    <w:rsid w:val="00CB07F2"/>
    <w:rsid w:val="00CB0A5A"/>
    <w:rsid w:val="00CB0A5E"/>
    <w:rsid w:val="00CB0BB9"/>
    <w:rsid w:val="00CB15D7"/>
    <w:rsid w:val="00CB1B9C"/>
    <w:rsid w:val="00CB1F9D"/>
    <w:rsid w:val="00CB265F"/>
    <w:rsid w:val="00CB3C9B"/>
    <w:rsid w:val="00CB41FB"/>
    <w:rsid w:val="00CB44B4"/>
    <w:rsid w:val="00CB5681"/>
    <w:rsid w:val="00CB5F2B"/>
    <w:rsid w:val="00CB6ED8"/>
    <w:rsid w:val="00CB7473"/>
    <w:rsid w:val="00CB7D93"/>
    <w:rsid w:val="00CB7E69"/>
    <w:rsid w:val="00CB7FC7"/>
    <w:rsid w:val="00CC09F4"/>
    <w:rsid w:val="00CC0A25"/>
    <w:rsid w:val="00CC0DC3"/>
    <w:rsid w:val="00CC10AE"/>
    <w:rsid w:val="00CC1673"/>
    <w:rsid w:val="00CC21C1"/>
    <w:rsid w:val="00CC24C4"/>
    <w:rsid w:val="00CC2A78"/>
    <w:rsid w:val="00CC31A0"/>
    <w:rsid w:val="00CC44BD"/>
    <w:rsid w:val="00CC4504"/>
    <w:rsid w:val="00CC4ADC"/>
    <w:rsid w:val="00CC5451"/>
    <w:rsid w:val="00CC54D4"/>
    <w:rsid w:val="00CC5C5A"/>
    <w:rsid w:val="00CC5CFC"/>
    <w:rsid w:val="00CC649D"/>
    <w:rsid w:val="00CC6B00"/>
    <w:rsid w:val="00CC6C47"/>
    <w:rsid w:val="00CC7132"/>
    <w:rsid w:val="00CC76BB"/>
    <w:rsid w:val="00CC76DD"/>
    <w:rsid w:val="00CD0394"/>
    <w:rsid w:val="00CD17E5"/>
    <w:rsid w:val="00CD31A3"/>
    <w:rsid w:val="00CD3461"/>
    <w:rsid w:val="00CD380B"/>
    <w:rsid w:val="00CD3998"/>
    <w:rsid w:val="00CD3C25"/>
    <w:rsid w:val="00CD3C4E"/>
    <w:rsid w:val="00CD3D41"/>
    <w:rsid w:val="00CD4272"/>
    <w:rsid w:val="00CD4A16"/>
    <w:rsid w:val="00CD4BF9"/>
    <w:rsid w:val="00CD4C0D"/>
    <w:rsid w:val="00CD5160"/>
    <w:rsid w:val="00CD54FA"/>
    <w:rsid w:val="00CD5F2E"/>
    <w:rsid w:val="00CD64C1"/>
    <w:rsid w:val="00CD686B"/>
    <w:rsid w:val="00CD7B9E"/>
    <w:rsid w:val="00CE06F9"/>
    <w:rsid w:val="00CE070A"/>
    <w:rsid w:val="00CE1657"/>
    <w:rsid w:val="00CE1C40"/>
    <w:rsid w:val="00CE1E96"/>
    <w:rsid w:val="00CE2070"/>
    <w:rsid w:val="00CE22A7"/>
    <w:rsid w:val="00CE236E"/>
    <w:rsid w:val="00CE2F0A"/>
    <w:rsid w:val="00CE3012"/>
    <w:rsid w:val="00CE3018"/>
    <w:rsid w:val="00CE32A6"/>
    <w:rsid w:val="00CE3BFC"/>
    <w:rsid w:val="00CE47DA"/>
    <w:rsid w:val="00CE4DCD"/>
    <w:rsid w:val="00CE4F76"/>
    <w:rsid w:val="00CE53B8"/>
    <w:rsid w:val="00CE6376"/>
    <w:rsid w:val="00CE6590"/>
    <w:rsid w:val="00CE659E"/>
    <w:rsid w:val="00CE7337"/>
    <w:rsid w:val="00CE7509"/>
    <w:rsid w:val="00CE75E0"/>
    <w:rsid w:val="00CE7D3E"/>
    <w:rsid w:val="00CE7E6C"/>
    <w:rsid w:val="00CE7EA5"/>
    <w:rsid w:val="00CF05CA"/>
    <w:rsid w:val="00CF0999"/>
    <w:rsid w:val="00CF1121"/>
    <w:rsid w:val="00CF2811"/>
    <w:rsid w:val="00CF2936"/>
    <w:rsid w:val="00CF3474"/>
    <w:rsid w:val="00CF37CF"/>
    <w:rsid w:val="00CF38C7"/>
    <w:rsid w:val="00CF4250"/>
    <w:rsid w:val="00CF4A53"/>
    <w:rsid w:val="00CF522E"/>
    <w:rsid w:val="00CF573A"/>
    <w:rsid w:val="00CF5F9D"/>
    <w:rsid w:val="00CF6648"/>
    <w:rsid w:val="00CF690A"/>
    <w:rsid w:val="00CF6E3C"/>
    <w:rsid w:val="00CF728E"/>
    <w:rsid w:val="00CF76A6"/>
    <w:rsid w:val="00CF7D50"/>
    <w:rsid w:val="00CF7DD8"/>
    <w:rsid w:val="00D006D0"/>
    <w:rsid w:val="00D011EC"/>
    <w:rsid w:val="00D012AE"/>
    <w:rsid w:val="00D016AE"/>
    <w:rsid w:val="00D018BB"/>
    <w:rsid w:val="00D03C01"/>
    <w:rsid w:val="00D0452C"/>
    <w:rsid w:val="00D04960"/>
    <w:rsid w:val="00D049A8"/>
    <w:rsid w:val="00D04DA8"/>
    <w:rsid w:val="00D0529B"/>
    <w:rsid w:val="00D052B8"/>
    <w:rsid w:val="00D05936"/>
    <w:rsid w:val="00D05C4F"/>
    <w:rsid w:val="00D061E5"/>
    <w:rsid w:val="00D06727"/>
    <w:rsid w:val="00D067BB"/>
    <w:rsid w:val="00D07396"/>
    <w:rsid w:val="00D100C2"/>
    <w:rsid w:val="00D10B2E"/>
    <w:rsid w:val="00D11698"/>
    <w:rsid w:val="00D11903"/>
    <w:rsid w:val="00D121BC"/>
    <w:rsid w:val="00D1266D"/>
    <w:rsid w:val="00D12743"/>
    <w:rsid w:val="00D12D81"/>
    <w:rsid w:val="00D12D9B"/>
    <w:rsid w:val="00D13124"/>
    <w:rsid w:val="00D1367B"/>
    <w:rsid w:val="00D13C9D"/>
    <w:rsid w:val="00D13D7B"/>
    <w:rsid w:val="00D13D94"/>
    <w:rsid w:val="00D13DA4"/>
    <w:rsid w:val="00D13FDE"/>
    <w:rsid w:val="00D14564"/>
    <w:rsid w:val="00D15183"/>
    <w:rsid w:val="00D15951"/>
    <w:rsid w:val="00D15B7D"/>
    <w:rsid w:val="00D16129"/>
    <w:rsid w:val="00D17227"/>
    <w:rsid w:val="00D175AF"/>
    <w:rsid w:val="00D175B5"/>
    <w:rsid w:val="00D204F1"/>
    <w:rsid w:val="00D20E11"/>
    <w:rsid w:val="00D21341"/>
    <w:rsid w:val="00D215B4"/>
    <w:rsid w:val="00D215E0"/>
    <w:rsid w:val="00D2162A"/>
    <w:rsid w:val="00D2163C"/>
    <w:rsid w:val="00D22379"/>
    <w:rsid w:val="00D22929"/>
    <w:rsid w:val="00D24B3A"/>
    <w:rsid w:val="00D24D99"/>
    <w:rsid w:val="00D24E2B"/>
    <w:rsid w:val="00D254D9"/>
    <w:rsid w:val="00D2615C"/>
    <w:rsid w:val="00D26D28"/>
    <w:rsid w:val="00D26DB5"/>
    <w:rsid w:val="00D277D0"/>
    <w:rsid w:val="00D3017D"/>
    <w:rsid w:val="00D306BB"/>
    <w:rsid w:val="00D307D5"/>
    <w:rsid w:val="00D308F2"/>
    <w:rsid w:val="00D310ED"/>
    <w:rsid w:val="00D31DE6"/>
    <w:rsid w:val="00D32325"/>
    <w:rsid w:val="00D3263E"/>
    <w:rsid w:val="00D32A77"/>
    <w:rsid w:val="00D3301E"/>
    <w:rsid w:val="00D33701"/>
    <w:rsid w:val="00D337C0"/>
    <w:rsid w:val="00D33925"/>
    <w:rsid w:val="00D34247"/>
    <w:rsid w:val="00D34783"/>
    <w:rsid w:val="00D35211"/>
    <w:rsid w:val="00D3521E"/>
    <w:rsid w:val="00D35C28"/>
    <w:rsid w:val="00D36154"/>
    <w:rsid w:val="00D3741C"/>
    <w:rsid w:val="00D379BF"/>
    <w:rsid w:val="00D40140"/>
    <w:rsid w:val="00D40773"/>
    <w:rsid w:val="00D40B6C"/>
    <w:rsid w:val="00D40F9A"/>
    <w:rsid w:val="00D410CA"/>
    <w:rsid w:val="00D410DF"/>
    <w:rsid w:val="00D4149D"/>
    <w:rsid w:val="00D41791"/>
    <w:rsid w:val="00D41877"/>
    <w:rsid w:val="00D41ECB"/>
    <w:rsid w:val="00D41F16"/>
    <w:rsid w:val="00D424DC"/>
    <w:rsid w:val="00D424DF"/>
    <w:rsid w:val="00D42501"/>
    <w:rsid w:val="00D42AD5"/>
    <w:rsid w:val="00D42D75"/>
    <w:rsid w:val="00D440AA"/>
    <w:rsid w:val="00D4427B"/>
    <w:rsid w:val="00D44E27"/>
    <w:rsid w:val="00D4502E"/>
    <w:rsid w:val="00D451CB"/>
    <w:rsid w:val="00D4548E"/>
    <w:rsid w:val="00D45F55"/>
    <w:rsid w:val="00D46EF1"/>
    <w:rsid w:val="00D50595"/>
    <w:rsid w:val="00D50B6F"/>
    <w:rsid w:val="00D5103C"/>
    <w:rsid w:val="00D5190F"/>
    <w:rsid w:val="00D51F70"/>
    <w:rsid w:val="00D5225F"/>
    <w:rsid w:val="00D52609"/>
    <w:rsid w:val="00D53104"/>
    <w:rsid w:val="00D54294"/>
    <w:rsid w:val="00D542FC"/>
    <w:rsid w:val="00D54936"/>
    <w:rsid w:val="00D54E8D"/>
    <w:rsid w:val="00D55451"/>
    <w:rsid w:val="00D55546"/>
    <w:rsid w:val="00D55BC8"/>
    <w:rsid w:val="00D56619"/>
    <w:rsid w:val="00D56F5B"/>
    <w:rsid w:val="00D56FBE"/>
    <w:rsid w:val="00D60761"/>
    <w:rsid w:val="00D6137A"/>
    <w:rsid w:val="00D63951"/>
    <w:rsid w:val="00D6398E"/>
    <w:rsid w:val="00D64B92"/>
    <w:rsid w:val="00D64C0E"/>
    <w:rsid w:val="00D6558E"/>
    <w:rsid w:val="00D65636"/>
    <w:rsid w:val="00D66172"/>
    <w:rsid w:val="00D664A1"/>
    <w:rsid w:val="00D66B6F"/>
    <w:rsid w:val="00D66E06"/>
    <w:rsid w:val="00D6702F"/>
    <w:rsid w:val="00D67506"/>
    <w:rsid w:val="00D67CDA"/>
    <w:rsid w:val="00D70113"/>
    <w:rsid w:val="00D7032E"/>
    <w:rsid w:val="00D7162F"/>
    <w:rsid w:val="00D73ACE"/>
    <w:rsid w:val="00D73DF3"/>
    <w:rsid w:val="00D73FE3"/>
    <w:rsid w:val="00D7414D"/>
    <w:rsid w:val="00D74C5B"/>
    <w:rsid w:val="00D75025"/>
    <w:rsid w:val="00D75247"/>
    <w:rsid w:val="00D75DA2"/>
    <w:rsid w:val="00D75E8F"/>
    <w:rsid w:val="00D76456"/>
    <w:rsid w:val="00D76CDB"/>
    <w:rsid w:val="00D77027"/>
    <w:rsid w:val="00D77497"/>
    <w:rsid w:val="00D77522"/>
    <w:rsid w:val="00D77713"/>
    <w:rsid w:val="00D82543"/>
    <w:rsid w:val="00D82715"/>
    <w:rsid w:val="00D83506"/>
    <w:rsid w:val="00D8361C"/>
    <w:rsid w:val="00D836E6"/>
    <w:rsid w:val="00D8408E"/>
    <w:rsid w:val="00D842B4"/>
    <w:rsid w:val="00D8461C"/>
    <w:rsid w:val="00D84735"/>
    <w:rsid w:val="00D84D90"/>
    <w:rsid w:val="00D85626"/>
    <w:rsid w:val="00D85BEB"/>
    <w:rsid w:val="00D85C8F"/>
    <w:rsid w:val="00D86763"/>
    <w:rsid w:val="00D868BF"/>
    <w:rsid w:val="00D86FBB"/>
    <w:rsid w:val="00D901D1"/>
    <w:rsid w:val="00D903C3"/>
    <w:rsid w:val="00D91713"/>
    <w:rsid w:val="00D91D0C"/>
    <w:rsid w:val="00D92650"/>
    <w:rsid w:val="00D929EB"/>
    <w:rsid w:val="00D945E1"/>
    <w:rsid w:val="00D95174"/>
    <w:rsid w:val="00D9600C"/>
    <w:rsid w:val="00D96C02"/>
    <w:rsid w:val="00D97348"/>
    <w:rsid w:val="00D97398"/>
    <w:rsid w:val="00D975B1"/>
    <w:rsid w:val="00D97E37"/>
    <w:rsid w:val="00DA0037"/>
    <w:rsid w:val="00DA06D7"/>
    <w:rsid w:val="00DA151A"/>
    <w:rsid w:val="00DA163D"/>
    <w:rsid w:val="00DA18B7"/>
    <w:rsid w:val="00DA1A35"/>
    <w:rsid w:val="00DA2605"/>
    <w:rsid w:val="00DA2737"/>
    <w:rsid w:val="00DA2823"/>
    <w:rsid w:val="00DA289D"/>
    <w:rsid w:val="00DA298F"/>
    <w:rsid w:val="00DA29D0"/>
    <w:rsid w:val="00DA2D7E"/>
    <w:rsid w:val="00DA3BED"/>
    <w:rsid w:val="00DA3C55"/>
    <w:rsid w:val="00DA3F90"/>
    <w:rsid w:val="00DA472F"/>
    <w:rsid w:val="00DA600B"/>
    <w:rsid w:val="00DA6866"/>
    <w:rsid w:val="00DA7424"/>
    <w:rsid w:val="00DA77E3"/>
    <w:rsid w:val="00DA78A5"/>
    <w:rsid w:val="00DA7E8F"/>
    <w:rsid w:val="00DB035E"/>
    <w:rsid w:val="00DB1025"/>
    <w:rsid w:val="00DB1265"/>
    <w:rsid w:val="00DB1292"/>
    <w:rsid w:val="00DB18B0"/>
    <w:rsid w:val="00DB2007"/>
    <w:rsid w:val="00DB35ED"/>
    <w:rsid w:val="00DB385C"/>
    <w:rsid w:val="00DB3948"/>
    <w:rsid w:val="00DB3B8F"/>
    <w:rsid w:val="00DB437F"/>
    <w:rsid w:val="00DB4B0A"/>
    <w:rsid w:val="00DB53C8"/>
    <w:rsid w:val="00DB5966"/>
    <w:rsid w:val="00DB5A35"/>
    <w:rsid w:val="00DB5AF6"/>
    <w:rsid w:val="00DB5C11"/>
    <w:rsid w:val="00DB5F3F"/>
    <w:rsid w:val="00DB63C8"/>
    <w:rsid w:val="00DB7558"/>
    <w:rsid w:val="00DB7A10"/>
    <w:rsid w:val="00DC01E2"/>
    <w:rsid w:val="00DC02E9"/>
    <w:rsid w:val="00DC06F9"/>
    <w:rsid w:val="00DC0974"/>
    <w:rsid w:val="00DC0BF9"/>
    <w:rsid w:val="00DC1C7A"/>
    <w:rsid w:val="00DC1F56"/>
    <w:rsid w:val="00DC26E3"/>
    <w:rsid w:val="00DC2C92"/>
    <w:rsid w:val="00DC2D89"/>
    <w:rsid w:val="00DC3071"/>
    <w:rsid w:val="00DC369C"/>
    <w:rsid w:val="00DC4407"/>
    <w:rsid w:val="00DC526B"/>
    <w:rsid w:val="00DC6B38"/>
    <w:rsid w:val="00DC6CE6"/>
    <w:rsid w:val="00DC6D10"/>
    <w:rsid w:val="00DC706F"/>
    <w:rsid w:val="00DC755F"/>
    <w:rsid w:val="00DC7583"/>
    <w:rsid w:val="00DC767A"/>
    <w:rsid w:val="00DD0C2E"/>
    <w:rsid w:val="00DD1322"/>
    <w:rsid w:val="00DD1F2A"/>
    <w:rsid w:val="00DD28C9"/>
    <w:rsid w:val="00DD29CC"/>
    <w:rsid w:val="00DD2F78"/>
    <w:rsid w:val="00DD3730"/>
    <w:rsid w:val="00DD3BDB"/>
    <w:rsid w:val="00DD3EA2"/>
    <w:rsid w:val="00DD3FAC"/>
    <w:rsid w:val="00DD440B"/>
    <w:rsid w:val="00DD4B20"/>
    <w:rsid w:val="00DD4B9F"/>
    <w:rsid w:val="00DD4F1F"/>
    <w:rsid w:val="00DD5110"/>
    <w:rsid w:val="00DD61E3"/>
    <w:rsid w:val="00DD6370"/>
    <w:rsid w:val="00DD6614"/>
    <w:rsid w:val="00DD6C6E"/>
    <w:rsid w:val="00DD7744"/>
    <w:rsid w:val="00DD7A27"/>
    <w:rsid w:val="00DD7D4C"/>
    <w:rsid w:val="00DE05AF"/>
    <w:rsid w:val="00DE0B92"/>
    <w:rsid w:val="00DE10F1"/>
    <w:rsid w:val="00DE1237"/>
    <w:rsid w:val="00DE177E"/>
    <w:rsid w:val="00DE1D58"/>
    <w:rsid w:val="00DE2A95"/>
    <w:rsid w:val="00DE335C"/>
    <w:rsid w:val="00DE36C4"/>
    <w:rsid w:val="00DE36FB"/>
    <w:rsid w:val="00DE379A"/>
    <w:rsid w:val="00DE4063"/>
    <w:rsid w:val="00DE4283"/>
    <w:rsid w:val="00DE4807"/>
    <w:rsid w:val="00DE4D52"/>
    <w:rsid w:val="00DE4E35"/>
    <w:rsid w:val="00DE4EDE"/>
    <w:rsid w:val="00DE5C94"/>
    <w:rsid w:val="00DE5F0F"/>
    <w:rsid w:val="00DE5FEF"/>
    <w:rsid w:val="00DE61CD"/>
    <w:rsid w:val="00DE6322"/>
    <w:rsid w:val="00DE6924"/>
    <w:rsid w:val="00DE7057"/>
    <w:rsid w:val="00DE77C9"/>
    <w:rsid w:val="00DF183A"/>
    <w:rsid w:val="00DF199F"/>
    <w:rsid w:val="00DF273F"/>
    <w:rsid w:val="00DF3425"/>
    <w:rsid w:val="00DF3C13"/>
    <w:rsid w:val="00DF3F7D"/>
    <w:rsid w:val="00DF631D"/>
    <w:rsid w:val="00DF69DA"/>
    <w:rsid w:val="00DF6E03"/>
    <w:rsid w:val="00DF7B6B"/>
    <w:rsid w:val="00E004A4"/>
    <w:rsid w:val="00E00693"/>
    <w:rsid w:val="00E010C2"/>
    <w:rsid w:val="00E020D0"/>
    <w:rsid w:val="00E02A58"/>
    <w:rsid w:val="00E02CCD"/>
    <w:rsid w:val="00E02FDE"/>
    <w:rsid w:val="00E034A5"/>
    <w:rsid w:val="00E0355F"/>
    <w:rsid w:val="00E03655"/>
    <w:rsid w:val="00E037C3"/>
    <w:rsid w:val="00E048CE"/>
    <w:rsid w:val="00E0517B"/>
    <w:rsid w:val="00E051B1"/>
    <w:rsid w:val="00E05778"/>
    <w:rsid w:val="00E05B15"/>
    <w:rsid w:val="00E05B2D"/>
    <w:rsid w:val="00E05FA2"/>
    <w:rsid w:val="00E06575"/>
    <w:rsid w:val="00E06B12"/>
    <w:rsid w:val="00E07CDF"/>
    <w:rsid w:val="00E07DAE"/>
    <w:rsid w:val="00E102F6"/>
    <w:rsid w:val="00E1076E"/>
    <w:rsid w:val="00E10F3E"/>
    <w:rsid w:val="00E1103D"/>
    <w:rsid w:val="00E11F1E"/>
    <w:rsid w:val="00E13073"/>
    <w:rsid w:val="00E1310F"/>
    <w:rsid w:val="00E142AB"/>
    <w:rsid w:val="00E1445C"/>
    <w:rsid w:val="00E159BC"/>
    <w:rsid w:val="00E16515"/>
    <w:rsid w:val="00E1692E"/>
    <w:rsid w:val="00E16EB3"/>
    <w:rsid w:val="00E17C28"/>
    <w:rsid w:val="00E17FA0"/>
    <w:rsid w:val="00E20E18"/>
    <w:rsid w:val="00E2268C"/>
    <w:rsid w:val="00E226FD"/>
    <w:rsid w:val="00E22EB4"/>
    <w:rsid w:val="00E2308F"/>
    <w:rsid w:val="00E234B7"/>
    <w:rsid w:val="00E2371F"/>
    <w:rsid w:val="00E2384F"/>
    <w:rsid w:val="00E242DD"/>
    <w:rsid w:val="00E245A2"/>
    <w:rsid w:val="00E2478C"/>
    <w:rsid w:val="00E24A2E"/>
    <w:rsid w:val="00E24BF6"/>
    <w:rsid w:val="00E24D42"/>
    <w:rsid w:val="00E26350"/>
    <w:rsid w:val="00E26543"/>
    <w:rsid w:val="00E26C25"/>
    <w:rsid w:val="00E26C94"/>
    <w:rsid w:val="00E26CC3"/>
    <w:rsid w:val="00E26E00"/>
    <w:rsid w:val="00E27D2F"/>
    <w:rsid w:val="00E30A1B"/>
    <w:rsid w:val="00E30D22"/>
    <w:rsid w:val="00E3111C"/>
    <w:rsid w:val="00E3142B"/>
    <w:rsid w:val="00E31F5D"/>
    <w:rsid w:val="00E322B0"/>
    <w:rsid w:val="00E3308A"/>
    <w:rsid w:val="00E3328D"/>
    <w:rsid w:val="00E334A1"/>
    <w:rsid w:val="00E33991"/>
    <w:rsid w:val="00E33E5C"/>
    <w:rsid w:val="00E34346"/>
    <w:rsid w:val="00E34C9E"/>
    <w:rsid w:val="00E34E64"/>
    <w:rsid w:val="00E35A42"/>
    <w:rsid w:val="00E35D80"/>
    <w:rsid w:val="00E3626D"/>
    <w:rsid w:val="00E36441"/>
    <w:rsid w:val="00E36B90"/>
    <w:rsid w:val="00E37560"/>
    <w:rsid w:val="00E37A67"/>
    <w:rsid w:val="00E37C36"/>
    <w:rsid w:val="00E37F98"/>
    <w:rsid w:val="00E4079F"/>
    <w:rsid w:val="00E409B6"/>
    <w:rsid w:val="00E409DE"/>
    <w:rsid w:val="00E409EA"/>
    <w:rsid w:val="00E41190"/>
    <w:rsid w:val="00E42A41"/>
    <w:rsid w:val="00E42D4B"/>
    <w:rsid w:val="00E43B09"/>
    <w:rsid w:val="00E43B9B"/>
    <w:rsid w:val="00E43F87"/>
    <w:rsid w:val="00E444AB"/>
    <w:rsid w:val="00E44644"/>
    <w:rsid w:val="00E44FC0"/>
    <w:rsid w:val="00E451B0"/>
    <w:rsid w:val="00E45AAB"/>
    <w:rsid w:val="00E46231"/>
    <w:rsid w:val="00E466FA"/>
    <w:rsid w:val="00E47257"/>
    <w:rsid w:val="00E4731D"/>
    <w:rsid w:val="00E47914"/>
    <w:rsid w:val="00E47A9C"/>
    <w:rsid w:val="00E502C9"/>
    <w:rsid w:val="00E50A26"/>
    <w:rsid w:val="00E50B3D"/>
    <w:rsid w:val="00E515C6"/>
    <w:rsid w:val="00E51C4B"/>
    <w:rsid w:val="00E52300"/>
    <w:rsid w:val="00E52377"/>
    <w:rsid w:val="00E5244C"/>
    <w:rsid w:val="00E52A5E"/>
    <w:rsid w:val="00E52BF8"/>
    <w:rsid w:val="00E52EE4"/>
    <w:rsid w:val="00E533B8"/>
    <w:rsid w:val="00E53632"/>
    <w:rsid w:val="00E5733E"/>
    <w:rsid w:val="00E57592"/>
    <w:rsid w:val="00E57879"/>
    <w:rsid w:val="00E579F7"/>
    <w:rsid w:val="00E57B35"/>
    <w:rsid w:val="00E60210"/>
    <w:rsid w:val="00E60F7C"/>
    <w:rsid w:val="00E6188F"/>
    <w:rsid w:val="00E6198C"/>
    <w:rsid w:val="00E61A55"/>
    <w:rsid w:val="00E61D66"/>
    <w:rsid w:val="00E62C8A"/>
    <w:rsid w:val="00E62EFF"/>
    <w:rsid w:val="00E62FB2"/>
    <w:rsid w:val="00E63441"/>
    <w:rsid w:val="00E63918"/>
    <w:rsid w:val="00E63B1F"/>
    <w:rsid w:val="00E64050"/>
    <w:rsid w:val="00E64633"/>
    <w:rsid w:val="00E6472B"/>
    <w:rsid w:val="00E64CA6"/>
    <w:rsid w:val="00E64F8C"/>
    <w:rsid w:val="00E6528E"/>
    <w:rsid w:val="00E656B9"/>
    <w:rsid w:val="00E65A28"/>
    <w:rsid w:val="00E65F24"/>
    <w:rsid w:val="00E66DCD"/>
    <w:rsid w:val="00E6792D"/>
    <w:rsid w:val="00E67E3B"/>
    <w:rsid w:val="00E70A14"/>
    <w:rsid w:val="00E711AE"/>
    <w:rsid w:val="00E716B5"/>
    <w:rsid w:val="00E726DF"/>
    <w:rsid w:val="00E73403"/>
    <w:rsid w:val="00E735CF"/>
    <w:rsid w:val="00E73C10"/>
    <w:rsid w:val="00E742F0"/>
    <w:rsid w:val="00E74EF6"/>
    <w:rsid w:val="00E757F8"/>
    <w:rsid w:val="00E758A2"/>
    <w:rsid w:val="00E75988"/>
    <w:rsid w:val="00E769B7"/>
    <w:rsid w:val="00E76A30"/>
    <w:rsid w:val="00E8127E"/>
    <w:rsid w:val="00E81C1A"/>
    <w:rsid w:val="00E821C9"/>
    <w:rsid w:val="00E8243B"/>
    <w:rsid w:val="00E827AD"/>
    <w:rsid w:val="00E82B8A"/>
    <w:rsid w:val="00E830C9"/>
    <w:rsid w:val="00E83FD7"/>
    <w:rsid w:val="00E8456D"/>
    <w:rsid w:val="00E84874"/>
    <w:rsid w:val="00E84B8B"/>
    <w:rsid w:val="00E8501B"/>
    <w:rsid w:val="00E85867"/>
    <w:rsid w:val="00E8599C"/>
    <w:rsid w:val="00E85E1C"/>
    <w:rsid w:val="00E86037"/>
    <w:rsid w:val="00E8610C"/>
    <w:rsid w:val="00E861B9"/>
    <w:rsid w:val="00E86C53"/>
    <w:rsid w:val="00E87F87"/>
    <w:rsid w:val="00E90132"/>
    <w:rsid w:val="00E9020A"/>
    <w:rsid w:val="00E90B9D"/>
    <w:rsid w:val="00E90E06"/>
    <w:rsid w:val="00E91E0F"/>
    <w:rsid w:val="00E929AB"/>
    <w:rsid w:val="00E92A56"/>
    <w:rsid w:val="00E92C0D"/>
    <w:rsid w:val="00E94898"/>
    <w:rsid w:val="00E95F69"/>
    <w:rsid w:val="00E97497"/>
    <w:rsid w:val="00E97823"/>
    <w:rsid w:val="00EA0CC6"/>
    <w:rsid w:val="00EA186D"/>
    <w:rsid w:val="00EA1BDA"/>
    <w:rsid w:val="00EA1FF4"/>
    <w:rsid w:val="00EA3E6D"/>
    <w:rsid w:val="00EA4479"/>
    <w:rsid w:val="00EA46D8"/>
    <w:rsid w:val="00EA4C47"/>
    <w:rsid w:val="00EA519C"/>
    <w:rsid w:val="00EA540C"/>
    <w:rsid w:val="00EA66F2"/>
    <w:rsid w:val="00EA7514"/>
    <w:rsid w:val="00EA78FB"/>
    <w:rsid w:val="00EA79C1"/>
    <w:rsid w:val="00EA7C39"/>
    <w:rsid w:val="00EB0557"/>
    <w:rsid w:val="00EB1220"/>
    <w:rsid w:val="00EB1343"/>
    <w:rsid w:val="00EB16D8"/>
    <w:rsid w:val="00EB190C"/>
    <w:rsid w:val="00EB1A6E"/>
    <w:rsid w:val="00EB1A94"/>
    <w:rsid w:val="00EB1D1D"/>
    <w:rsid w:val="00EB1FFD"/>
    <w:rsid w:val="00EB22C3"/>
    <w:rsid w:val="00EB2D3D"/>
    <w:rsid w:val="00EB302D"/>
    <w:rsid w:val="00EB32E4"/>
    <w:rsid w:val="00EB3935"/>
    <w:rsid w:val="00EB3993"/>
    <w:rsid w:val="00EB480E"/>
    <w:rsid w:val="00EB4A96"/>
    <w:rsid w:val="00EB5B4F"/>
    <w:rsid w:val="00EB61BD"/>
    <w:rsid w:val="00EB77CA"/>
    <w:rsid w:val="00EB7E78"/>
    <w:rsid w:val="00EC00E9"/>
    <w:rsid w:val="00EC0568"/>
    <w:rsid w:val="00EC0793"/>
    <w:rsid w:val="00EC08A8"/>
    <w:rsid w:val="00EC0934"/>
    <w:rsid w:val="00EC0E04"/>
    <w:rsid w:val="00EC1150"/>
    <w:rsid w:val="00EC2769"/>
    <w:rsid w:val="00EC282D"/>
    <w:rsid w:val="00EC29E2"/>
    <w:rsid w:val="00EC343B"/>
    <w:rsid w:val="00EC48C0"/>
    <w:rsid w:val="00EC4C5C"/>
    <w:rsid w:val="00EC52AA"/>
    <w:rsid w:val="00EC5B31"/>
    <w:rsid w:val="00EC60A9"/>
    <w:rsid w:val="00EC6717"/>
    <w:rsid w:val="00EC67F4"/>
    <w:rsid w:val="00EC6E94"/>
    <w:rsid w:val="00EC723B"/>
    <w:rsid w:val="00EC738B"/>
    <w:rsid w:val="00ED01A4"/>
    <w:rsid w:val="00ED01C3"/>
    <w:rsid w:val="00ED0327"/>
    <w:rsid w:val="00ED0824"/>
    <w:rsid w:val="00ED1983"/>
    <w:rsid w:val="00ED1DD8"/>
    <w:rsid w:val="00ED24B0"/>
    <w:rsid w:val="00ED24F6"/>
    <w:rsid w:val="00ED2CDF"/>
    <w:rsid w:val="00ED3869"/>
    <w:rsid w:val="00ED3BD1"/>
    <w:rsid w:val="00ED3FE6"/>
    <w:rsid w:val="00ED49BB"/>
    <w:rsid w:val="00ED51C2"/>
    <w:rsid w:val="00ED56CF"/>
    <w:rsid w:val="00ED5C4B"/>
    <w:rsid w:val="00ED6646"/>
    <w:rsid w:val="00ED6AFE"/>
    <w:rsid w:val="00ED6E0E"/>
    <w:rsid w:val="00ED70BA"/>
    <w:rsid w:val="00ED71AD"/>
    <w:rsid w:val="00ED72C2"/>
    <w:rsid w:val="00ED7E80"/>
    <w:rsid w:val="00ED7E94"/>
    <w:rsid w:val="00EE0277"/>
    <w:rsid w:val="00EE036C"/>
    <w:rsid w:val="00EE037A"/>
    <w:rsid w:val="00EE0738"/>
    <w:rsid w:val="00EE09CA"/>
    <w:rsid w:val="00EE0DAC"/>
    <w:rsid w:val="00EE19DC"/>
    <w:rsid w:val="00EE1B4D"/>
    <w:rsid w:val="00EE224E"/>
    <w:rsid w:val="00EE2260"/>
    <w:rsid w:val="00EE236B"/>
    <w:rsid w:val="00EE24A9"/>
    <w:rsid w:val="00EE2809"/>
    <w:rsid w:val="00EE2828"/>
    <w:rsid w:val="00EE397A"/>
    <w:rsid w:val="00EE39C5"/>
    <w:rsid w:val="00EE420A"/>
    <w:rsid w:val="00EE46F5"/>
    <w:rsid w:val="00EE4C91"/>
    <w:rsid w:val="00EE5221"/>
    <w:rsid w:val="00EE523B"/>
    <w:rsid w:val="00EE53B7"/>
    <w:rsid w:val="00EE5889"/>
    <w:rsid w:val="00EE648F"/>
    <w:rsid w:val="00EE67F9"/>
    <w:rsid w:val="00EE6C5E"/>
    <w:rsid w:val="00EE6D60"/>
    <w:rsid w:val="00EE79ED"/>
    <w:rsid w:val="00EE7CAB"/>
    <w:rsid w:val="00EE7E5C"/>
    <w:rsid w:val="00EF00FF"/>
    <w:rsid w:val="00EF0697"/>
    <w:rsid w:val="00EF07A5"/>
    <w:rsid w:val="00EF0AE9"/>
    <w:rsid w:val="00EF0C10"/>
    <w:rsid w:val="00EF192D"/>
    <w:rsid w:val="00EF1C4F"/>
    <w:rsid w:val="00EF204D"/>
    <w:rsid w:val="00EF27BC"/>
    <w:rsid w:val="00EF2EA2"/>
    <w:rsid w:val="00EF324E"/>
    <w:rsid w:val="00EF36BF"/>
    <w:rsid w:val="00EF3885"/>
    <w:rsid w:val="00EF3993"/>
    <w:rsid w:val="00EF3D9B"/>
    <w:rsid w:val="00EF4839"/>
    <w:rsid w:val="00EF4866"/>
    <w:rsid w:val="00EF4CE3"/>
    <w:rsid w:val="00EF4FB5"/>
    <w:rsid w:val="00EF54B6"/>
    <w:rsid w:val="00EF5579"/>
    <w:rsid w:val="00EF58F0"/>
    <w:rsid w:val="00EF5EBC"/>
    <w:rsid w:val="00EF5F78"/>
    <w:rsid w:val="00EF6096"/>
    <w:rsid w:val="00EF6954"/>
    <w:rsid w:val="00EF7125"/>
    <w:rsid w:val="00EF71C4"/>
    <w:rsid w:val="00EF7DE2"/>
    <w:rsid w:val="00F0021F"/>
    <w:rsid w:val="00F002E0"/>
    <w:rsid w:val="00F0030B"/>
    <w:rsid w:val="00F003A2"/>
    <w:rsid w:val="00F003BB"/>
    <w:rsid w:val="00F00574"/>
    <w:rsid w:val="00F01275"/>
    <w:rsid w:val="00F02E0D"/>
    <w:rsid w:val="00F03714"/>
    <w:rsid w:val="00F038B0"/>
    <w:rsid w:val="00F0406D"/>
    <w:rsid w:val="00F0451D"/>
    <w:rsid w:val="00F046B7"/>
    <w:rsid w:val="00F0492A"/>
    <w:rsid w:val="00F04C82"/>
    <w:rsid w:val="00F0565F"/>
    <w:rsid w:val="00F0577A"/>
    <w:rsid w:val="00F05C8B"/>
    <w:rsid w:val="00F07109"/>
    <w:rsid w:val="00F074E6"/>
    <w:rsid w:val="00F078BE"/>
    <w:rsid w:val="00F102C9"/>
    <w:rsid w:val="00F1113D"/>
    <w:rsid w:val="00F1131B"/>
    <w:rsid w:val="00F116B9"/>
    <w:rsid w:val="00F11754"/>
    <w:rsid w:val="00F11CD1"/>
    <w:rsid w:val="00F124F7"/>
    <w:rsid w:val="00F129F4"/>
    <w:rsid w:val="00F1410D"/>
    <w:rsid w:val="00F14374"/>
    <w:rsid w:val="00F14480"/>
    <w:rsid w:val="00F144CA"/>
    <w:rsid w:val="00F15328"/>
    <w:rsid w:val="00F16A91"/>
    <w:rsid w:val="00F16C52"/>
    <w:rsid w:val="00F177DB"/>
    <w:rsid w:val="00F17F53"/>
    <w:rsid w:val="00F20E20"/>
    <w:rsid w:val="00F212C3"/>
    <w:rsid w:val="00F21A26"/>
    <w:rsid w:val="00F21A65"/>
    <w:rsid w:val="00F21ADE"/>
    <w:rsid w:val="00F21D2A"/>
    <w:rsid w:val="00F228BD"/>
    <w:rsid w:val="00F2320D"/>
    <w:rsid w:val="00F24913"/>
    <w:rsid w:val="00F24A95"/>
    <w:rsid w:val="00F24BC9"/>
    <w:rsid w:val="00F24BE3"/>
    <w:rsid w:val="00F25171"/>
    <w:rsid w:val="00F260E7"/>
    <w:rsid w:val="00F26FCD"/>
    <w:rsid w:val="00F272EA"/>
    <w:rsid w:val="00F2798B"/>
    <w:rsid w:val="00F27A1D"/>
    <w:rsid w:val="00F27FE7"/>
    <w:rsid w:val="00F30000"/>
    <w:rsid w:val="00F30748"/>
    <w:rsid w:val="00F31310"/>
    <w:rsid w:val="00F32627"/>
    <w:rsid w:val="00F33572"/>
    <w:rsid w:val="00F33D0F"/>
    <w:rsid w:val="00F33D68"/>
    <w:rsid w:val="00F33E7E"/>
    <w:rsid w:val="00F35154"/>
    <w:rsid w:val="00F3572D"/>
    <w:rsid w:val="00F35818"/>
    <w:rsid w:val="00F3592C"/>
    <w:rsid w:val="00F360B2"/>
    <w:rsid w:val="00F366BF"/>
    <w:rsid w:val="00F368AB"/>
    <w:rsid w:val="00F37129"/>
    <w:rsid w:val="00F371DB"/>
    <w:rsid w:val="00F37639"/>
    <w:rsid w:val="00F376B5"/>
    <w:rsid w:val="00F37DED"/>
    <w:rsid w:val="00F40202"/>
    <w:rsid w:val="00F40B90"/>
    <w:rsid w:val="00F40BC4"/>
    <w:rsid w:val="00F40E9A"/>
    <w:rsid w:val="00F41310"/>
    <w:rsid w:val="00F41380"/>
    <w:rsid w:val="00F416D8"/>
    <w:rsid w:val="00F417CA"/>
    <w:rsid w:val="00F418A8"/>
    <w:rsid w:val="00F41AEA"/>
    <w:rsid w:val="00F41B54"/>
    <w:rsid w:val="00F41FC8"/>
    <w:rsid w:val="00F42311"/>
    <w:rsid w:val="00F42BD2"/>
    <w:rsid w:val="00F42E3E"/>
    <w:rsid w:val="00F43019"/>
    <w:rsid w:val="00F4330C"/>
    <w:rsid w:val="00F43652"/>
    <w:rsid w:val="00F43B4E"/>
    <w:rsid w:val="00F43C50"/>
    <w:rsid w:val="00F43EAA"/>
    <w:rsid w:val="00F44187"/>
    <w:rsid w:val="00F4469B"/>
    <w:rsid w:val="00F44957"/>
    <w:rsid w:val="00F44E60"/>
    <w:rsid w:val="00F4526A"/>
    <w:rsid w:val="00F45D01"/>
    <w:rsid w:val="00F45F07"/>
    <w:rsid w:val="00F46918"/>
    <w:rsid w:val="00F46A77"/>
    <w:rsid w:val="00F46AB1"/>
    <w:rsid w:val="00F47E11"/>
    <w:rsid w:val="00F47FF4"/>
    <w:rsid w:val="00F50037"/>
    <w:rsid w:val="00F506F2"/>
    <w:rsid w:val="00F50725"/>
    <w:rsid w:val="00F5079E"/>
    <w:rsid w:val="00F50C58"/>
    <w:rsid w:val="00F51B5B"/>
    <w:rsid w:val="00F5245D"/>
    <w:rsid w:val="00F5247D"/>
    <w:rsid w:val="00F52F69"/>
    <w:rsid w:val="00F53755"/>
    <w:rsid w:val="00F53C16"/>
    <w:rsid w:val="00F54A84"/>
    <w:rsid w:val="00F55205"/>
    <w:rsid w:val="00F5540D"/>
    <w:rsid w:val="00F5557B"/>
    <w:rsid w:val="00F555AC"/>
    <w:rsid w:val="00F55CE1"/>
    <w:rsid w:val="00F56123"/>
    <w:rsid w:val="00F5677D"/>
    <w:rsid w:val="00F569B6"/>
    <w:rsid w:val="00F6030D"/>
    <w:rsid w:val="00F6071D"/>
    <w:rsid w:val="00F609A3"/>
    <w:rsid w:val="00F6104E"/>
    <w:rsid w:val="00F611BC"/>
    <w:rsid w:val="00F613B0"/>
    <w:rsid w:val="00F62406"/>
    <w:rsid w:val="00F62B1D"/>
    <w:rsid w:val="00F62D51"/>
    <w:rsid w:val="00F62FFE"/>
    <w:rsid w:val="00F6332E"/>
    <w:rsid w:val="00F63455"/>
    <w:rsid w:val="00F63A98"/>
    <w:rsid w:val="00F64A5F"/>
    <w:rsid w:val="00F64C11"/>
    <w:rsid w:val="00F64E2D"/>
    <w:rsid w:val="00F64EB0"/>
    <w:rsid w:val="00F65AB3"/>
    <w:rsid w:val="00F661A1"/>
    <w:rsid w:val="00F66C88"/>
    <w:rsid w:val="00F670F6"/>
    <w:rsid w:val="00F6711B"/>
    <w:rsid w:val="00F677CE"/>
    <w:rsid w:val="00F67C07"/>
    <w:rsid w:val="00F67F67"/>
    <w:rsid w:val="00F701D4"/>
    <w:rsid w:val="00F70308"/>
    <w:rsid w:val="00F70629"/>
    <w:rsid w:val="00F7074D"/>
    <w:rsid w:val="00F70902"/>
    <w:rsid w:val="00F7165E"/>
    <w:rsid w:val="00F71EA2"/>
    <w:rsid w:val="00F72C46"/>
    <w:rsid w:val="00F7331A"/>
    <w:rsid w:val="00F73970"/>
    <w:rsid w:val="00F74590"/>
    <w:rsid w:val="00F74BD8"/>
    <w:rsid w:val="00F76348"/>
    <w:rsid w:val="00F77FC4"/>
    <w:rsid w:val="00F800EB"/>
    <w:rsid w:val="00F803D8"/>
    <w:rsid w:val="00F80509"/>
    <w:rsid w:val="00F808D7"/>
    <w:rsid w:val="00F80C94"/>
    <w:rsid w:val="00F80EDF"/>
    <w:rsid w:val="00F80F1C"/>
    <w:rsid w:val="00F8265D"/>
    <w:rsid w:val="00F828FD"/>
    <w:rsid w:val="00F82A57"/>
    <w:rsid w:val="00F835F5"/>
    <w:rsid w:val="00F838C3"/>
    <w:rsid w:val="00F84455"/>
    <w:rsid w:val="00F84E36"/>
    <w:rsid w:val="00F84E3F"/>
    <w:rsid w:val="00F84E46"/>
    <w:rsid w:val="00F84F5C"/>
    <w:rsid w:val="00F8509E"/>
    <w:rsid w:val="00F8588D"/>
    <w:rsid w:val="00F862B3"/>
    <w:rsid w:val="00F869D9"/>
    <w:rsid w:val="00F86A04"/>
    <w:rsid w:val="00F875EA"/>
    <w:rsid w:val="00F8760A"/>
    <w:rsid w:val="00F904BC"/>
    <w:rsid w:val="00F905A4"/>
    <w:rsid w:val="00F90787"/>
    <w:rsid w:val="00F909F1"/>
    <w:rsid w:val="00F90ABF"/>
    <w:rsid w:val="00F90BFE"/>
    <w:rsid w:val="00F90CEE"/>
    <w:rsid w:val="00F90F38"/>
    <w:rsid w:val="00F91839"/>
    <w:rsid w:val="00F92326"/>
    <w:rsid w:val="00F927E1"/>
    <w:rsid w:val="00F930AC"/>
    <w:rsid w:val="00F9380D"/>
    <w:rsid w:val="00F93C57"/>
    <w:rsid w:val="00F94865"/>
    <w:rsid w:val="00F94943"/>
    <w:rsid w:val="00F94BFD"/>
    <w:rsid w:val="00F95721"/>
    <w:rsid w:val="00F95FE0"/>
    <w:rsid w:val="00F9612C"/>
    <w:rsid w:val="00F96823"/>
    <w:rsid w:val="00F969EB"/>
    <w:rsid w:val="00F97528"/>
    <w:rsid w:val="00F976D3"/>
    <w:rsid w:val="00FA0C73"/>
    <w:rsid w:val="00FA18AB"/>
    <w:rsid w:val="00FA1D82"/>
    <w:rsid w:val="00FA1E13"/>
    <w:rsid w:val="00FA1F58"/>
    <w:rsid w:val="00FA2532"/>
    <w:rsid w:val="00FA2C08"/>
    <w:rsid w:val="00FA2CD0"/>
    <w:rsid w:val="00FA2E96"/>
    <w:rsid w:val="00FA2EEE"/>
    <w:rsid w:val="00FA32B7"/>
    <w:rsid w:val="00FA3D0B"/>
    <w:rsid w:val="00FA4B93"/>
    <w:rsid w:val="00FA4F1C"/>
    <w:rsid w:val="00FA51AD"/>
    <w:rsid w:val="00FA56B9"/>
    <w:rsid w:val="00FA5D7E"/>
    <w:rsid w:val="00FA679F"/>
    <w:rsid w:val="00FA6A4C"/>
    <w:rsid w:val="00FA7449"/>
    <w:rsid w:val="00FA7C80"/>
    <w:rsid w:val="00FB07C3"/>
    <w:rsid w:val="00FB104B"/>
    <w:rsid w:val="00FB1553"/>
    <w:rsid w:val="00FB207B"/>
    <w:rsid w:val="00FB2547"/>
    <w:rsid w:val="00FB3199"/>
    <w:rsid w:val="00FB358F"/>
    <w:rsid w:val="00FB3672"/>
    <w:rsid w:val="00FB39EF"/>
    <w:rsid w:val="00FB3AD7"/>
    <w:rsid w:val="00FB3DD0"/>
    <w:rsid w:val="00FB40D9"/>
    <w:rsid w:val="00FB453D"/>
    <w:rsid w:val="00FB4A58"/>
    <w:rsid w:val="00FB4E9D"/>
    <w:rsid w:val="00FB4FB2"/>
    <w:rsid w:val="00FB55A1"/>
    <w:rsid w:val="00FB5602"/>
    <w:rsid w:val="00FB6052"/>
    <w:rsid w:val="00FB62CE"/>
    <w:rsid w:val="00FB6F51"/>
    <w:rsid w:val="00FB7835"/>
    <w:rsid w:val="00FB7B69"/>
    <w:rsid w:val="00FC033C"/>
    <w:rsid w:val="00FC07D0"/>
    <w:rsid w:val="00FC0A64"/>
    <w:rsid w:val="00FC104F"/>
    <w:rsid w:val="00FC13B6"/>
    <w:rsid w:val="00FC1580"/>
    <w:rsid w:val="00FC1BD8"/>
    <w:rsid w:val="00FC1EC7"/>
    <w:rsid w:val="00FC42DB"/>
    <w:rsid w:val="00FC4623"/>
    <w:rsid w:val="00FC506C"/>
    <w:rsid w:val="00FC5489"/>
    <w:rsid w:val="00FC5BC0"/>
    <w:rsid w:val="00FC67E0"/>
    <w:rsid w:val="00FC6A25"/>
    <w:rsid w:val="00FC6A9D"/>
    <w:rsid w:val="00FC6AE3"/>
    <w:rsid w:val="00FC6F93"/>
    <w:rsid w:val="00FC7226"/>
    <w:rsid w:val="00FC752F"/>
    <w:rsid w:val="00FD0AC2"/>
    <w:rsid w:val="00FD217B"/>
    <w:rsid w:val="00FD2662"/>
    <w:rsid w:val="00FD2EEE"/>
    <w:rsid w:val="00FD2F5C"/>
    <w:rsid w:val="00FD337E"/>
    <w:rsid w:val="00FD45D5"/>
    <w:rsid w:val="00FD482C"/>
    <w:rsid w:val="00FD4C6D"/>
    <w:rsid w:val="00FD6924"/>
    <w:rsid w:val="00FD6BBA"/>
    <w:rsid w:val="00FD7070"/>
    <w:rsid w:val="00FD7384"/>
    <w:rsid w:val="00FD792B"/>
    <w:rsid w:val="00FD7933"/>
    <w:rsid w:val="00FD79F1"/>
    <w:rsid w:val="00FD7C2F"/>
    <w:rsid w:val="00FD7CC7"/>
    <w:rsid w:val="00FD7E1F"/>
    <w:rsid w:val="00FE09F6"/>
    <w:rsid w:val="00FE129F"/>
    <w:rsid w:val="00FE17CA"/>
    <w:rsid w:val="00FE25A0"/>
    <w:rsid w:val="00FE2735"/>
    <w:rsid w:val="00FE41F0"/>
    <w:rsid w:val="00FE4776"/>
    <w:rsid w:val="00FE4A70"/>
    <w:rsid w:val="00FE52BE"/>
    <w:rsid w:val="00FE533B"/>
    <w:rsid w:val="00FE576F"/>
    <w:rsid w:val="00FE59E6"/>
    <w:rsid w:val="00FE5D7E"/>
    <w:rsid w:val="00FE62A9"/>
    <w:rsid w:val="00FE6388"/>
    <w:rsid w:val="00FE667A"/>
    <w:rsid w:val="00FE6997"/>
    <w:rsid w:val="00FE6B53"/>
    <w:rsid w:val="00FE73C0"/>
    <w:rsid w:val="00FE78EE"/>
    <w:rsid w:val="00FE7BA3"/>
    <w:rsid w:val="00FE7EF2"/>
    <w:rsid w:val="00FF0FF0"/>
    <w:rsid w:val="00FF1053"/>
    <w:rsid w:val="00FF11EA"/>
    <w:rsid w:val="00FF1691"/>
    <w:rsid w:val="00FF227D"/>
    <w:rsid w:val="00FF2EFC"/>
    <w:rsid w:val="00FF344D"/>
    <w:rsid w:val="00FF398B"/>
    <w:rsid w:val="00FF39A0"/>
    <w:rsid w:val="00FF4460"/>
    <w:rsid w:val="00FF4A8B"/>
    <w:rsid w:val="00FF51B0"/>
    <w:rsid w:val="00FF57DD"/>
    <w:rsid w:val="00FF5FBA"/>
    <w:rsid w:val="00FF6049"/>
    <w:rsid w:val="00FF76D0"/>
    <w:rsid w:val="00FF7CB6"/>
    <w:rsid w:val="00FF7E22"/>
    <w:rsid w:val="00FF7E75"/>
    <w:rsid w:val="03154CD7"/>
    <w:rsid w:val="03FD7041"/>
    <w:rsid w:val="04050877"/>
    <w:rsid w:val="040556DD"/>
    <w:rsid w:val="06F85E9F"/>
    <w:rsid w:val="07192A48"/>
    <w:rsid w:val="07A125A5"/>
    <w:rsid w:val="08FE13E5"/>
    <w:rsid w:val="090312D0"/>
    <w:rsid w:val="0952460A"/>
    <w:rsid w:val="09FF35BE"/>
    <w:rsid w:val="0D8655C2"/>
    <w:rsid w:val="0E3C4694"/>
    <w:rsid w:val="112D1D65"/>
    <w:rsid w:val="11924668"/>
    <w:rsid w:val="13E07630"/>
    <w:rsid w:val="155624F8"/>
    <w:rsid w:val="15931C08"/>
    <w:rsid w:val="16D34F84"/>
    <w:rsid w:val="17D0622A"/>
    <w:rsid w:val="190C280B"/>
    <w:rsid w:val="19F65454"/>
    <w:rsid w:val="1A121DE4"/>
    <w:rsid w:val="1C4E7529"/>
    <w:rsid w:val="1D2E090B"/>
    <w:rsid w:val="1DA8120B"/>
    <w:rsid w:val="1FBB13FB"/>
    <w:rsid w:val="2154305E"/>
    <w:rsid w:val="21A710AA"/>
    <w:rsid w:val="229C22AC"/>
    <w:rsid w:val="234611B2"/>
    <w:rsid w:val="23A14868"/>
    <w:rsid w:val="23A95FC4"/>
    <w:rsid w:val="253E51E4"/>
    <w:rsid w:val="256D5A05"/>
    <w:rsid w:val="25B22EC3"/>
    <w:rsid w:val="25FB6BF5"/>
    <w:rsid w:val="264B0E17"/>
    <w:rsid w:val="26841E6F"/>
    <w:rsid w:val="26D62EFD"/>
    <w:rsid w:val="283A7652"/>
    <w:rsid w:val="2B52737E"/>
    <w:rsid w:val="2B867EE9"/>
    <w:rsid w:val="2D52422B"/>
    <w:rsid w:val="2D5D667B"/>
    <w:rsid w:val="2EA566A2"/>
    <w:rsid w:val="2F570077"/>
    <w:rsid w:val="30177B68"/>
    <w:rsid w:val="301D27E6"/>
    <w:rsid w:val="32B40C5B"/>
    <w:rsid w:val="33CB536B"/>
    <w:rsid w:val="34A859C1"/>
    <w:rsid w:val="364F19DB"/>
    <w:rsid w:val="370D047D"/>
    <w:rsid w:val="37941D28"/>
    <w:rsid w:val="384E2F48"/>
    <w:rsid w:val="3963535B"/>
    <w:rsid w:val="3AC10404"/>
    <w:rsid w:val="3C146961"/>
    <w:rsid w:val="3CC17B46"/>
    <w:rsid w:val="3E007888"/>
    <w:rsid w:val="3EB72492"/>
    <w:rsid w:val="409F68CB"/>
    <w:rsid w:val="40D361E7"/>
    <w:rsid w:val="40FF1F8C"/>
    <w:rsid w:val="42F205FF"/>
    <w:rsid w:val="43213E74"/>
    <w:rsid w:val="44466D5E"/>
    <w:rsid w:val="44E4098E"/>
    <w:rsid w:val="45662EC1"/>
    <w:rsid w:val="458D5453"/>
    <w:rsid w:val="470D69C0"/>
    <w:rsid w:val="49984DEF"/>
    <w:rsid w:val="49A307AA"/>
    <w:rsid w:val="4B270C84"/>
    <w:rsid w:val="4BB80D24"/>
    <w:rsid w:val="4C643416"/>
    <w:rsid w:val="50211291"/>
    <w:rsid w:val="507B264D"/>
    <w:rsid w:val="51740970"/>
    <w:rsid w:val="52B932FA"/>
    <w:rsid w:val="534E3AF8"/>
    <w:rsid w:val="55041761"/>
    <w:rsid w:val="5528442B"/>
    <w:rsid w:val="558A13A0"/>
    <w:rsid w:val="55D2408A"/>
    <w:rsid w:val="56056F51"/>
    <w:rsid w:val="579B0E2E"/>
    <w:rsid w:val="59402BEB"/>
    <w:rsid w:val="59E03A5C"/>
    <w:rsid w:val="5A4E0472"/>
    <w:rsid w:val="5AAC2A91"/>
    <w:rsid w:val="5B4A4933"/>
    <w:rsid w:val="5C023DE5"/>
    <w:rsid w:val="5D0E61A7"/>
    <w:rsid w:val="5D152897"/>
    <w:rsid w:val="5E387820"/>
    <w:rsid w:val="5F292D08"/>
    <w:rsid w:val="5F964898"/>
    <w:rsid w:val="61C00BE1"/>
    <w:rsid w:val="61D305A9"/>
    <w:rsid w:val="64294EF7"/>
    <w:rsid w:val="65FE6D99"/>
    <w:rsid w:val="667F29E6"/>
    <w:rsid w:val="66C9497A"/>
    <w:rsid w:val="6743114D"/>
    <w:rsid w:val="68E25323"/>
    <w:rsid w:val="697216B1"/>
    <w:rsid w:val="69802B26"/>
    <w:rsid w:val="6998557E"/>
    <w:rsid w:val="69A72C06"/>
    <w:rsid w:val="6ADE16B4"/>
    <w:rsid w:val="6BC13764"/>
    <w:rsid w:val="6BF32697"/>
    <w:rsid w:val="6CB00CAD"/>
    <w:rsid w:val="6E4A4A72"/>
    <w:rsid w:val="70375785"/>
    <w:rsid w:val="706E0819"/>
    <w:rsid w:val="71AF39EB"/>
    <w:rsid w:val="71C6757D"/>
    <w:rsid w:val="757C2610"/>
    <w:rsid w:val="76C31982"/>
    <w:rsid w:val="775A4527"/>
    <w:rsid w:val="777B3E58"/>
    <w:rsid w:val="77E94CA1"/>
    <w:rsid w:val="79C205BE"/>
    <w:rsid w:val="7ABD77C8"/>
    <w:rsid w:val="7C836A41"/>
    <w:rsid w:val="7E8D58B4"/>
    <w:rsid w:val="7EB94E5B"/>
    <w:rsid w:val="7EE5313E"/>
    <w:rsid w:val="7EF436BD"/>
    <w:rsid w:val="7FC3433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qFormat="1" w:unhideWhenUsed="0" w:uiPriority="99" w:semiHidden="0" w:name="table of figures"/>
    <w:lsdException w:uiPriority="99" w:name="envelope address"/>
    <w:lsdException w:uiPriority="99" w:name="envelope return"/>
    <w:lsdException w:qFormat="1" w:unhideWhenUsed="0" w:uiPriority="99" w:semiHidden="0"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iPriority="99" w:semiHidden="0" w:name="Body Text First Indent"/>
    <w:lsdException w:uiPriority="99" w:name="Body Text First Indent 2"/>
    <w:lsdException w:uiPriority="99" w:name="Note Heading"/>
    <w:lsdException w:qFormat="1" w:unhideWhenUsed="0" w:uiPriority="99" w:semiHidden="0" w:name="Body Text 2"/>
    <w:lsdException w:uiPriority="99" w:name="Body Text 3"/>
    <w:lsdException w:qFormat="1" w:unhideWhenUsed="0" w:uiPriority="99" w:semiHidden="0" w:name="Body Text Indent 2"/>
    <w:lsdException w:qFormat="1" w:unhideWhenUsed="0" w:uiPriority="99"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qFormat="1"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3"/>
    <w:qFormat/>
    <w:uiPriority w:val="0"/>
    <w:pPr>
      <w:keepNext/>
      <w:keepLines/>
      <w:spacing w:beforeLines="30" w:after="330"/>
      <w:ind w:firstLine="0" w:firstLineChars="0"/>
      <w:jc w:val="center"/>
      <w:outlineLvl w:val="0"/>
    </w:pPr>
    <w:rPr>
      <w:rFonts w:ascii="黑体" w:hAnsi="黑体" w:eastAsia="黑体"/>
      <w:b/>
      <w:bCs/>
      <w:kern w:val="0"/>
      <w:sz w:val="36"/>
      <w:szCs w:val="36"/>
    </w:rPr>
  </w:style>
  <w:style w:type="paragraph" w:styleId="3">
    <w:name w:val="heading 2"/>
    <w:basedOn w:val="1"/>
    <w:next w:val="1"/>
    <w:link w:val="54"/>
    <w:qFormat/>
    <w:uiPriority w:val="9"/>
    <w:pPr>
      <w:keepNext/>
      <w:keepLines/>
      <w:spacing w:beforeLines="100" w:after="163"/>
      <w:ind w:right="240" w:rightChars="100" w:firstLine="0" w:firstLineChars="0"/>
      <w:jc w:val="left"/>
      <w:outlineLvl w:val="1"/>
    </w:pPr>
    <w:rPr>
      <w:rFonts w:ascii="黑体" w:hAnsi="黑体" w:eastAsia="黑体"/>
      <w:b/>
      <w:bCs/>
      <w:sz w:val="28"/>
      <w:szCs w:val="28"/>
    </w:rPr>
  </w:style>
  <w:style w:type="paragraph" w:styleId="4">
    <w:name w:val="heading 3"/>
    <w:basedOn w:val="1"/>
    <w:next w:val="1"/>
    <w:link w:val="55"/>
    <w:qFormat/>
    <w:uiPriority w:val="9"/>
    <w:pPr>
      <w:keepNext/>
      <w:keepLines/>
      <w:spacing w:before="50" w:beforeLines="50"/>
      <w:ind w:firstLine="150" w:firstLineChars="150"/>
      <w:outlineLvl w:val="2"/>
    </w:pPr>
    <w:rPr>
      <w:rFonts w:eastAsia="黑体"/>
      <w:bCs/>
      <w:kern w:val="0"/>
    </w:rPr>
  </w:style>
  <w:style w:type="paragraph" w:styleId="5">
    <w:name w:val="heading 4"/>
    <w:basedOn w:val="1"/>
    <w:next w:val="1"/>
    <w:link w:val="56"/>
    <w:qFormat/>
    <w:uiPriority w:val="9"/>
    <w:pPr>
      <w:keepNext/>
      <w:keepLines/>
      <w:spacing w:before="280" w:after="290" w:line="240" w:lineRule="atLeast"/>
      <w:ind w:firstLine="0" w:firstLineChars="0"/>
      <w:jc w:val="center"/>
      <w:outlineLvl w:val="3"/>
    </w:pPr>
    <w:rPr>
      <w:rFonts w:ascii="Cambria" w:hAnsi="Cambria"/>
      <w:b/>
      <w:bCs/>
      <w:sz w:val="21"/>
      <w:szCs w:val="21"/>
    </w:rPr>
  </w:style>
  <w:style w:type="paragraph" w:styleId="6">
    <w:name w:val="heading 5"/>
    <w:basedOn w:val="1"/>
    <w:next w:val="1"/>
    <w:link w:val="57"/>
    <w:qFormat/>
    <w:uiPriority w:val="9"/>
    <w:pPr>
      <w:keepNext/>
      <w:tabs>
        <w:tab w:val="left" w:pos="1440"/>
      </w:tabs>
      <w:snapToGrid w:val="0"/>
      <w:spacing w:line="240" w:lineRule="atLeast"/>
      <w:ind w:left="1440" w:firstLine="0" w:firstLineChars="0"/>
      <w:jc w:val="center"/>
      <w:outlineLvl w:val="4"/>
    </w:pPr>
  </w:style>
  <w:style w:type="paragraph" w:styleId="7">
    <w:name w:val="heading 6"/>
    <w:basedOn w:val="1"/>
    <w:next w:val="1"/>
    <w:link w:val="58"/>
    <w:qFormat/>
    <w:uiPriority w:val="9"/>
    <w:pPr>
      <w:keepNext/>
      <w:keepLines/>
      <w:tabs>
        <w:tab w:val="left" w:pos="1800"/>
      </w:tabs>
      <w:spacing w:before="240" w:after="64" w:line="320" w:lineRule="auto"/>
      <w:ind w:left="1800" w:firstLine="0" w:firstLineChars="0"/>
      <w:outlineLvl w:val="5"/>
    </w:pPr>
    <w:rPr>
      <w:rFonts w:ascii="Arial" w:hAnsi="Arial" w:eastAsia="黑体"/>
      <w:bCs/>
    </w:rPr>
  </w:style>
  <w:style w:type="paragraph" w:styleId="8">
    <w:name w:val="heading 7"/>
    <w:basedOn w:val="1"/>
    <w:next w:val="1"/>
    <w:link w:val="59"/>
    <w:qFormat/>
    <w:uiPriority w:val="9"/>
    <w:pPr>
      <w:keepNext/>
      <w:keepLines/>
      <w:tabs>
        <w:tab w:val="left" w:pos="2160"/>
      </w:tabs>
      <w:spacing w:before="240" w:after="64" w:line="320" w:lineRule="auto"/>
      <w:ind w:left="2160" w:firstLine="0" w:firstLineChars="0"/>
      <w:outlineLvl w:val="6"/>
    </w:pPr>
    <w:rPr>
      <w:bCs/>
    </w:rPr>
  </w:style>
  <w:style w:type="paragraph" w:styleId="9">
    <w:name w:val="heading 8"/>
    <w:basedOn w:val="1"/>
    <w:next w:val="1"/>
    <w:link w:val="60"/>
    <w:qFormat/>
    <w:uiPriority w:val="9"/>
    <w:pPr>
      <w:keepNext/>
      <w:keepLines/>
      <w:tabs>
        <w:tab w:val="left" w:pos="2520"/>
      </w:tabs>
      <w:spacing w:before="240" w:after="64" w:line="320" w:lineRule="auto"/>
      <w:ind w:left="2520" w:firstLine="0" w:firstLineChars="0"/>
      <w:outlineLvl w:val="7"/>
    </w:pPr>
    <w:rPr>
      <w:rFonts w:ascii="Arial" w:hAnsi="Arial" w:eastAsia="黑体"/>
    </w:rPr>
  </w:style>
  <w:style w:type="paragraph" w:styleId="10">
    <w:name w:val="heading 9"/>
    <w:basedOn w:val="1"/>
    <w:next w:val="1"/>
    <w:link w:val="61"/>
    <w:qFormat/>
    <w:uiPriority w:val="9"/>
    <w:pPr>
      <w:keepNext/>
      <w:keepLines/>
      <w:tabs>
        <w:tab w:val="left" w:pos="2520"/>
      </w:tabs>
      <w:spacing w:before="240" w:after="64" w:line="320" w:lineRule="auto"/>
      <w:ind w:left="2520" w:firstLine="0" w:firstLineChars="0"/>
      <w:outlineLvl w:val="8"/>
    </w:pPr>
    <w:rPr>
      <w:rFonts w:ascii="Arial" w:hAnsi="Arial" w:eastAsia="黑体"/>
      <w:sz w:val="21"/>
      <w:szCs w:val="21"/>
    </w:rPr>
  </w:style>
  <w:style w:type="character" w:default="1" w:styleId="45">
    <w:name w:val="Default Paragraph Font"/>
    <w:semiHidden/>
    <w:unhideWhenUsed/>
    <w:qFormat/>
    <w:uiPriority w:val="1"/>
  </w:style>
  <w:style w:type="table" w:default="1" w:styleId="42">
    <w:name w:val="Normal Table"/>
    <w:semiHidden/>
    <w:unhideWhenUsed/>
    <w:qFormat/>
    <w:uiPriority w:val="99"/>
    <w:tblPr>
      <w:tblLayout w:type="fixed"/>
      <w:tblCellMar>
        <w:top w:w="0" w:type="dxa"/>
        <w:left w:w="108" w:type="dxa"/>
        <w:bottom w:w="0" w:type="dxa"/>
        <w:right w:w="108" w:type="dxa"/>
      </w:tblCellMar>
    </w:tblPr>
  </w:style>
  <w:style w:type="paragraph" w:styleId="11">
    <w:name w:val="toc 7"/>
    <w:basedOn w:val="1"/>
    <w:next w:val="1"/>
    <w:qFormat/>
    <w:uiPriority w:val="99"/>
    <w:pPr>
      <w:spacing w:line="240" w:lineRule="auto"/>
      <w:ind w:left="2520" w:leftChars="1200"/>
    </w:pPr>
  </w:style>
  <w:style w:type="paragraph" w:styleId="12">
    <w:name w:val="Normal Indent"/>
    <w:basedOn w:val="1"/>
    <w:qFormat/>
    <w:uiPriority w:val="99"/>
    <w:pPr>
      <w:ind w:firstLine="420"/>
    </w:pPr>
    <w:rPr>
      <w:b/>
    </w:rPr>
  </w:style>
  <w:style w:type="paragraph" w:styleId="13">
    <w:name w:val="caption"/>
    <w:basedOn w:val="1"/>
    <w:next w:val="1"/>
    <w:qFormat/>
    <w:uiPriority w:val="35"/>
    <w:pPr>
      <w:spacing w:beforeLines="30" w:line="300" w:lineRule="auto"/>
    </w:pPr>
    <w:rPr>
      <w:rFonts w:ascii="Cambria" w:hAnsi="Cambria" w:eastAsia="黑体"/>
      <w:sz w:val="20"/>
      <w:szCs w:val="20"/>
    </w:rPr>
  </w:style>
  <w:style w:type="paragraph" w:styleId="14">
    <w:name w:val="Document Map"/>
    <w:basedOn w:val="1"/>
    <w:link w:val="67"/>
    <w:semiHidden/>
    <w:qFormat/>
    <w:uiPriority w:val="99"/>
    <w:pPr>
      <w:shd w:val="clear" w:color="auto" w:fill="000080"/>
    </w:pPr>
    <w:rPr>
      <w:kern w:val="0"/>
      <w:sz w:val="0"/>
      <w:szCs w:val="0"/>
    </w:rPr>
  </w:style>
  <w:style w:type="paragraph" w:styleId="15">
    <w:name w:val="toa heading"/>
    <w:basedOn w:val="1"/>
    <w:next w:val="1"/>
    <w:unhideWhenUsed/>
    <w:qFormat/>
    <w:uiPriority w:val="99"/>
    <w:pPr>
      <w:spacing w:before="120"/>
    </w:pPr>
    <w:rPr>
      <w:rFonts w:ascii="Arial" w:hAnsi="Arial"/>
    </w:rPr>
  </w:style>
  <w:style w:type="paragraph" w:styleId="16">
    <w:name w:val="annotation text"/>
    <w:basedOn w:val="1"/>
    <w:link w:val="200"/>
    <w:qFormat/>
    <w:uiPriority w:val="99"/>
    <w:pPr>
      <w:spacing w:beforeLines="30" w:line="300" w:lineRule="auto"/>
      <w:jc w:val="left"/>
    </w:pPr>
    <w:rPr>
      <w:rFonts w:ascii="Calibri" w:hAnsi="Calibri"/>
      <w:sz w:val="22"/>
      <w:szCs w:val="22"/>
    </w:rPr>
  </w:style>
  <w:style w:type="paragraph" w:styleId="17">
    <w:name w:val="Body Text"/>
    <w:basedOn w:val="1"/>
    <w:link w:val="94"/>
    <w:qFormat/>
    <w:uiPriority w:val="0"/>
    <w:rPr>
      <w:rFonts w:ascii="宋体"/>
      <w:szCs w:val="20"/>
    </w:rPr>
  </w:style>
  <w:style w:type="paragraph" w:styleId="18">
    <w:name w:val="Body Text Indent"/>
    <w:basedOn w:val="1"/>
    <w:link w:val="103"/>
    <w:qFormat/>
    <w:uiPriority w:val="99"/>
    <w:pPr>
      <w:spacing w:line="240" w:lineRule="auto"/>
      <w:ind w:firstLine="555"/>
    </w:pPr>
    <w:rPr>
      <w:sz w:val="30"/>
      <w:szCs w:val="20"/>
    </w:rPr>
  </w:style>
  <w:style w:type="paragraph" w:styleId="19">
    <w:name w:val="toc 5"/>
    <w:basedOn w:val="1"/>
    <w:next w:val="1"/>
    <w:qFormat/>
    <w:uiPriority w:val="99"/>
    <w:pPr>
      <w:spacing w:line="240" w:lineRule="auto"/>
      <w:ind w:left="1680" w:leftChars="800"/>
    </w:pPr>
  </w:style>
  <w:style w:type="paragraph" w:styleId="20">
    <w:name w:val="toc 3"/>
    <w:basedOn w:val="1"/>
    <w:next w:val="1"/>
    <w:qFormat/>
    <w:uiPriority w:val="39"/>
    <w:pPr>
      <w:ind w:left="840" w:leftChars="400"/>
    </w:pPr>
  </w:style>
  <w:style w:type="paragraph" w:styleId="21">
    <w:name w:val="Plain Text"/>
    <w:basedOn w:val="1"/>
    <w:link w:val="87"/>
    <w:qFormat/>
    <w:uiPriority w:val="99"/>
    <w:pPr>
      <w:spacing w:line="240" w:lineRule="auto"/>
      <w:ind w:firstLine="0" w:firstLineChars="0"/>
    </w:pPr>
    <w:rPr>
      <w:rFonts w:ascii="宋体" w:hAnsi="Courier New"/>
      <w:sz w:val="21"/>
      <w:szCs w:val="20"/>
    </w:rPr>
  </w:style>
  <w:style w:type="paragraph" w:styleId="22">
    <w:name w:val="toc 8"/>
    <w:basedOn w:val="1"/>
    <w:next w:val="1"/>
    <w:qFormat/>
    <w:uiPriority w:val="99"/>
    <w:pPr>
      <w:spacing w:line="240" w:lineRule="auto"/>
      <w:ind w:left="2940" w:leftChars="1400"/>
    </w:pPr>
  </w:style>
  <w:style w:type="paragraph" w:styleId="23">
    <w:name w:val="Date"/>
    <w:basedOn w:val="1"/>
    <w:next w:val="1"/>
    <w:link w:val="68"/>
    <w:qFormat/>
    <w:uiPriority w:val="99"/>
    <w:pPr>
      <w:ind w:left="100" w:leftChars="2500"/>
    </w:pPr>
  </w:style>
  <w:style w:type="paragraph" w:styleId="24">
    <w:name w:val="Body Text Indent 2"/>
    <w:basedOn w:val="1"/>
    <w:link w:val="82"/>
    <w:qFormat/>
    <w:uiPriority w:val="99"/>
    <w:pPr>
      <w:spacing w:line="240" w:lineRule="auto"/>
      <w:ind w:firstLine="540"/>
    </w:pPr>
    <w:rPr>
      <w:b/>
      <w:sz w:val="28"/>
      <w:szCs w:val="20"/>
    </w:rPr>
  </w:style>
  <w:style w:type="paragraph" w:styleId="25">
    <w:name w:val="Balloon Text"/>
    <w:basedOn w:val="1"/>
    <w:link w:val="75"/>
    <w:semiHidden/>
    <w:qFormat/>
    <w:uiPriority w:val="99"/>
    <w:rPr>
      <w:sz w:val="18"/>
      <w:szCs w:val="18"/>
    </w:rPr>
  </w:style>
  <w:style w:type="paragraph" w:styleId="26">
    <w:name w:val="footer"/>
    <w:basedOn w:val="1"/>
    <w:link w:val="64"/>
    <w:qFormat/>
    <w:uiPriority w:val="99"/>
    <w:pPr>
      <w:tabs>
        <w:tab w:val="center" w:pos="4153"/>
        <w:tab w:val="right" w:pos="8306"/>
      </w:tabs>
      <w:snapToGrid w:val="0"/>
      <w:jc w:val="left"/>
    </w:pPr>
    <w:rPr>
      <w:sz w:val="18"/>
      <w:szCs w:val="18"/>
    </w:rPr>
  </w:style>
  <w:style w:type="paragraph" w:styleId="27">
    <w:name w:val="header"/>
    <w:basedOn w:val="1"/>
    <w:link w:val="63"/>
    <w:qFormat/>
    <w:uiPriority w:val="99"/>
    <w:pPr>
      <w:pBdr>
        <w:bottom w:val="single" w:color="auto" w:sz="6" w:space="1"/>
      </w:pBdr>
      <w:tabs>
        <w:tab w:val="center" w:pos="4153"/>
        <w:tab w:val="right" w:pos="8306"/>
      </w:tabs>
      <w:snapToGrid w:val="0"/>
      <w:jc w:val="center"/>
    </w:pPr>
    <w:rPr>
      <w:sz w:val="18"/>
      <w:szCs w:val="20"/>
    </w:rPr>
  </w:style>
  <w:style w:type="paragraph" w:styleId="28">
    <w:name w:val="toc 1"/>
    <w:basedOn w:val="1"/>
    <w:next w:val="1"/>
    <w:qFormat/>
    <w:uiPriority w:val="39"/>
    <w:pPr>
      <w:tabs>
        <w:tab w:val="right" w:leader="dot" w:pos="8296"/>
      </w:tabs>
      <w:spacing w:line="400" w:lineRule="exact"/>
      <w:ind w:firstLine="482"/>
    </w:pPr>
    <w:rPr>
      <w:b/>
    </w:rPr>
  </w:style>
  <w:style w:type="paragraph" w:styleId="29">
    <w:name w:val="toc 4"/>
    <w:basedOn w:val="1"/>
    <w:next w:val="1"/>
    <w:qFormat/>
    <w:uiPriority w:val="99"/>
    <w:pPr>
      <w:spacing w:line="240" w:lineRule="auto"/>
      <w:ind w:left="1260" w:leftChars="600"/>
    </w:pPr>
  </w:style>
  <w:style w:type="paragraph" w:styleId="30">
    <w:name w:val="List"/>
    <w:basedOn w:val="1"/>
    <w:qFormat/>
    <w:uiPriority w:val="99"/>
    <w:pPr>
      <w:ind w:left="200" w:hanging="200" w:hangingChars="200"/>
    </w:pPr>
  </w:style>
  <w:style w:type="paragraph" w:styleId="31">
    <w:name w:val="footnote text"/>
    <w:basedOn w:val="1"/>
    <w:link w:val="93"/>
    <w:qFormat/>
    <w:uiPriority w:val="99"/>
    <w:pPr>
      <w:snapToGrid w:val="0"/>
      <w:spacing w:line="240" w:lineRule="auto"/>
      <w:ind w:firstLine="535" w:firstLineChars="222"/>
      <w:jc w:val="left"/>
    </w:pPr>
    <w:rPr>
      <w:b/>
      <w:sz w:val="18"/>
      <w:szCs w:val="20"/>
    </w:rPr>
  </w:style>
  <w:style w:type="paragraph" w:styleId="32">
    <w:name w:val="toc 6"/>
    <w:basedOn w:val="1"/>
    <w:next w:val="1"/>
    <w:qFormat/>
    <w:uiPriority w:val="99"/>
    <w:pPr>
      <w:spacing w:line="240" w:lineRule="auto"/>
      <w:ind w:left="2100" w:leftChars="1000"/>
    </w:pPr>
  </w:style>
  <w:style w:type="paragraph" w:styleId="33">
    <w:name w:val="Body Text Indent 3"/>
    <w:basedOn w:val="1"/>
    <w:link w:val="90"/>
    <w:qFormat/>
    <w:uiPriority w:val="99"/>
    <w:pPr>
      <w:spacing w:line="240" w:lineRule="auto"/>
      <w:ind w:firstLine="574"/>
    </w:pPr>
    <w:rPr>
      <w:rFonts w:ascii="宋体"/>
      <w:b/>
      <w:color w:val="FF9900"/>
      <w:szCs w:val="20"/>
    </w:rPr>
  </w:style>
  <w:style w:type="paragraph" w:styleId="34">
    <w:name w:val="table of figures"/>
    <w:basedOn w:val="1"/>
    <w:next w:val="1"/>
    <w:qFormat/>
    <w:uiPriority w:val="99"/>
    <w:pPr>
      <w:spacing w:beforeLines="30" w:line="300" w:lineRule="auto"/>
      <w:ind w:left="200" w:leftChars="200" w:hanging="200" w:hangingChars="200"/>
    </w:pPr>
    <w:rPr>
      <w:rFonts w:ascii="Calibri" w:hAnsi="Calibri"/>
      <w:szCs w:val="22"/>
    </w:rPr>
  </w:style>
  <w:style w:type="paragraph" w:styleId="35">
    <w:name w:val="toc 2"/>
    <w:basedOn w:val="1"/>
    <w:next w:val="1"/>
    <w:qFormat/>
    <w:uiPriority w:val="39"/>
    <w:pPr>
      <w:tabs>
        <w:tab w:val="right" w:leader="dot" w:pos="8296"/>
      </w:tabs>
      <w:snapToGrid w:val="0"/>
      <w:spacing w:line="400" w:lineRule="exact"/>
      <w:ind w:left="480" w:leftChars="200" w:firstLine="0" w:firstLineChars="0"/>
      <w:jc w:val="left"/>
    </w:pPr>
  </w:style>
  <w:style w:type="paragraph" w:styleId="36">
    <w:name w:val="toc 9"/>
    <w:basedOn w:val="1"/>
    <w:next w:val="1"/>
    <w:qFormat/>
    <w:uiPriority w:val="99"/>
    <w:pPr>
      <w:ind w:left="3360" w:leftChars="1600"/>
    </w:pPr>
  </w:style>
  <w:style w:type="paragraph" w:styleId="37">
    <w:name w:val="Body Text 2"/>
    <w:basedOn w:val="1"/>
    <w:link w:val="88"/>
    <w:qFormat/>
    <w:uiPriority w:val="99"/>
    <w:pPr>
      <w:spacing w:after="120" w:line="480" w:lineRule="auto"/>
      <w:ind w:firstLine="0" w:firstLineChars="0"/>
    </w:pPr>
    <w:rPr>
      <w:szCs w:val="20"/>
    </w:rPr>
  </w:style>
  <w:style w:type="paragraph" w:styleId="38">
    <w:name w:val="Normal (Web)"/>
    <w:basedOn w:val="1"/>
    <w:qFormat/>
    <w:uiPriority w:val="99"/>
    <w:pPr>
      <w:widowControl/>
      <w:spacing w:before="100" w:beforeAutospacing="1" w:after="100" w:afterAutospacing="1" w:line="240" w:lineRule="auto"/>
      <w:jc w:val="left"/>
    </w:pPr>
    <w:rPr>
      <w:rFonts w:ascii="宋体" w:hAnsi="宋体"/>
      <w:kern w:val="0"/>
      <w:sz w:val="22"/>
      <w:szCs w:val="22"/>
    </w:rPr>
  </w:style>
  <w:style w:type="paragraph" w:styleId="39">
    <w:name w:val="Title"/>
    <w:basedOn w:val="1"/>
    <w:next w:val="1"/>
    <w:link w:val="188"/>
    <w:qFormat/>
    <w:uiPriority w:val="99"/>
    <w:pPr>
      <w:spacing w:before="240" w:after="60"/>
      <w:jc w:val="center"/>
      <w:outlineLvl w:val="0"/>
    </w:pPr>
    <w:rPr>
      <w:rFonts w:ascii="Cambria" w:hAnsi="Cambria"/>
      <w:b/>
      <w:bCs/>
      <w:sz w:val="32"/>
      <w:szCs w:val="32"/>
    </w:rPr>
  </w:style>
  <w:style w:type="paragraph" w:styleId="40">
    <w:name w:val="annotation subject"/>
    <w:basedOn w:val="16"/>
    <w:next w:val="16"/>
    <w:link w:val="201"/>
    <w:qFormat/>
    <w:uiPriority w:val="99"/>
    <w:rPr>
      <w:b/>
      <w:bCs/>
    </w:rPr>
  </w:style>
  <w:style w:type="paragraph" w:styleId="41">
    <w:name w:val="Body Text First Indent"/>
    <w:basedOn w:val="17"/>
    <w:link w:val="226"/>
    <w:unhideWhenUsed/>
    <w:qFormat/>
    <w:uiPriority w:val="99"/>
    <w:pPr>
      <w:spacing w:after="120"/>
      <w:ind w:firstLine="420" w:firstLineChars="100"/>
    </w:pPr>
    <w:rPr>
      <w:rFonts w:ascii="Times New Roman"/>
      <w:szCs w:val="24"/>
    </w:rPr>
  </w:style>
  <w:style w:type="table" w:styleId="43">
    <w:name w:val="Table Grid"/>
    <w:basedOn w:val="4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44">
    <w:name w:val="Light Grid Accent 1"/>
    <w:basedOn w:val="42"/>
    <w:qFormat/>
    <w:uiPriority w:val="62"/>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Layout w:type="fixed"/>
    </w:tblPr>
    <w:tblStylePr w:type="firstRow">
      <w:pPr>
        <w:spacing w:before="0" w:after="0" w:line="240" w:lineRule="auto"/>
      </w:pPr>
      <w:rPr>
        <w:rFonts w:asciiTheme="majorHAnsi" w:hAnsiTheme="majorHAnsi" w:eastAsiaTheme="majorEastAsia" w:cstheme="majorBidi"/>
        <w:b/>
        <w:bCs/>
      </w:rPr>
      <w:tblPr>
        <w:tblLayout w:type="fixed"/>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blLayout w:type="fixed"/>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blLayout w:type="fixed"/>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blLayout w:type="fixed"/>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blLayout w:type="fixed"/>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blLayout w:type="fixed"/>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character" w:styleId="46">
    <w:name w:val="Strong"/>
    <w:qFormat/>
    <w:uiPriority w:val="99"/>
    <w:rPr>
      <w:rFonts w:cs="Times New Roman"/>
      <w:b/>
      <w:bCs/>
    </w:rPr>
  </w:style>
  <w:style w:type="character" w:styleId="47">
    <w:name w:val="page number"/>
    <w:qFormat/>
    <w:uiPriority w:val="0"/>
    <w:rPr>
      <w:rFonts w:cs="Times New Roman"/>
    </w:rPr>
  </w:style>
  <w:style w:type="character" w:styleId="48">
    <w:name w:val="FollowedHyperlink"/>
    <w:qFormat/>
    <w:uiPriority w:val="99"/>
    <w:rPr>
      <w:rFonts w:cs="Times New Roman"/>
      <w:color w:val="800080"/>
      <w:u w:val="single"/>
    </w:rPr>
  </w:style>
  <w:style w:type="character" w:styleId="49">
    <w:name w:val="Emphasis"/>
    <w:qFormat/>
    <w:uiPriority w:val="99"/>
    <w:rPr>
      <w:rFonts w:cs="Times New Roman"/>
      <w:i/>
    </w:rPr>
  </w:style>
  <w:style w:type="character" w:styleId="50">
    <w:name w:val="Hyperlink"/>
    <w:qFormat/>
    <w:uiPriority w:val="99"/>
    <w:rPr>
      <w:rFonts w:cs="Times New Roman"/>
      <w:color w:val="0000FF"/>
      <w:u w:val="single"/>
    </w:rPr>
  </w:style>
  <w:style w:type="character" w:styleId="51">
    <w:name w:val="annotation reference"/>
    <w:qFormat/>
    <w:uiPriority w:val="99"/>
    <w:rPr>
      <w:rFonts w:cs="Times New Roman"/>
      <w:sz w:val="21"/>
      <w:szCs w:val="21"/>
    </w:rPr>
  </w:style>
  <w:style w:type="character" w:styleId="52">
    <w:name w:val="footnote reference"/>
    <w:qFormat/>
    <w:uiPriority w:val="99"/>
    <w:rPr>
      <w:rFonts w:cs="Times New Roman"/>
      <w:vertAlign w:val="superscript"/>
    </w:rPr>
  </w:style>
  <w:style w:type="character" w:customStyle="1" w:styleId="53">
    <w:name w:val="标题 1 字符"/>
    <w:link w:val="2"/>
    <w:qFormat/>
    <w:locked/>
    <w:uiPriority w:val="0"/>
    <w:rPr>
      <w:rFonts w:ascii="黑体" w:hAnsi="黑体" w:eastAsia="黑体"/>
      <w:b/>
      <w:bCs/>
      <w:sz w:val="36"/>
      <w:szCs w:val="36"/>
    </w:rPr>
  </w:style>
  <w:style w:type="character" w:customStyle="1" w:styleId="54">
    <w:name w:val="标题 2 字符"/>
    <w:link w:val="3"/>
    <w:qFormat/>
    <w:locked/>
    <w:uiPriority w:val="9"/>
    <w:rPr>
      <w:rFonts w:ascii="黑体" w:hAnsi="黑体" w:eastAsia="黑体"/>
      <w:b/>
      <w:bCs/>
      <w:kern w:val="2"/>
      <w:sz w:val="28"/>
      <w:szCs w:val="28"/>
    </w:rPr>
  </w:style>
  <w:style w:type="character" w:customStyle="1" w:styleId="55">
    <w:name w:val="标题 3 字符"/>
    <w:link w:val="4"/>
    <w:qFormat/>
    <w:locked/>
    <w:uiPriority w:val="9"/>
    <w:rPr>
      <w:rFonts w:eastAsia="黑体"/>
      <w:bCs/>
      <w:sz w:val="24"/>
      <w:szCs w:val="24"/>
    </w:rPr>
  </w:style>
  <w:style w:type="character" w:customStyle="1" w:styleId="56">
    <w:name w:val="标题 4 字符"/>
    <w:link w:val="5"/>
    <w:qFormat/>
    <w:locked/>
    <w:uiPriority w:val="9"/>
    <w:rPr>
      <w:rFonts w:ascii="Cambria" w:hAnsi="Cambria"/>
      <w:b/>
      <w:bCs/>
      <w:kern w:val="2"/>
      <w:sz w:val="21"/>
      <w:szCs w:val="21"/>
    </w:rPr>
  </w:style>
  <w:style w:type="character" w:customStyle="1" w:styleId="57">
    <w:name w:val="标题 5 字符"/>
    <w:link w:val="6"/>
    <w:qFormat/>
    <w:locked/>
    <w:uiPriority w:val="9"/>
    <w:rPr>
      <w:rFonts w:cs="Times New Roman"/>
      <w:kern w:val="2"/>
      <w:sz w:val="24"/>
      <w:szCs w:val="24"/>
    </w:rPr>
  </w:style>
  <w:style w:type="character" w:customStyle="1" w:styleId="58">
    <w:name w:val="标题 6 字符"/>
    <w:link w:val="7"/>
    <w:qFormat/>
    <w:locked/>
    <w:uiPriority w:val="9"/>
    <w:rPr>
      <w:rFonts w:ascii="Arial" w:hAnsi="Arial" w:eastAsia="黑体" w:cs="Times New Roman"/>
      <w:bCs/>
      <w:kern w:val="2"/>
      <w:sz w:val="24"/>
      <w:szCs w:val="24"/>
    </w:rPr>
  </w:style>
  <w:style w:type="character" w:customStyle="1" w:styleId="59">
    <w:name w:val="标题 7 字符"/>
    <w:link w:val="8"/>
    <w:qFormat/>
    <w:locked/>
    <w:uiPriority w:val="9"/>
    <w:rPr>
      <w:rFonts w:cs="Times New Roman"/>
      <w:bCs/>
      <w:kern w:val="2"/>
      <w:sz w:val="24"/>
      <w:szCs w:val="24"/>
    </w:rPr>
  </w:style>
  <w:style w:type="character" w:customStyle="1" w:styleId="60">
    <w:name w:val="标题 8 字符"/>
    <w:link w:val="9"/>
    <w:qFormat/>
    <w:locked/>
    <w:uiPriority w:val="9"/>
    <w:rPr>
      <w:rFonts w:ascii="Arial" w:hAnsi="Arial" w:eastAsia="黑体" w:cs="Times New Roman"/>
      <w:kern w:val="2"/>
      <w:sz w:val="24"/>
      <w:szCs w:val="24"/>
    </w:rPr>
  </w:style>
  <w:style w:type="character" w:customStyle="1" w:styleId="61">
    <w:name w:val="标题 9 字符"/>
    <w:link w:val="10"/>
    <w:qFormat/>
    <w:locked/>
    <w:uiPriority w:val="9"/>
    <w:rPr>
      <w:rFonts w:ascii="Arial" w:hAnsi="Arial" w:eastAsia="黑体" w:cs="Times New Roman"/>
      <w:kern w:val="2"/>
      <w:sz w:val="21"/>
      <w:szCs w:val="21"/>
    </w:rPr>
  </w:style>
  <w:style w:type="character" w:customStyle="1" w:styleId="62">
    <w:name w:val="标题二"/>
    <w:qFormat/>
    <w:uiPriority w:val="99"/>
    <w:rPr>
      <w:rFonts w:ascii="黑体" w:hAnsi="黑体" w:eastAsia="黑体" w:cs="Times New Roman"/>
      <w:sz w:val="24"/>
    </w:rPr>
  </w:style>
  <w:style w:type="character" w:customStyle="1" w:styleId="63">
    <w:name w:val="页眉 字符"/>
    <w:link w:val="27"/>
    <w:qFormat/>
    <w:locked/>
    <w:uiPriority w:val="99"/>
    <w:rPr>
      <w:kern w:val="2"/>
      <w:sz w:val="18"/>
    </w:rPr>
  </w:style>
  <w:style w:type="character" w:customStyle="1" w:styleId="64">
    <w:name w:val="页脚 字符"/>
    <w:link w:val="26"/>
    <w:qFormat/>
    <w:locked/>
    <w:uiPriority w:val="99"/>
    <w:rPr>
      <w:rFonts w:cs="Times New Roman"/>
      <w:kern w:val="2"/>
      <w:sz w:val="18"/>
      <w:szCs w:val="18"/>
    </w:rPr>
  </w:style>
  <w:style w:type="paragraph" w:customStyle="1" w:styleId="65">
    <w:name w:val="标题三"/>
    <w:basedOn w:val="1"/>
    <w:qFormat/>
    <w:uiPriority w:val="99"/>
    <w:pPr>
      <w:numPr>
        <w:ilvl w:val="1"/>
        <w:numId w:val="1"/>
      </w:numPr>
    </w:pPr>
    <w:rPr>
      <w:rFonts w:ascii="宋体" w:hAnsi="宋体"/>
    </w:rPr>
  </w:style>
  <w:style w:type="character" w:customStyle="1" w:styleId="66">
    <w:name w:val="street-address"/>
    <w:qFormat/>
    <w:uiPriority w:val="99"/>
    <w:rPr>
      <w:rFonts w:cs="Times New Roman"/>
    </w:rPr>
  </w:style>
  <w:style w:type="character" w:customStyle="1" w:styleId="67">
    <w:name w:val="文档结构图 字符"/>
    <w:link w:val="14"/>
    <w:semiHidden/>
    <w:qFormat/>
    <w:uiPriority w:val="99"/>
    <w:rPr>
      <w:sz w:val="0"/>
      <w:szCs w:val="0"/>
    </w:rPr>
  </w:style>
  <w:style w:type="character" w:customStyle="1" w:styleId="68">
    <w:name w:val="日期 字符"/>
    <w:link w:val="23"/>
    <w:qFormat/>
    <w:locked/>
    <w:uiPriority w:val="99"/>
    <w:rPr>
      <w:rFonts w:cs="Times New Roman"/>
      <w:kern w:val="2"/>
      <w:sz w:val="24"/>
      <w:szCs w:val="24"/>
    </w:rPr>
  </w:style>
  <w:style w:type="paragraph" w:customStyle="1" w:styleId="69">
    <w:name w:val="表格"/>
    <w:basedOn w:val="30"/>
    <w:qFormat/>
    <w:uiPriority w:val="99"/>
    <w:pPr>
      <w:spacing w:line="240" w:lineRule="atLeast"/>
      <w:ind w:left="0" w:firstLine="0" w:firstLineChars="0"/>
      <w:jc w:val="center"/>
    </w:pPr>
    <w:rPr>
      <w:b/>
      <w:kern w:val="0"/>
      <w:sz w:val="18"/>
      <w:szCs w:val="18"/>
    </w:rPr>
  </w:style>
  <w:style w:type="paragraph" w:customStyle="1" w:styleId="70">
    <w:name w:val="样式 表格 + 小四"/>
    <w:basedOn w:val="69"/>
    <w:qFormat/>
    <w:uiPriority w:val="99"/>
    <w:pPr>
      <w:spacing w:beforeLines="30" w:afterLines="50"/>
    </w:pPr>
    <w:rPr>
      <w:bCs/>
      <w:sz w:val="24"/>
    </w:rPr>
  </w:style>
  <w:style w:type="paragraph" w:customStyle="1" w:styleId="71">
    <w:name w:val="标题1"/>
    <w:basedOn w:val="1"/>
    <w:qFormat/>
    <w:uiPriority w:val="99"/>
    <w:pPr>
      <w:numPr>
        <w:ilvl w:val="0"/>
        <w:numId w:val="2"/>
      </w:numPr>
    </w:pPr>
    <w:rPr>
      <w:rFonts w:ascii="黑体" w:hAnsi="宋体" w:eastAsia="黑体"/>
      <w:sz w:val="28"/>
      <w:szCs w:val="28"/>
    </w:rPr>
  </w:style>
  <w:style w:type="character" w:customStyle="1" w:styleId="72">
    <w:name w:val="left_text11"/>
    <w:qFormat/>
    <w:uiPriority w:val="99"/>
    <w:rPr>
      <w:rFonts w:ascii="??" w:hAnsi="??" w:cs="Times New Roman"/>
      <w:color w:val="33312E"/>
      <w:sz w:val="21"/>
      <w:szCs w:val="21"/>
    </w:rPr>
  </w:style>
  <w:style w:type="paragraph" w:customStyle="1" w:styleId="73">
    <w:name w:val="2"/>
    <w:basedOn w:val="1"/>
    <w:link w:val="89"/>
    <w:qFormat/>
    <w:uiPriority w:val="99"/>
    <w:pPr>
      <w:widowControl/>
      <w:spacing w:before="100" w:beforeAutospacing="1" w:after="100" w:afterAutospacing="1" w:line="288" w:lineRule="auto"/>
      <w:jc w:val="left"/>
    </w:pPr>
    <w:rPr>
      <w:rFonts w:ascii="宋体"/>
      <w:color w:val="303030"/>
      <w:kern w:val="0"/>
      <w:sz w:val="21"/>
      <w:szCs w:val="20"/>
    </w:rPr>
  </w:style>
  <w:style w:type="paragraph" w:customStyle="1" w:styleId="74">
    <w:name w:val="列出段落1"/>
    <w:basedOn w:val="1"/>
    <w:qFormat/>
    <w:uiPriority w:val="34"/>
    <w:pPr>
      <w:ind w:firstLine="420"/>
    </w:pPr>
  </w:style>
  <w:style w:type="character" w:customStyle="1" w:styleId="75">
    <w:name w:val="批注框文本 字符"/>
    <w:link w:val="25"/>
    <w:semiHidden/>
    <w:qFormat/>
    <w:locked/>
    <w:uiPriority w:val="99"/>
    <w:rPr>
      <w:rFonts w:cs="Times New Roman"/>
      <w:kern w:val="2"/>
      <w:sz w:val="18"/>
      <w:szCs w:val="18"/>
    </w:rPr>
  </w:style>
  <w:style w:type="paragraph" w:customStyle="1" w:styleId="76">
    <w:name w:val="TOC 标题1"/>
    <w:basedOn w:val="2"/>
    <w:next w:val="1"/>
    <w:qFormat/>
    <w:uiPriority w:val="99"/>
    <w:pPr>
      <w:widowControl/>
      <w:spacing w:before="480" w:after="0" w:line="276" w:lineRule="auto"/>
      <w:jc w:val="left"/>
      <w:outlineLvl w:val="9"/>
    </w:pPr>
    <w:rPr>
      <w:rFonts w:ascii="Cambria" w:hAnsi="Cambria" w:eastAsia="宋体"/>
      <w:color w:val="365F91"/>
      <w:sz w:val="28"/>
      <w:szCs w:val="28"/>
    </w:rPr>
  </w:style>
  <w:style w:type="paragraph" w:customStyle="1" w:styleId="77">
    <w:name w:val="表格文字"/>
    <w:qFormat/>
    <w:uiPriority w:val="99"/>
    <w:pPr>
      <w:snapToGrid w:val="0"/>
    </w:pPr>
    <w:rPr>
      <w:rFonts w:ascii="宋体" w:hAnsi="宋体" w:eastAsia="宋体" w:cs="Times New Roman"/>
      <w:bCs/>
      <w:color w:val="FF0000"/>
      <w:sz w:val="18"/>
      <w:szCs w:val="21"/>
      <w:lang w:val="en-US" w:eastAsia="zh-CN" w:bidi="ar-SA"/>
    </w:rPr>
  </w:style>
  <w:style w:type="character" w:customStyle="1" w:styleId="78">
    <w:name w:val="标题一"/>
    <w:qFormat/>
    <w:uiPriority w:val="99"/>
    <w:rPr>
      <w:rFonts w:ascii="黑体" w:hAnsi="黑体" w:eastAsia="黑体" w:cs="Times New Roman"/>
      <w:sz w:val="28"/>
    </w:rPr>
  </w:style>
  <w:style w:type="character" w:customStyle="1" w:styleId="79">
    <w:name w:val="表格2 Char"/>
    <w:link w:val="80"/>
    <w:qFormat/>
    <w:locked/>
    <w:uiPriority w:val="99"/>
    <w:rPr>
      <w:rFonts w:ascii="仿宋_GB2312" w:hAnsi="宋体" w:eastAsia="仿宋_GB2312"/>
      <w:kern w:val="2"/>
      <w:sz w:val="21"/>
    </w:rPr>
  </w:style>
  <w:style w:type="paragraph" w:customStyle="1" w:styleId="80">
    <w:name w:val="表格2"/>
    <w:basedOn w:val="1"/>
    <w:link w:val="79"/>
    <w:qFormat/>
    <w:uiPriority w:val="99"/>
    <w:pPr>
      <w:tabs>
        <w:tab w:val="left" w:pos="1440"/>
      </w:tabs>
      <w:snapToGrid w:val="0"/>
      <w:spacing w:before="368" w:after="230" w:line="240" w:lineRule="atLeast"/>
      <w:ind w:left="1440" w:firstLine="0" w:firstLineChars="0"/>
      <w:jc w:val="center"/>
    </w:pPr>
    <w:rPr>
      <w:rFonts w:ascii="仿宋_GB2312" w:hAnsi="宋体" w:eastAsia="仿宋_GB2312"/>
      <w:sz w:val="21"/>
      <w:szCs w:val="20"/>
    </w:rPr>
  </w:style>
  <w:style w:type="character" w:customStyle="1" w:styleId="81">
    <w:name w:val="正文文字 Char"/>
    <w:qFormat/>
    <w:uiPriority w:val="99"/>
    <w:rPr>
      <w:rFonts w:ascii="宋体" w:eastAsia="宋体"/>
      <w:kern w:val="2"/>
      <w:sz w:val="24"/>
      <w:lang w:val="en-US" w:eastAsia="zh-CN"/>
    </w:rPr>
  </w:style>
  <w:style w:type="character" w:customStyle="1" w:styleId="82">
    <w:name w:val="正文文本缩进 2 字符"/>
    <w:link w:val="24"/>
    <w:qFormat/>
    <w:locked/>
    <w:uiPriority w:val="99"/>
    <w:rPr>
      <w:b/>
      <w:kern w:val="2"/>
      <w:sz w:val="28"/>
    </w:rPr>
  </w:style>
  <w:style w:type="character" w:customStyle="1" w:styleId="83">
    <w:name w:val="纯文本 Char1"/>
    <w:semiHidden/>
    <w:qFormat/>
    <w:uiPriority w:val="99"/>
    <w:rPr>
      <w:rFonts w:ascii="宋体" w:hAnsi="Courier New"/>
      <w:b/>
      <w:kern w:val="2"/>
      <w:sz w:val="21"/>
    </w:rPr>
  </w:style>
  <w:style w:type="character" w:customStyle="1" w:styleId="84">
    <w:name w:val="apple-style-span"/>
    <w:qFormat/>
    <w:uiPriority w:val="0"/>
    <w:rPr>
      <w:rFonts w:cs="Times New Roman"/>
    </w:rPr>
  </w:style>
  <w:style w:type="character" w:customStyle="1" w:styleId="85">
    <w:name w:val="11 Char"/>
    <w:link w:val="86"/>
    <w:qFormat/>
    <w:locked/>
    <w:uiPriority w:val="99"/>
    <w:rPr>
      <w:rFonts w:ascii="黑体" w:hAnsi="Goudy Old Style"/>
      <w:b/>
      <w:kern w:val="2"/>
      <w:sz w:val="24"/>
    </w:rPr>
  </w:style>
  <w:style w:type="paragraph" w:customStyle="1" w:styleId="86">
    <w:name w:val="11"/>
    <w:basedOn w:val="73"/>
    <w:link w:val="85"/>
    <w:qFormat/>
    <w:uiPriority w:val="99"/>
    <w:pPr>
      <w:widowControl w:val="0"/>
      <w:spacing w:before="0" w:beforeAutospacing="0" w:after="0" w:afterAutospacing="0" w:line="420" w:lineRule="exact"/>
      <w:jc w:val="both"/>
    </w:pPr>
    <w:rPr>
      <w:rFonts w:ascii="黑体" w:hAnsi="Goudy Old Style"/>
      <w:b/>
      <w:color w:val="auto"/>
      <w:kern w:val="2"/>
      <w:sz w:val="24"/>
    </w:rPr>
  </w:style>
  <w:style w:type="character" w:customStyle="1" w:styleId="87">
    <w:name w:val="纯文本 字符"/>
    <w:link w:val="21"/>
    <w:qFormat/>
    <w:locked/>
    <w:uiPriority w:val="99"/>
    <w:rPr>
      <w:rFonts w:ascii="宋体" w:hAnsi="Courier New"/>
      <w:kern w:val="2"/>
      <w:sz w:val="21"/>
    </w:rPr>
  </w:style>
  <w:style w:type="character" w:customStyle="1" w:styleId="88">
    <w:name w:val="正文文本 2 字符"/>
    <w:link w:val="37"/>
    <w:qFormat/>
    <w:locked/>
    <w:uiPriority w:val="99"/>
    <w:rPr>
      <w:kern w:val="2"/>
      <w:sz w:val="24"/>
    </w:rPr>
  </w:style>
  <w:style w:type="character" w:customStyle="1" w:styleId="89">
    <w:name w:val="2 Char"/>
    <w:link w:val="73"/>
    <w:qFormat/>
    <w:locked/>
    <w:uiPriority w:val="99"/>
    <w:rPr>
      <w:rFonts w:ascii="宋体" w:eastAsia="宋体"/>
      <w:color w:val="303030"/>
      <w:sz w:val="21"/>
    </w:rPr>
  </w:style>
  <w:style w:type="character" w:customStyle="1" w:styleId="90">
    <w:name w:val="正文文本缩进 3 字符"/>
    <w:link w:val="33"/>
    <w:qFormat/>
    <w:locked/>
    <w:uiPriority w:val="99"/>
    <w:rPr>
      <w:rFonts w:ascii="宋体" w:eastAsia="宋体"/>
      <w:b/>
      <w:color w:val="FF9900"/>
      <w:kern w:val="2"/>
      <w:sz w:val="24"/>
    </w:rPr>
  </w:style>
  <w:style w:type="character" w:customStyle="1" w:styleId="91">
    <w:name w:val="无间隔 Char"/>
    <w:link w:val="92"/>
    <w:qFormat/>
    <w:locked/>
    <w:uiPriority w:val="99"/>
    <w:rPr>
      <w:rFonts w:ascii="Calibri" w:hAnsi="Calibri"/>
      <w:sz w:val="22"/>
      <w:szCs w:val="22"/>
      <w:lang w:val="en-US" w:eastAsia="zh-CN" w:bidi="ar-SA"/>
    </w:rPr>
  </w:style>
  <w:style w:type="paragraph" w:customStyle="1" w:styleId="92">
    <w:name w:val="无间隔1"/>
    <w:link w:val="91"/>
    <w:qFormat/>
    <w:uiPriority w:val="99"/>
    <w:rPr>
      <w:rFonts w:ascii="Calibri" w:hAnsi="Calibri" w:eastAsia="宋体" w:cs="Times New Roman"/>
      <w:sz w:val="22"/>
      <w:szCs w:val="22"/>
      <w:lang w:val="en-US" w:eastAsia="zh-CN" w:bidi="ar-SA"/>
    </w:rPr>
  </w:style>
  <w:style w:type="character" w:customStyle="1" w:styleId="93">
    <w:name w:val="脚注文本 字符"/>
    <w:link w:val="31"/>
    <w:qFormat/>
    <w:locked/>
    <w:uiPriority w:val="99"/>
    <w:rPr>
      <w:b/>
      <w:kern w:val="2"/>
      <w:sz w:val="18"/>
    </w:rPr>
  </w:style>
  <w:style w:type="character" w:customStyle="1" w:styleId="94">
    <w:name w:val="正文文本 字符"/>
    <w:link w:val="17"/>
    <w:qFormat/>
    <w:locked/>
    <w:uiPriority w:val="0"/>
    <w:rPr>
      <w:rFonts w:ascii="宋体" w:cs="Times New Roman"/>
      <w:kern w:val="2"/>
      <w:sz w:val="24"/>
    </w:rPr>
  </w:style>
  <w:style w:type="character" w:customStyle="1" w:styleId="95">
    <w:name w:val="Body Text Indent 2 Char1"/>
    <w:semiHidden/>
    <w:qFormat/>
    <w:uiPriority w:val="99"/>
    <w:rPr>
      <w:sz w:val="24"/>
      <w:szCs w:val="24"/>
    </w:rPr>
  </w:style>
  <w:style w:type="character" w:customStyle="1" w:styleId="96">
    <w:name w:val="正文文本缩进 2 Char1"/>
    <w:qFormat/>
    <w:uiPriority w:val="99"/>
    <w:rPr>
      <w:rFonts w:cs="Times New Roman"/>
      <w:kern w:val="2"/>
      <w:sz w:val="24"/>
      <w:szCs w:val="24"/>
    </w:rPr>
  </w:style>
  <w:style w:type="character" w:customStyle="1" w:styleId="97">
    <w:name w:val="Body Text Indent 3 Char1"/>
    <w:semiHidden/>
    <w:qFormat/>
    <w:uiPriority w:val="99"/>
    <w:rPr>
      <w:sz w:val="16"/>
      <w:szCs w:val="16"/>
    </w:rPr>
  </w:style>
  <w:style w:type="character" w:customStyle="1" w:styleId="98">
    <w:name w:val="正文文本缩进 3 Char1"/>
    <w:qFormat/>
    <w:uiPriority w:val="99"/>
    <w:rPr>
      <w:rFonts w:cs="Times New Roman"/>
      <w:kern w:val="2"/>
      <w:sz w:val="16"/>
      <w:szCs w:val="16"/>
    </w:rPr>
  </w:style>
  <w:style w:type="paragraph" w:customStyle="1" w:styleId="99">
    <w:name w:val="xl67"/>
    <w:basedOn w:val="1"/>
    <w:qFormat/>
    <w:uiPriority w:val="99"/>
    <w:pPr>
      <w:widowControl/>
      <w:pBdr>
        <w:bottom w:val="single" w:color="auto" w:sz="4" w:space="0"/>
      </w:pBdr>
      <w:spacing w:before="100" w:beforeAutospacing="1" w:after="100" w:afterAutospacing="1" w:line="240" w:lineRule="auto"/>
      <w:jc w:val="center"/>
      <w:textAlignment w:val="center"/>
    </w:pPr>
    <w:rPr>
      <w:kern w:val="0"/>
    </w:rPr>
  </w:style>
  <w:style w:type="character" w:customStyle="1" w:styleId="100">
    <w:name w:val="Footnote Text Char1"/>
    <w:semiHidden/>
    <w:qFormat/>
    <w:uiPriority w:val="99"/>
    <w:rPr>
      <w:sz w:val="18"/>
      <w:szCs w:val="18"/>
    </w:rPr>
  </w:style>
  <w:style w:type="character" w:customStyle="1" w:styleId="101">
    <w:name w:val="脚注文本 Char1"/>
    <w:qFormat/>
    <w:uiPriority w:val="99"/>
    <w:rPr>
      <w:rFonts w:cs="Times New Roman"/>
      <w:kern w:val="2"/>
      <w:sz w:val="18"/>
      <w:szCs w:val="18"/>
    </w:rPr>
  </w:style>
  <w:style w:type="paragraph" w:customStyle="1" w:styleId="102">
    <w:name w:val="列出段落11"/>
    <w:basedOn w:val="1"/>
    <w:qFormat/>
    <w:uiPriority w:val="99"/>
    <w:pPr>
      <w:spacing w:line="240" w:lineRule="auto"/>
      <w:ind w:firstLine="420"/>
    </w:pPr>
    <w:rPr>
      <w:rFonts w:ascii="Calibri" w:hAnsi="Calibri" w:cs="Calibri"/>
      <w:sz w:val="21"/>
      <w:szCs w:val="21"/>
    </w:rPr>
  </w:style>
  <w:style w:type="character" w:customStyle="1" w:styleId="103">
    <w:name w:val="正文文本缩进 字符"/>
    <w:link w:val="18"/>
    <w:qFormat/>
    <w:locked/>
    <w:uiPriority w:val="99"/>
    <w:rPr>
      <w:rFonts w:cs="Times New Roman"/>
      <w:kern w:val="2"/>
      <w:sz w:val="30"/>
    </w:rPr>
  </w:style>
  <w:style w:type="character" w:customStyle="1" w:styleId="104">
    <w:name w:val="Body Text 2 Char1"/>
    <w:semiHidden/>
    <w:qFormat/>
    <w:uiPriority w:val="99"/>
    <w:rPr>
      <w:sz w:val="24"/>
      <w:szCs w:val="24"/>
    </w:rPr>
  </w:style>
  <w:style w:type="character" w:customStyle="1" w:styleId="105">
    <w:name w:val="正文文本 2 Char1"/>
    <w:qFormat/>
    <w:uiPriority w:val="99"/>
    <w:rPr>
      <w:rFonts w:cs="Times New Roman"/>
      <w:kern w:val="2"/>
      <w:sz w:val="24"/>
      <w:szCs w:val="24"/>
    </w:rPr>
  </w:style>
  <w:style w:type="character" w:customStyle="1" w:styleId="106">
    <w:name w:val="Plain Text Char1"/>
    <w:semiHidden/>
    <w:qFormat/>
    <w:uiPriority w:val="99"/>
    <w:rPr>
      <w:rFonts w:ascii="宋体" w:hAnsi="Courier New" w:cs="Courier New"/>
      <w:szCs w:val="21"/>
    </w:rPr>
  </w:style>
  <w:style w:type="character" w:customStyle="1" w:styleId="107">
    <w:name w:val="纯文本 Char2"/>
    <w:qFormat/>
    <w:uiPriority w:val="99"/>
    <w:rPr>
      <w:rFonts w:ascii="宋体" w:hAnsi="Courier New" w:cs="Courier New"/>
      <w:kern w:val="2"/>
      <w:sz w:val="21"/>
      <w:szCs w:val="21"/>
    </w:rPr>
  </w:style>
  <w:style w:type="paragraph" w:customStyle="1" w:styleId="108">
    <w:name w:val="章"/>
    <w:basedOn w:val="1"/>
    <w:qFormat/>
    <w:uiPriority w:val="99"/>
    <w:pPr>
      <w:spacing w:afterLines="50" w:line="400" w:lineRule="exact"/>
      <w:ind w:firstLine="540"/>
    </w:pPr>
    <w:rPr>
      <w:szCs w:val="20"/>
    </w:rPr>
  </w:style>
  <w:style w:type="paragraph" w:customStyle="1" w:styleId="109">
    <w:name w:val="xl72"/>
    <w:basedOn w:val="1"/>
    <w:qFormat/>
    <w:uiPriority w:val="99"/>
    <w:pPr>
      <w:widowControl/>
      <w:pBdr>
        <w:top w:val="single" w:color="auto" w:sz="4" w:space="0"/>
      </w:pBdr>
      <w:spacing w:before="100" w:beforeAutospacing="1" w:after="100" w:afterAutospacing="1" w:line="240" w:lineRule="auto"/>
      <w:jc w:val="center"/>
      <w:textAlignment w:val="center"/>
    </w:pPr>
    <w:rPr>
      <w:rFonts w:ascii="Arial Unicode MS" w:hAnsi="Arial Unicode MS"/>
      <w:kern w:val="0"/>
    </w:rPr>
  </w:style>
  <w:style w:type="paragraph" w:customStyle="1" w:styleId="110">
    <w:name w:val="xl32"/>
    <w:basedOn w:val="1"/>
    <w:qFormat/>
    <w:uiPriority w:val="99"/>
    <w:pPr>
      <w:widowControl/>
      <w:pBdr>
        <w:left w:val="single" w:color="auto" w:sz="4" w:space="0"/>
        <w:right w:val="single" w:color="auto" w:sz="4" w:space="0"/>
      </w:pBdr>
      <w:spacing w:before="100" w:beforeAutospacing="1" w:after="100" w:afterAutospacing="1" w:line="240" w:lineRule="auto"/>
      <w:textAlignment w:val="top"/>
    </w:pPr>
    <w:rPr>
      <w:kern w:val="0"/>
      <w:sz w:val="21"/>
      <w:szCs w:val="21"/>
    </w:rPr>
  </w:style>
  <w:style w:type="paragraph" w:customStyle="1" w:styleId="111">
    <w:name w:val="xl65"/>
    <w:basedOn w:val="1"/>
    <w:qFormat/>
    <w:uiPriority w:val="99"/>
    <w:pPr>
      <w:widowControl/>
      <w:pBdr>
        <w:left w:val="single" w:color="auto" w:sz="4" w:space="0"/>
        <w:bottom w:val="single" w:color="auto" w:sz="4" w:space="0"/>
      </w:pBdr>
      <w:spacing w:before="100" w:beforeAutospacing="1" w:after="100" w:afterAutospacing="1" w:line="240" w:lineRule="auto"/>
      <w:jc w:val="center"/>
      <w:textAlignment w:val="center"/>
    </w:pPr>
    <w:rPr>
      <w:rFonts w:ascii="宋体" w:hAnsi="宋体"/>
      <w:kern w:val="0"/>
    </w:rPr>
  </w:style>
  <w:style w:type="paragraph" w:customStyle="1" w:styleId="112">
    <w:name w:val="表格题目"/>
    <w:basedOn w:val="1"/>
    <w:next w:val="1"/>
    <w:qFormat/>
    <w:uiPriority w:val="99"/>
    <w:pPr>
      <w:ind w:firstLine="492"/>
      <w:jc w:val="center"/>
    </w:pPr>
    <w:rPr>
      <w:rFonts w:ascii="Arial" w:hAnsi="Arial" w:eastAsia="黑体"/>
      <w:bCs/>
      <w:szCs w:val="20"/>
    </w:rPr>
  </w:style>
  <w:style w:type="paragraph" w:customStyle="1" w:styleId="113">
    <w:name w:val="表格标题"/>
    <w:basedOn w:val="1"/>
    <w:qFormat/>
    <w:uiPriority w:val="99"/>
    <w:pPr>
      <w:spacing w:line="240" w:lineRule="auto"/>
      <w:ind w:firstLine="0" w:firstLineChars="0"/>
      <w:jc w:val="center"/>
    </w:pPr>
    <w:rPr>
      <w:sz w:val="21"/>
    </w:rPr>
  </w:style>
  <w:style w:type="paragraph" w:customStyle="1" w:styleId="114">
    <w:name w:val="xl28"/>
    <w:basedOn w:val="1"/>
    <w:qFormat/>
    <w:uiPriority w:val="99"/>
    <w:pPr>
      <w:widowControl/>
      <w:pBdr>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rPr>
  </w:style>
  <w:style w:type="paragraph" w:customStyle="1" w:styleId="115">
    <w:name w:val="xl2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rFonts w:ascii="宋体" w:hAnsi="宋体"/>
      <w:kern w:val="0"/>
      <w:sz w:val="21"/>
      <w:szCs w:val="21"/>
    </w:rPr>
  </w:style>
  <w:style w:type="paragraph" w:customStyle="1" w:styleId="116">
    <w:name w:val="xl58"/>
    <w:basedOn w:val="1"/>
    <w:qFormat/>
    <w:uiPriority w:val="99"/>
    <w:pPr>
      <w:widowControl/>
      <w:pBdr>
        <w:top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rPr>
  </w:style>
  <w:style w:type="paragraph" w:customStyle="1" w:styleId="117">
    <w:name w:val="xl59"/>
    <w:basedOn w:val="1"/>
    <w:qFormat/>
    <w:uiPriority w:val="99"/>
    <w:pPr>
      <w:widowControl/>
      <w:pBdr>
        <w:top w:val="single" w:color="auto" w:sz="4" w:space="0"/>
        <w:left w:val="single" w:color="auto" w:sz="4" w:space="0"/>
        <w:bottom w:val="single" w:color="auto" w:sz="4" w:space="0"/>
      </w:pBdr>
      <w:spacing w:before="100" w:beforeAutospacing="1" w:after="100" w:afterAutospacing="1" w:line="240" w:lineRule="auto"/>
      <w:jc w:val="center"/>
      <w:textAlignment w:val="center"/>
    </w:pPr>
    <w:rPr>
      <w:rFonts w:ascii="宋体" w:hAnsi="宋体"/>
      <w:kern w:val="0"/>
    </w:rPr>
  </w:style>
  <w:style w:type="paragraph" w:customStyle="1" w:styleId="118">
    <w:name w:val="xl75"/>
    <w:basedOn w:val="1"/>
    <w:qFormat/>
    <w:uiPriority w:val="99"/>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Arial Unicode MS" w:hAnsi="Arial Unicode MS"/>
      <w:kern w:val="0"/>
    </w:rPr>
  </w:style>
  <w:style w:type="paragraph" w:customStyle="1" w:styleId="119">
    <w:name w:val="xl33"/>
    <w:basedOn w:val="1"/>
    <w:qFormat/>
    <w:uiPriority w:val="99"/>
    <w:pPr>
      <w:widowControl/>
      <w:pBdr>
        <w:right w:val="single" w:color="auto" w:sz="4" w:space="0"/>
      </w:pBdr>
      <w:spacing w:before="100" w:beforeAutospacing="1" w:after="100" w:afterAutospacing="1" w:line="240" w:lineRule="auto"/>
      <w:textAlignment w:val="top"/>
    </w:pPr>
    <w:rPr>
      <w:rFonts w:ascii="宋体" w:hAnsi="宋体"/>
      <w:kern w:val="0"/>
      <w:sz w:val="21"/>
      <w:szCs w:val="21"/>
    </w:rPr>
  </w:style>
  <w:style w:type="paragraph" w:customStyle="1" w:styleId="120">
    <w:name w:val="x"/>
    <w:basedOn w:val="1"/>
    <w:qFormat/>
    <w:uiPriority w:val="99"/>
    <w:pPr>
      <w:widowControl/>
      <w:spacing w:line="240" w:lineRule="auto"/>
      <w:ind w:firstLine="0" w:firstLineChars="0"/>
      <w:jc w:val="center"/>
    </w:pPr>
    <w:rPr>
      <w:sz w:val="21"/>
      <w:szCs w:val="20"/>
    </w:rPr>
  </w:style>
  <w:style w:type="paragraph" w:customStyle="1" w:styleId="121">
    <w:name w:val="xl45"/>
    <w:basedOn w:val="1"/>
    <w:qFormat/>
    <w:uiPriority w:val="99"/>
    <w:pPr>
      <w:widowControl/>
      <w:pBdr>
        <w:bottom w:val="single" w:color="auto" w:sz="4" w:space="0"/>
      </w:pBdr>
      <w:spacing w:before="100" w:beforeAutospacing="1" w:after="100" w:afterAutospacing="1" w:line="240" w:lineRule="auto"/>
      <w:jc w:val="center"/>
      <w:textAlignment w:val="center"/>
    </w:pPr>
    <w:rPr>
      <w:kern w:val="0"/>
    </w:rPr>
  </w:style>
  <w:style w:type="paragraph" w:customStyle="1" w:styleId="122">
    <w:name w:val="xl30"/>
    <w:basedOn w:val="1"/>
    <w:qFormat/>
    <w:uiPriority w:val="99"/>
    <w:pPr>
      <w:widowControl/>
      <w:pBdr>
        <w:left w:val="single" w:color="auto" w:sz="4" w:space="0"/>
        <w:bottom w:val="single" w:color="auto" w:sz="4" w:space="0"/>
        <w:right w:val="single" w:color="auto" w:sz="4" w:space="0"/>
      </w:pBdr>
      <w:spacing w:before="100" w:beforeAutospacing="1" w:after="100" w:afterAutospacing="1" w:line="240" w:lineRule="auto"/>
      <w:textAlignment w:val="top"/>
    </w:pPr>
    <w:rPr>
      <w:kern w:val="0"/>
      <w:sz w:val="21"/>
      <w:szCs w:val="21"/>
    </w:rPr>
  </w:style>
  <w:style w:type="paragraph" w:customStyle="1" w:styleId="123">
    <w:name w:val="xl37"/>
    <w:basedOn w:val="1"/>
    <w:qFormat/>
    <w:uiPriority w:val="99"/>
    <w:pPr>
      <w:widowControl/>
      <w:pBdr>
        <w:right w:val="single" w:color="auto" w:sz="4" w:space="0"/>
      </w:pBdr>
      <w:spacing w:before="100" w:beforeAutospacing="1" w:after="100" w:afterAutospacing="1" w:line="240" w:lineRule="auto"/>
      <w:jc w:val="center"/>
      <w:textAlignment w:val="center"/>
    </w:pPr>
    <w:rPr>
      <w:rFonts w:ascii="宋体" w:hAnsi="宋体"/>
      <w:kern w:val="0"/>
    </w:rPr>
  </w:style>
  <w:style w:type="paragraph" w:customStyle="1" w:styleId="124">
    <w:name w:val="表文"/>
    <w:basedOn w:val="1"/>
    <w:qFormat/>
    <w:uiPriority w:val="99"/>
    <w:pPr>
      <w:spacing w:line="240" w:lineRule="auto"/>
      <w:jc w:val="center"/>
    </w:pPr>
    <w:rPr>
      <w:sz w:val="21"/>
    </w:rPr>
  </w:style>
  <w:style w:type="paragraph" w:customStyle="1" w:styleId="125">
    <w:name w:val="xl64"/>
    <w:basedOn w:val="1"/>
    <w:qFormat/>
    <w:uiPriority w:val="99"/>
    <w:pPr>
      <w:widowControl/>
      <w:pBdr>
        <w:top w:val="single" w:color="auto" w:sz="4" w:space="0"/>
        <w:left w:val="single" w:color="auto" w:sz="4" w:space="0"/>
      </w:pBdr>
      <w:spacing w:before="100" w:beforeAutospacing="1" w:after="100" w:afterAutospacing="1" w:line="240" w:lineRule="auto"/>
      <w:jc w:val="center"/>
      <w:textAlignment w:val="center"/>
    </w:pPr>
    <w:rPr>
      <w:rFonts w:ascii="宋体" w:hAnsi="宋体"/>
      <w:kern w:val="0"/>
    </w:rPr>
  </w:style>
  <w:style w:type="paragraph" w:customStyle="1" w:styleId="126">
    <w:name w:val="xl29"/>
    <w:basedOn w:val="1"/>
    <w:qFormat/>
    <w:uiPriority w:val="99"/>
    <w:pPr>
      <w:widowControl/>
      <w:pBdr>
        <w:bottom w:val="single" w:color="auto" w:sz="4" w:space="0"/>
        <w:right w:val="single" w:color="auto" w:sz="4" w:space="0"/>
      </w:pBdr>
      <w:spacing w:before="100" w:beforeAutospacing="1" w:after="100" w:afterAutospacing="1" w:line="240" w:lineRule="auto"/>
      <w:textAlignment w:val="top"/>
    </w:pPr>
    <w:rPr>
      <w:rFonts w:ascii="宋体" w:hAnsi="宋体"/>
      <w:kern w:val="0"/>
      <w:sz w:val="21"/>
      <w:szCs w:val="21"/>
    </w:rPr>
  </w:style>
  <w:style w:type="paragraph" w:customStyle="1" w:styleId="127">
    <w:name w:val="xl56"/>
    <w:basedOn w:val="1"/>
    <w:qFormat/>
    <w:uiPriority w:val="99"/>
    <w:pPr>
      <w:widowControl/>
      <w:pBdr>
        <w:top w:val="single" w:color="auto" w:sz="4" w:space="0"/>
        <w:bottom w:val="single" w:color="auto" w:sz="4" w:space="0"/>
      </w:pBdr>
      <w:spacing w:before="100" w:beforeAutospacing="1" w:after="100" w:afterAutospacing="1" w:line="240" w:lineRule="auto"/>
      <w:jc w:val="center"/>
      <w:textAlignment w:val="center"/>
    </w:pPr>
    <w:rPr>
      <w:rFonts w:ascii="宋体" w:hAnsi="宋体"/>
      <w:kern w:val="0"/>
    </w:rPr>
  </w:style>
  <w:style w:type="paragraph" w:customStyle="1" w:styleId="128">
    <w:name w:val="样式2"/>
    <w:basedOn w:val="17"/>
    <w:qFormat/>
    <w:uiPriority w:val="99"/>
    <w:pPr>
      <w:spacing w:line="300" w:lineRule="exact"/>
      <w:ind w:firstLine="420"/>
    </w:pPr>
    <w:rPr>
      <w:rFonts w:ascii="Times New Roman"/>
      <w:sz w:val="21"/>
      <w:szCs w:val="24"/>
    </w:rPr>
  </w:style>
  <w:style w:type="paragraph" w:customStyle="1" w:styleId="129">
    <w:name w:val="pic-info"/>
    <w:basedOn w:val="1"/>
    <w:qFormat/>
    <w:uiPriority w:val="99"/>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130">
    <w:name w:val="xl77"/>
    <w:basedOn w:val="1"/>
    <w:qFormat/>
    <w:uiPriority w:val="99"/>
    <w:pPr>
      <w:widowControl/>
      <w:pBdr>
        <w:top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Unicode MS" w:hAnsi="Arial Unicode MS" w:cs="Arial Unicode MS"/>
      <w:kern w:val="0"/>
    </w:rPr>
  </w:style>
  <w:style w:type="paragraph" w:customStyle="1" w:styleId="131">
    <w:name w:val="1"/>
    <w:basedOn w:val="1"/>
    <w:next w:val="18"/>
    <w:qFormat/>
    <w:uiPriority w:val="99"/>
    <w:pPr>
      <w:snapToGrid w:val="0"/>
      <w:ind w:firstLine="480"/>
    </w:pPr>
    <w:rPr>
      <w:szCs w:val="28"/>
    </w:rPr>
  </w:style>
  <w:style w:type="paragraph" w:customStyle="1" w:styleId="132">
    <w:name w:val="xl25"/>
    <w:basedOn w:val="1"/>
    <w:qFormat/>
    <w:uiPriority w:val="99"/>
    <w:pPr>
      <w:widowControl/>
      <w:pBdr>
        <w:top w:val="single" w:color="auto" w:sz="4" w:space="0"/>
        <w:bottom w:val="single" w:color="auto" w:sz="4" w:space="0"/>
        <w:right w:val="single" w:color="auto" w:sz="4" w:space="0"/>
      </w:pBdr>
      <w:spacing w:before="100" w:beforeAutospacing="1" w:after="100" w:afterAutospacing="1" w:line="240" w:lineRule="auto"/>
      <w:textAlignment w:val="top"/>
    </w:pPr>
    <w:rPr>
      <w:rFonts w:ascii="宋体" w:hAnsi="宋体"/>
      <w:kern w:val="0"/>
      <w:sz w:val="21"/>
      <w:szCs w:val="21"/>
    </w:rPr>
  </w:style>
  <w:style w:type="paragraph" w:customStyle="1" w:styleId="133">
    <w:name w:val="xl47"/>
    <w:basedOn w:val="1"/>
    <w:qFormat/>
    <w:uiPriority w:val="99"/>
    <w:pPr>
      <w:widowControl/>
      <w:pBdr>
        <w:top w:val="single" w:color="auto" w:sz="4" w:space="0"/>
        <w:right w:val="single" w:color="auto" w:sz="4" w:space="0"/>
      </w:pBdr>
      <w:spacing w:before="100" w:beforeAutospacing="1" w:after="100" w:afterAutospacing="1" w:line="240" w:lineRule="auto"/>
      <w:jc w:val="center"/>
      <w:textAlignment w:val="center"/>
    </w:pPr>
    <w:rPr>
      <w:rFonts w:ascii="宋体" w:hAnsi="宋体"/>
      <w:kern w:val="0"/>
    </w:rPr>
  </w:style>
  <w:style w:type="paragraph" w:customStyle="1" w:styleId="134">
    <w:name w:val="xl26"/>
    <w:basedOn w:val="1"/>
    <w:qFormat/>
    <w:uiPriority w:val="99"/>
    <w:pPr>
      <w:widowControl/>
      <w:pBdr>
        <w:left w:val="single" w:color="auto" w:sz="4" w:space="0"/>
        <w:right w:val="single" w:color="auto" w:sz="4" w:space="0"/>
      </w:pBdr>
      <w:spacing w:before="100" w:beforeAutospacing="1" w:after="100" w:afterAutospacing="1" w:line="240" w:lineRule="auto"/>
      <w:textAlignment w:val="top"/>
    </w:pPr>
    <w:rPr>
      <w:rFonts w:ascii="宋体" w:hAnsi="宋体"/>
      <w:kern w:val="0"/>
      <w:sz w:val="21"/>
      <w:szCs w:val="21"/>
    </w:rPr>
  </w:style>
  <w:style w:type="paragraph" w:customStyle="1" w:styleId="135">
    <w:name w:val="xl51"/>
    <w:basedOn w:val="1"/>
    <w:qFormat/>
    <w:uiPriority w:val="99"/>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rPr>
  </w:style>
  <w:style w:type="paragraph" w:customStyle="1" w:styleId="136">
    <w:name w:val="xl38"/>
    <w:basedOn w:val="1"/>
    <w:qFormat/>
    <w:uiPriority w:val="99"/>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rPr>
  </w:style>
  <w:style w:type="paragraph" w:customStyle="1" w:styleId="137">
    <w:name w:val="xl69"/>
    <w:basedOn w:val="1"/>
    <w:qFormat/>
    <w:uiPriority w:val="99"/>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rPr>
  </w:style>
  <w:style w:type="paragraph" w:customStyle="1" w:styleId="138">
    <w:name w:val="xl54"/>
    <w:basedOn w:val="1"/>
    <w:qFormat/>
    <w:uiPriority w:val="99"/>
    <w:pPr>
      <w:widowControl/>
      <w:pBdr>
        <w:top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rPr>
  </w:style>
  <w:style w:type="paragraph" w:customStyle="1" w:styleId="139">
    <w:name w:val="xl3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rPr>
  </w:style>
  <w:style w:type="paragraph" w:customStyle="1" w:styleId="140">
    <w:name w:val="Char3"/>
    <w:basedOn w:val="1"/>
    <w:qFormat/>
    <w:uiPriority w:val="99"/>
    <w:pPr>
      <w:spacing w:beforeLines="50" w:afterLines="50" w:line="460" w:lineRule="exact"/>
    </w:pPr>
    <w:rPr>
      <w:sz w:val="21"/>
    </w:rPr>
  </w:style>
  <w:style w:type="paragraph" w:customStyle="1" w:styleId="141">
    <w:name w:val="Char Char"/>
    <w:basedOn w:val="1"/>
    <w:qFormat/>
    <w:uiPriority w:val="99"/>
    <w:pPr>
      <w:spacing w:line="240" w:lineRule="auto"/>
      <w:ind w:firstLine="0" w:firstLineChars="0"/>
    </w:pPr>
    <w:rPr>
      <w:sz w:val="21"/>
      <w:szCs w:val="20"/>
    </w:rPr>
  </w:style>
  <w:style w:type="paragraph" w:customStyle="1" w:styleId="142">
    <w:name w:val="p16"/>
    <w:basedOn w:val="1"/>
    <w:qFormat/>
    <w:uiPriority w:val="99"/>
    <w:pPr>
      <w:widowControl/>
      <w:spacing w:before="156" w:after="100"/>
      <w:ind w:firstLine="0" w:firstLineChars="0"/>
    </w:pPr>
    <w:rPr>
      <w:b/>
      <w:bCs/>
      <w:color w:val="FF0000"/>
      <w:kern w:val="0"/>
      <w:sz w:val="28"/>
      <w:szCs w:val="28"/>
    </w:rPr>
  </w:style>
  <w:style w:type="paragraph" w:customStyle="1" w:styleId="143">
    <w:name w:val="font6"/>
    <w:basedOn w:val="1"/>
    <w:qFormat/>
    <w:uiPriority w:val="99"/>
    <w:pPr>
      <w:widowControl/>
      <w:spacing w:before="100" w:beforeAutospacing="1" w:after="100" w:afterAutospacing="1" w:line="240" w:lineRule="auto"/>
      <w:jc w:val="left"/>
    </w:pPr>
    <w:rPr>
      <w:rFonts w:ascii="宋体" w:hAnsi="宋体"/>
      <w:kern w:val="0"/>
      <w:sz w:val="21"/>
      <w:szCs w:val="21"/>
    </w:rPr>
  </w:style>
  <w:style w:type="paragraph" w:customStyle="1" w:styleId="144">
    <w:name w:val="font5"/>
    <w:basedOn w:val="1"/>
    <w:qFormat/>
    <w:uiPriority w:val="99"/>
    <w:pPr>
      <w:widowControl/>
      <w:spacing w:before="100" w:beforeAutospacing="1" w:after="100" w:afterAutospacing="1" w:line="240" w:lineRule="auto"/>
      <w:jc w:val="left"/>
    </w:pPr>
    <w:rPr>
      <w:kern w:val="0"/>
      <w:sz w:val="21"/>
      <w:szCs w:val="21"/>
    </w:rPr>
  </w:style>
  <w:style w:type="paragraph" w:customStyle="1" w:styleId="145">
    <w:name w:val="xl60"/>
    <w:basedOn w:val="1"/>
    <w:qFormat/>
    <w:uiPriority w:val="99"/>
    <w:pPr>
      <w:widowControl/>
      <w:pBdr>
        <w:top w:val="single" w:color="auto" w:sz="4" w:space="0"/>
        <w:left w:val="single" w:color="auto" w:sz="4" w:space="0"/>
        <w:bottom w:val="single" w:color="auto" w:sz="4" w:space="0"/>
      </w:pBdr>
      <w:spacing w:before="100" w:beforeAutospacing="1" w:after="100" w:afterAutospacing="1" w:line="240" w:lineRule="auto"/>
      <w:jc w:val="center"/>
      <w:textAlignment w:val="center"/>
    </w:pPr>
    <w:rPr>
      <w:rFonts w:ascii="宋体" w:hAnsi="宋体"/>
      <w:kern w:val="0"/>
    </w:rPr>
  </w:style>
  <w:style w:type="paragraph" w:customStyle="1" w:styleId="146">
    <w:name w:val="xl50"/>
    <w:basedOn w:val="1"/>
    <w:qFormat/>
    <w:uiPriority w:val="99"/>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rPr>
  </w:style>
  <w:style w:type="paragraph" w:customStyle="1" w:styleId="147">
    <w:name w:val="xl4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kern w:val="0"/>
    </w:rPr>
  </w:style>
  <w:style w:type="paragraph" w:customStyle="1" w:styleId="148">
    <w:name w:val="xl74"/>
    <w:basedOn w:val="1"/>
    <w:qFormat/>
    <w:uiPriority w:val="99"/>
    <w:pPr>
      <w:widowControl/>
      <w:pBdr>
        <w:top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Unicode MS" w:hAnsi="Arial Unicode MS"/>
      <w:kern w:val="0"/>
    </w:rPr>
  </w:style>
  <w:style w:type="paragraph" w:customStyle="1" w:styleId="149">
    <w:name w:val="xl4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rPr>
  </w:style>
  <w:style w:type="paragraph" w:customStyle="1" w:styleId="150">
    <w:name w:val="xl3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rPr>
  </w:style>
  <w:style w:type="paragraph" w:customStyle="1" w:styleId="151">
    <w:name w:val="xl42"/>
    <w:basedOn w:val="1"/>
    <w:qFormat/>
    <w:uiPriority w:val="99"/>
    <w:pPr>
      <w:widowControl/>
      <w:spacing w:before="100" w:beforeAutospacing="1" w:after="100" w:afterAutospacing="1" w:line="240" w:lineRule="auto"/>
      <w:jc w:val="center"/>
      <w:textAlignment w:val="center"/>
    </w:pPr>
    <w:rPr>
      <w:rFonts w:ascii="宋体" w:hAnsi="宋体"/>
      <w:kern w:val="0"/>
    </w:rPr>
  </w:style>
  <w:style w:type="paragraph" w:customStyle="1" w:styleId="152">
    <w:name w:val="Char"/>
    <w:basedOn w:val="1"/>
    <w:qFormat/>
    <w:uiPriority w:val="0"/>
    <w:pPr>
      <w:spacing w:line="240" w:lineRule="auto"/>
      <w:ind w:firstLine="0" w:firstLineChars="0"/>
    </w:pPr>
    <w:rPr>
      <w:sz w:val="21"/>
      <w:szCs w:val="20"/>
    </w:rPr>
  </w:style>
  <w:style w:type="paragraph" w:customStyle="1" w:styleId="153">
    <w:name w:val="xl62"/>
    <w:basedOn w:val="1"/>
    <w:qFormat/>
    <w:uiPriority w:val="99"/>
    <w:pPr>
      <w:widowControl/>
      <w:pBdr>
        <w:top w:val="single" w:color="auto" w:sz="4" w:space="0"/>
        <w:bottom w:val="single" w:color="auto" w:sz="4" w:space="0"/>
        <w:right w:val="single" w:color="auto" w:sz="4" w:space="0"/>
      </w:pBdr>
      <w:spacing w:before="100" w:beforeAutospacing="1" w:after="100" w:afterAutospacing="1" w:line="240" w:lineRule="auto"/>
      <w:jc w:val="left"/>
    </w:pPr>
    <w:rPr>
      <w:rFonts w:ascii="宋体" w:hAnsi="宋体"/>
      <w:kern w:val="0"/>
    </w:rPr>
  </w:style>
  <w:style w:type="paragraph" w:customStyle="1" w:styleId="154">
    <w:name w:val="xl34"/>
    <w:basedOn w:val="1"/>
    <w:qFormat/>
    <w:uiPriority w:val="99"/>
    <w:pPr>
      <w:widowControl/>
      <w:pBdr>
        <w:right w:val="single" w:color="auto" w:sz="4" w:space="0"/>
      </w:pBdr>
      <w:spacing w:before="100" w:beforeAutospacing="1" w:after="100" w:afterAutospacing="1" w:line="240" w:lineRule="auto"/>
      <w:textAlignment w:val="top"/>
    </w:pPr>
    <w:rPr>
      <w:kern w:val="0"/>
      <w:sz w:val="21"/>
      <w:szCs w:val="21"/>
    </w:rPr>
  </w:style>
  <w:style w:type="paragraph" w:customStyle="1" w:styleId="155">
    <w:name w:val="xl71"/>
    <w:basedOn w:val="1"/>
    <w:qFormat/>
    <w:uiPriority w:val="99"/>
    <w:pPr>
      <w:widowControl/>
      <w:pBdr>
        <w:top w:val="single" w:color="auto" w:sz="4" w:space="0"/>
        <w:left w:val="single" w:color="auto" w:sz="4" w:space="0"/>
      </w:pBdr>
      <w:spacing w:before="100" w:beforeAutospacing="1" w:after="100" w:afterAutospacing="1" w:line="240" w:lineRule="auto"/>
      <w:jc w:val="center"/>
      <w:textAlignment w:val="center"/>
    </w:pPr>
    <w:rPr>
      <w:rFonts w:ascii="Arial Unicode MS" w:hAnsi="Arial Unicode MS"/>
      <w:kern w:val="0"/>
    </w:rPr>
  </w:style>
  <w:style w:type="paragraph" w:customStyle="1" w:styleId="156">
    <w:name w:val="基准脚注"/>
    <w:basedOn w:val="1"/>
    <w:qFormat/>
    <w:uiPriority w:val="99"/>
    <w:pPr>
      <w:tabs>
        <w:tab w:val="left" w:pos="187"/>
      </w:tabs>
      <w:overflowPunct w:val="0"/>
      <w:autoSpaceDE w:val="0"/>
      <w:autoSpaceDN w:val="0"/>
      <w:adjustRightInd w:val="0"/>
      <w:snapToGrid w:val="0"/>
      <w:spacing w:line="220" w:lineRule="exact"/>
      <w:ind w:left="187" w:hanging="187"/>
      <w:jc w:val="left"/>
      <w:textAlignment w:val="baseline"/>
    </w:pPr>
    <w:rPr>
      <w:rFonts w:ascii="宋体" w:eastAsia="幼圆"/>
      <w:kern w:val="16"/>
      <w:sz w:val="18"/>
      <w:szCs w:val="20"/>
    </w:rPr>
  </w:style>
  <w:style w:type="paragraph" w:customStyle="1" w:styleId="157">
    <w:name w:val="xl31"/>
    <w:basedOn w:val="1"/>
    <w:qFormat/>
    <w:uiPriority w:val="99"/>
    <w:pPr>
      <w:widowControl/>
      <w:pBdr>
        <w:top w:val="single" w:color="auto" w:sz="4" w:space="0"/>
        <w:left w:val="single" w:color="auto" w:sz="4" w:space="0"/>
        <w:right w:val="single" w:color="auto" w:sz="4" w:space="0"/>
      </w:pBdr>
      <w:spacing w:before="100" w:beforeAutospacing="1" w:after="100" w:afterAutospacing="1" w:line="240" w:lineRule="auto"/>
      <w:textAlignment w:val="top"/>
    </w:pPr>
    <w:rPr>
      <w:rFonts w:ascii="宋体" w:hAnsi="宋体"/>
      <w:kern w:val="0"/>
      <w:sz w:val="21"/>
      <w:szCs w:val="21"/>
    </w:rPr>
  </w:style>
  <w:style w:type="paragraph" w:customStyle="1" w:styleId="158">
    <w:name w:val="font0"/>
    <w:basedOn w:val="1"/>
    <w:qFormat/>
    <w:uiPriority w:val="99"/>
    <w:pPr>
      <w:widowControl/>
      <w:spacing w:before="100" w:beforeAutospacing="1" w:after="100" w:afterAutospacing="1" w:line="240" w:lineRule="auto"/>
      <w:jc w:val="left"/>
    </w:pPr>
    <w:rPr>
      <w:rFonts w:ascii="宋体" w:hAnsi="宋体"/>
      <w:kern w:val="0"/>
    </w:rPr>
  </w:style>
  <w:style w:type="paragraph" w:customStyle="1" w:styleId="159">
    <w:name w:val="正文－恩普"/>
    <w:basedOn w:val="12"/>
    <w:qFormat/>
    <w:uiPriority w:val="99"/>
    <w:pPr>
      <w:ind w:firstLine="200"/>
    </w:pPr>
    <w:rPr>
      <w:b w:val="0"/>
    </w:rPr>
  </w:style>
  <w:style w:type="paragraph" w:customStyle="1" w:styleId="160">
    <w:name w:val="样式d3"/>
    <w:basedOn w:val="4"/>
    <w:qFormat/>
    <w:uiPriority w:val="99"/>
    <w:pPr>
      <w:tabs>
        <w:tab w:val="left" w:pos="1080"/>
      </w:tabs>
      <w:snapToGrid w:val="0"/>
      <w:spacing w:before="120" w:after="120"/>
      <w:ind w:left="1080" w:hanging="1080" w:firstLineChars="0"/>
    </w:pPr>
    <w:rPr>
      <w:rFonts w:eastAsia="楷体_GB2312"/>
      <w:bCs w:val="0"/>
      <w:szCs w:val="20"/>
    </w:rPr>
  </w:style>
  <w:style w:type="paragraph" w:customStyle="1" w:styleId="161">
    <w:name w:val="xl52"/>
    <w:basedOn w:val="1"/>
    <w:qFormat/>
    <w:uiPriority w:val="99"/>
    <w:pPr>
      <w:widowControl/>
      <w:pBdr>
        <w:top w:val="single" w:color="auto" w:sz="4" w:space="0"/>
        <w:left w:val="single" w:color="auto" w:sz="4" w:space="0"/>
        <w:bottom w:val="single" w:color="auto" w:sz="4" w:space="0"/>
      </w:pBdr>
      <w:spacing w:before="100" w:beforeAutospacing="1" w:after="100" w:afterAutospacing="1" w:line="240" w:lineRule="auto"/>
      <w:jc w:val="center"/>
      <w:textAlignment w:val="center"/>
    </w:pPr>
    <w:rPr>
      <w:rFonts w:ascii="宋体" w:hAnsi="宋体"/>
      <w:kern w:val="0"/>
    </w:rPr>
  </w:style>
  <w:style w:type="paragraph" w:customStyle="1" w:styleId="162">
    <w:name w:val="xl66"/>
    <w:basedOn w:val="1"/>
    <w:qFormat/>
    <w:uiPriority w:val="99"/>
    <w:pPr>
      <w:widowControl/>
      <w:pBdr>
        <w:top w:val="single" w:color="auto" w:sz="4" w:space="0"/>
      </w:pBdr>
      <w:spacing w:before="100" w:beforeAutospacing="1" w:after="100" w:afterAutospacing="1" w:line="240" w:lineRule="auto"/>
      <w:jc w:val="center"/>
      <w:textAlignment w:val="center"/>
    </w:pPr>
    <w:rPr>
      <w:kern w:val="0"/>
    </w:rPr>
  </w:style>
  <w:style w:type="paragraph" w:customStyle="1" w:styleId="163">
    <w:name w:val="Char Char Char Char"/>
    <w:basedOn w:val="1"/>
    <w:qFormat/>
    <w:uiPriority w:val="99"/>
    <w:pPr>
      <w:ind w:firstLine="0" w:firstLineChars="0"/>
    </w:pPr>
    <w:rPr>
      <w:rFonts w:eastAsia="黑体"/>
      <w:sz w:val="36"/>
      <w:szCs w:val="32"/>
    </w:rPr>
  </w:style>
  <w:style w:type="paragraph" w:customStyle="1" w:styleId="164">
    <w:name w:val="xl68"/>
    <w:basedOn w:val="1"/>
    <w:qFormat/>
    <w:uiPriority w:val="99"/>
    <w:pPr>
      <w:widowControl/>
      <w:pBdr>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rPr>
  </w:style>
  <w:style w:type="paragraph" w:customStyle="1" w:styleId="165">
    <w:name w:val="xl27"/>
    <w:basedOn w:val="1"/>
    <w:qFormat/>
    <w:uiPriority w:val="99"/>
    <w:pPr>
      <w:widowControl/>
      <w:pBdr>
        <w:left w:val="single" w:color="auto" w:sz="4" w:space="0"/>
        <w:right w:val="single" w:color="auto" w:sz="4" w:space="0"/>
      </w:pBdr>
      <w:spacing w:before="100" w:beforeAutospacing="1" w:after="100" w:afterAutospacing="1" w:line="240" w:lineRule="auto"/>
      <w:jc w:val="left"/>
      <w:textAlignment w:val="top"/>
    </w:pPr>
    <w:rPr>
      <w:rFonts w:ascii="宋体" w:hAnsi="宋体"/>
      <w:kern w:val="0"/>
    </w:rPr>
  </w:style>
  <w:style w:type="paragraph" w:customStyle="1" w:styleId="166">
    <w:name w:val="表格文本"/>
    <w:qFormat/>
    <w:uiPriority w:val="99"/>
    <w:pPr>
      <w:spacing w:line="240" w:lineRule="atLeast"/>
      <w:jc w:val="center"/>
    </w:pPr>
    <w:rPr>
      <w:rFonts w:ascii="宋体" w:hAnsi="宋体" w:eastAsia="宋体" w:cs="Times New Roman"/>
      <w:sz w:val="21"/>
      <w:szCs w:val="21"/>
      <w:lang w:val="en-US" w:eastAsia="zh-CN" w:bidi="ar-SA"/>
    </w:rPr>
  </w:style>
  <w:style w:type="paragraph" w:customStyle="1" w:styleId="167">
    <w:name w:val="xl4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rPr>
  </w:style>
  <w:style w:type="paragraph" w:customStyle="1" w:styleId="168">
    <w:name w:val="xl49"/>
    <w:basedOn w:val="1"/>
    <w:qFormat/>
    <w:uiPriority w:val="99"/>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rPr>
  </w:style>
  <w:style w:type="paragraph" w:customStyle="1" w:styleId="169">
    <w:name w:val="xl39"/>
    <w:basedOn w:val="1"/>
    <w:qFormat/>
    <w:uiPriority w:val="99"/>
    <w:pPr>
      <w:widowControl/>
      <w:pBdr>
        <w:bottom w:val="single" w:color="auto" w:sz="4" w:space="0"/>
      </w:pBdr>
      <w:spacing w:before="100" w:beforeAutospacing="1" w:after="100" w:afterAutospacing="1" w:line="240" w:lineRule="auto"/>
      <w:jc w:val="center"/>
      <w:textAlignment w:val="center"/>
    </w:pPr>
    <w:rPr>
      <w:rFonts w:ascii="宋体" w:hAnsi="宋体"/>
      <w:kern w:val="0"/>
    </w:rPr>
  </w:style>
  <w:style w:type="paragraph" w:customStyle="1" w:styleId="170">
    <w:name w:val="表格3"/>
    <w:basedOn w:val="1"/>
    <w:qFormat/>
    <w:uiPriority w:val="99"/>
    <w:pPr>
      <w:snapToGrid w:val="0"/>
      <w:spacing w:line="240" w:lineRule="atLeast"/>
      <w:ind w:firstLine="0" w:firstLineChars="0"/>
    </w:pPr>
    <w:rPr>
      <w:rFonts w:ascii="仿宋_GB2312" w:hAnsi="宋体" w:eastAsia="仿宋_GB2312"/>
      <w:sz w:val="18"/>
      <w:szCs w:val="18"/>
    </w:rPr>
  </w:style>
  <w:style w:type="paragraph" w:customStyle="1" w:styleId="171">
    <w:name w:val="标题3"/>
    <w:qFormat/>
    <w:uiPriority w:val="99"/>
    <w:pPr>
      <w:spacing w:before="156" w:line="415" w:lineRule="auto"/>
      <w:ind w:left="485"/>
      <w:jc w:val="both"/>
    </w:pPr>
    <w:rPr>
      <w:rFonts w:ascii="宋体" w:hAnsi="宋体" w:eastAsia="宋体" w:cs="宋体"/>
      <w:b/>
      <w:bCs/>
      <w:sz w:val="24"/>
      <w:lang w:val="en-US" w:eastAsia="zh-CN" w:bidi="ar-SA"/>
    </w:rPr>
  </w:style>
  <w:style w:type="paragraph" w:customStyle="1" w:styleId="172">
    <w:name w:val="xl57"/>
    <w:basedOn w:val="1"/>
    <w:qFormat/>
    <w:uiPriority w:val="99"/>
    <w:pPr>
      <w:widowControl/>
      <w:pBdr>
        <w:top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rPr>
  </w:style>
  <w:style w:type="paragraph" w:customStyle="1" w:styleId="173">
    <w:name w:val="xl55"/>
    <w:basedOn w:val="1"/>
    <w:qFormat/>
    <w:uiPriority w:val="99"/>
    <w:pPr>
      <w:widowControl/>
      <w:pBdr>
        <w:top w:val="single" w:color="auto" w:sz="4" w:space="0"/>
        <w:left w:val="single" w:color="auto" w:sz="4" w:space="0"/>
        <w:bottom w:val="single" w:color="auto" w:sz="4" w:space="0"/>
      </w:pBdr>
      <w:spacing w:before="100" w:beforeAutospacing="1" w:after="100" w:afterAutospacing="1" w:line="240" w:lineRule="auto"/>
      <w:jc w:val="center"/>
      <w:textAlignment w:val="center"/>
    </w:pPr>
    <w:rPr>
      <w:rFonts w:ascii="宋体" w:hAnsi="宋体"/>
      <w:kern w:val="0"/>
    </w:rPr>
  </w:style>
  <w:style w:type="paragraph" w:customStyle="1" w:styleId="174">
    <w:name w:val="p0"/>
    <w:basedOn w:val="1"/>
    <w:qFormat/>
    <w:uiPriority w:val="99"/>
    <w:pPr>
      <w:widowControl/>
      <w:spacing w:line="240" w:lineRule="auto"/>
      <w:ind w:firstLine="0" w:firstLineChars="0"/>
    </w:pPr>
    <w:rPr>
      <w:kern w:val="0"/>
      <w:sz w:val="21"/>
      <w:szCs w:val="21"/>
    </w:rPr>
  </w:style>
  <w:style w:type="paragraph" w:customStyle="1" w:styleId="175">
    <w:name w:val="xl53"/>
    <w:basedOn w:val="1"/>
    <w:qFormat/>
    <w:uiPriority w:val="99"/>
    <w:pPr>
      <w:widowControl/>
      <w:pBdr>
        <w:top w:val="single" w:color="auto" w:sz="4" w:space="0"/>
        <w:bottom w:val="single" w:color="auto" w:sz="4" w:space="0"/>
      </w:pBdr>
      <w:spacing w:before="100" w:beforeAutospacing="1" w:after="100" w:afterAutospacing="1" w:line="240" w:lineRule="auto"/>
      <w:jc w:val="center"/>
      <w:textAlignment w:val="center"/>
    </w:pPr>
    <w:rPr>
      <w:rFonts w:ascii="宋体" w:hAnsi="宋体"/>
      <w:kern w:val="0"/>
    </w:rPr>
  </w:style>
  <w:style w:type="paragraph" w:customStyle="1" w:styleId="176">
    <w:name w:val="xl63"/>
    <w:basedOn w:val="1"/>
    <w:qFormat/>
    <w:uiPriority w:val="99"/>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kern w:val="0"/>
    </w:rPr>
  </w:style>
  <w:style w:type="paragraph" w:customStyle="1" w:styleId="177">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178">
    <w:name w:val="xl78"/>
    <w:basedOn w:val="1"/>
    <w:qFormat/>
    <w:uiPriority w:val="99"/>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Arial Unicode MS" w:hAnsi="Arial Unicode MS" w:cs="Arial Unicode MS"/>
      <w:kern w:val="0"/>
    </w:rPr>
  </w:style>
  <w:style w:type="paragraph" w:customStyle="1" w:styleId="179">
    <w:name w:val="xl41"/>
    <w:basedOn w:val="1"/>
    <w:qFormat/>
    <w:uiPriority w:val="99"/>
    <w:pPr>
      <w:widowControl/>
      <w:pBdr>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rPr>
  </w:style>
  <w:style w:type="paragraph" w:customStyle="1" w:styleId="180">
    <w:name w:val="标题4"/>
    <w:basedOn w:val="4"/>
    <w:qFormat/>
    <w:uiPriority w:val="99"/>
    <w:pPr>
      <w:keepNext w:val="0"/>
      <w:keepLines w:val="0"/>
      <w:tabs>
        <w:tab w:val="left" w:pos="1080"/>
      </w:tabs>
      <w:ind w:left="6510" w:hanging="1080" w:firstLineChars="0"/>
      <w:outlineLvl w:val="9"/>
    </w:pPr>
    <w:rPr>
      <w:rFonts w:ascii="黑体"/>
      <w:bCs w:val="0"/>
      <w:sz w:val="21"/>
      <w:szCs w:val="20"/>
    </w:rPr>
  </w:style>
  <w:style w:type="paragraph" w:customStyle="1" w:styleId="181">
    <w:name w:val="xl70"/>
    <w:basedOn w:val="1"/>
    <w:qFormat/>
    <w:uiPriority w:val="99"/>
    <w:pPr>
      <w:widowControl/>
      <w:pBdr>
        <w:top w:val="single" w:color="auto" w:sz="4" w:space="0"/>
        <w:right w:val="single" w:color="auto" w:sz="4" w:space="0"/>
      </w:pBdr>
      <w:spacing w:before="100" w:beforeAutospacing="1" w:after="100" w:afterAutospacing="1" w:line="240" w:lineRule="auto"/>
      <w:jc w:val="left"/>
    </w:pPr>
    <w:rPr>
      <w:rFonts w:ascii="Arial Unicode MS" w:hAnsi="Arial Unicode MS"/>
      <w:kern w:val="0"/>
    </w:rPr>
  </w:style>
  <w:style w:type="paragraph" w:customStyle="1" w:styleId="182">
    <w:name w:val="xl61"/>
    <w:basedOn w:val="1"/>
    <w:qFormat/>
    <w:uiPriority w:val="99"/>
    <w:pPr>
      <w:widowControl/>
      <w:pBdr>
        <w:top w:val="single" w:color="auto" w:sz="4" w:space="0"/>
        <w:bottom w:val="single" w:color="auto" w:sz="4" w:space="0"/>
      </w:pBdr>
      <w:spacing w:before="100" w:beforeAutospacing="1" w:after="100" w:afterAutospacing="1" w:line="240" w:lineRule="auto"/>
      <w:jc w:val="left"/>
    </w:pPr>
    <w:rPr>
      <w:rFonts w:ascii="宋体" w:hAnsi="宋体"/>
      <w:kern w:val="0"/>
    </w:rPr>
  </w:style>
  <w:style w:type="paragraph" w:customStyle="1" w:styleId="183">
    <w:name w:val="xl48"/>
    <w:basedOn w:val="1"/>
    <w:qFormat/>
    <w:uiPriority w:val="99"/>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rPr>
  </w:style>
  <w:style w:type="paragraph" w:customStyle="1" w:styleId="184">
    <w:name w:val="xl44"/>
    <w:basedOn w:val="1"/>
    <w:qFormat/>
    <w:uiPriority w:val="99"/>
    <w:pPr>
      <w:widowControl/>
      <w:spacing w:before="100" w:beforeAutospacing="1" w:after="100" w:afterAutospacing="1" w:line="240" w:lineRule="auto"/>
      <w:jc w:val="center"/>
      <w:textAlignment w:val="center"/>
    </w:pPr>
    <w:rPr>
      <w:kern w:val="0"/>
    </w:rPr>
  </w:style>
  <w:style w:type="paragraph" w:customStyle="1" w:styleId="185">
    <w:name w:val="xl73"/>
    <w:basedOn w:val="1"/>
    <w:qFormat/>
    <w:uiPriority w:val="99"/>
    <w:pPr>
      <w:widowControl/>
      <w:pBdr>
        <w:top w:val="single" w:color="auto" w:sz="4" w:space="0"/>
        <w:right w:val="single" w:color="auto" w:sz="4" w:space="0"/>
      </w:pBdr>
      <w:spacing w:before="100" w:beforeAutospacing="1" w:after="100" w:afterAutospacing="1" w:line="240" w:lineRule="auto"/>
      <w:jc w:val="center"/>
      <w:textAlignment w:val="center"/>
    </w:pPr>
    <w:rPr>
      <w:rFonts w:ascii="Arial Unicode MS" w:hAnsi="Arial Unicode MS"/>
      <w:kern w:val="0"/>
    </w:rPr>
  </w:style>
  <w:style w:type="paragraph" w:customStyle="1" w:styleId="186">
    <w:name w:val="xl76"/>
    <w:basedOn w:val="1"/>
    <w:qFormat/>
    <w:uiPriority w:val="99"/>
    <w:pPr>
      <w:widowControl/>
      <w:pBdr>
        <w:top w:val="single" w:color="auto" w:sz="4" w:space="0"/>
        <w:right w:val="single" w:color="auto" w:sz="4" w:space="0"/>
      </w:pBdr>
      <w:spacing w:before="100" w:beforeAutospacing="1" w:after="100" w:afterAutospacing="1" w:line="240" w:lineRule="auto"/>
      <w:jc w:val="center"/>
      <w:textAlignment w:val="center"/>
    </w:pPr>
    <w:rPr>
      <w:rFonts w:ascii="Arial Unicode MS" w:hAnsi="Arial Unicode MS" w:cs="Arial Unicode MS"/>
      <w:kern w:val="0"/>
    </w:rPr>
  </w:style>
  <w:style w:type="paragraph" w:customStyle="1" w:styleId="187">
    <w:name w:val="Char Char Char Char Char Char Char Char Char Char Char Char Char Char Char Char Char Char Char Char Char Char Char Char Char Char Char Char Char Char Char Char Char"/>
    <w:basedOn w:val="1"/>
    <w:qFormat/>
    <w:uiPriority w:val="99"/>
    <w:pPr>
      <w:widowControl/>
      <w:spacing w:after="160" w:line="240" w:lineRule="exact"/>
      <w:ind w:firstLine="0" w:firstLineChars="0"/>
      <w:jc w:val="left"/>
    </w:pPr>
    <w:rPr>
      <w:rFonts w:ascii="Verdana" w:hAnsi="Verdana" w:eastAsia="仿宋_GB2312" w:cs="Verdana"/>
      <w:kern w:val="0"/>
      <w:szCs w:val="20"/>
      <w:lang w:eastAsia="en-US"/>
    </w:rPr>
  </w:style>
  <w:style w:type="character" w:customStyle="1" w:styleId="188">
    <w:name w:val="标题 字符"/>
    <w:link w:val="39"/>
    <w:qFormat/>
    <w:locked/>
    <w:uiPriority w:val="99"/>
    <w:rPr>
      <w:rFonts w:ascii="Cambria" w:hAnsi="Cambria" w:cs="Times New Roman"/>
      <w:b/>
      <w:bCs/>
      <w:kern w:val="2"/>
      <w:sz w:val="32"/>
      <w:szCs w:val="32"/>
    </w:rPr>
  </w:style>
  <w:style w:type="paragraph" w:customStyle="1" w:styleId="189">
    <w:name w:val="xl79"/>
    <w:basedOn w:val="1"/>
    <w:qFormat/>
    <w:uiPriority w:val="99"/>
    <w:pPr>
      <w:widowControl/>
      <w:pBdr>
        <w:left w:val="single" w:color="auto" w:sz="4" w:space="0"/>
        <w:bottom w:val="single" w:color="auto" w:sz="4" w:space="0"/>
        <w:right w:val="single" w:color="auto" w:sz="8" w:space="0"/>
      </w:pBdr>
      <w:spacing w:beforeLines="30" w:beforeAutospacing="1" w:after="100" w:afterAutospacing="1" w:line="300" w:lineRule="auto"/>
      <w:jc w:val="left"/>
    </w:pPr>
    <w:rPr>
      <w:rFonts w:ascii="宋体" w:hAnsi="宋体" w:cs="宋体"/>
      <w:kern w:val="0"/>
      <w:sz w:val="18"/>
      <w:szCs w:val="18"/>
    </w:rPr>
  </w:style>
  <w:style w:type="paragraph" w:customStyle="1" w:styleId="190">
    <w:name w:val="xl80"/>
    <w:basedOn w:val="1"/>
    <w:qFormat/>
    <w:uiPriority w:val="99"/>
    <w:pPr>
      <w:widowControl/>
      <w:pBdr>
        <w:top w:val="single" w:color="auto" w:sz="8" w:space="0"/>
        <w:left w:val="single" w:color="auto" w:sz="8" w:space="0"/>
        <w:bottom w:val="single" w:color="auto" w:sz="8" w:space="0"/>
        <w:right w:val="single" w:color="auto" w:sz="4" w:space="0"/>
      </w:pBdr>
      <w:spacing w:beforeLines="30" w:beforeAutospacing="1" w:after="100" w:afterAutospacing="1" w:line="300" w:lineRule="auto"/>
      <w:jc w:val="left"/>
    </w:pPr>
    <w:rPr>
      <w:rFonts w:ascii="宋体" w:hAnsi="宋体" w:cs="宋体"/>
      <w:b/>
      <w:bCs/>
      <w:kern w:val="0"/>
      <w:sz w:val="18"/>
      <w:szCs w:val="18"/>
    </w:rPr>
  </w:style>
  <w:style w:type="paragraph" w:customStyle="1" w:styleId="191">
    <w:name w:val="xl81"/>
    <w:basedOn w:val="1"/>
    <w:qFormat/>
    <w:uiPriority w:val="99"/>
    <w:pPr>
      <w:widowControl/>
      <w:pBdr>
        <w:top w:val="single" w:color="auto" w:sz="8" w:space="0"/>
        <w:left w:val="single" w:color="auto" w:sz="4" w:space="0"/>
        <w:bottom w:val="single" w:color="auto" w:sz="8" w:space="0"/>
        <w:right w:val="single" w:color="auto" w:sz="4" w:space="0"/>
      </w:pBdr>
      <w:spacing w:beforeLines="30" w:beforeAutospacing="1" w:after="100" w:afterAutospacing="1" w:line="300" w:lineRule="auto"/>
      <w:jc w:val="left"/>
    </w:pPr>
    <w:rPr>
      <w:rFonts w:ascii="宋体" w:hAnsi="宋体" w:cs="宋体"/>
      <w:b/>
      <w:bCs/>
      <w:kern w:val="0"/>
      <w:sz w:val="18"/>
      <w:szCs w:val="18"/>
    </w:rPr>
  </w:style>
  <w:style w:type="paragraph" w:customStyle="1" w:styleId="192">
    <w:name w:val="xl82"/>
    <w:basedOn w:val="1"/>
    <w:qFormat/>
    <w:uiPriority w:val="99"/>
    <w:pPr>
      <w:widowControl/>
      <w:pBdr>
        <w:top w:val="single" w:color="auto" w:sz="8" w:space="0"/>
        <w:left w:val="single" w:color="auto" w:sz="4" w:space="0"/>
        <w:bottom w:val="single" w:color="auto" w:sz="8" w:space="0"/>
        <w:right w:val="single" w:color="auto" w:sz="4" w:space="0"/>
      </w:pBdr>
      <w:spacing w:beforeLines="30" w:beforeAutospacing="1" w:after="100" w:afterAutospacing="1" w:line="300" w:lineRule="auto"/>
      <w:jc w:val="left"/>
    </w:pPr>
    <w:rPr>
      <w:rFonts w:ascii="宋体" w:hAnsi="宋体" w:cs="宋体"/>
      <w:b/>
      <w:bCs/>
      <w:kern w:val="0"/>
      <w:sz w:val="18"/>
      <w:szCs w:val="18"/>
    </w:rPr>
  </w:style>
  <w:style w:type="paragraph" w:customStyle="1" w:styleId="193">
    <w:name w:val="xl83"/>
    <w:basedOn w:val="1"/>
    <w:qFormat/>
    <w:uiPriority w:val="99"/>
    <w:pPr>
      <w:widowControl/>
      <w:pBdr>
        <w:top w:val="single" w:color="auto" w:sz="8" w:space="0"/>
        <w:left w:val="single" w:color="auto" w:sz="4" w:space="0"/>
        <w:bottom w:val="single" w:color="auto" w:sz="8" w:space="0"/>
        <w:right w:val="single" w:color="auto" w:sz="8" w:space="0"/>
      </w:pBdr>
      <w:spacing w:beforeLines="30" w:beforeAutospacing="1" w:after="100" w:afterAutospacing="1" w:line="300" w:lineRule="auto"/>
      <w:jc w:val="left"/>
    </w:pPr>
    <w:rPr>
      <w:rFonts w:ascii="宋体" w:hAnsi="宋体" w:cs="宋体"/>
      <w:b/>
      <w:bCs/>
      <w:kern w:val="0"/>
      <w:sz w:val="18"/>
      <w:szCs w:val="18"/>
    </w:rPr>
  </w:style>
  <w:style w:type="paragraph" w:customStyle="1" w:styleId="194">
    <w:name w:val="xl84"/>
    <w:basedOn w:val="1"/>
    <w:qFormat/>
    <w:uiPriority w:val="99"/>
    <w:pPr>
      <w:widowControl/>
      <w:pBdr>
        <w:top w:val="single" w:color="auto" w:sz="8" w:space="0"/>
        <w:bottom w:val="single" w:color="auto" w:sz="8" w:space="0"/>
      </w:pBdr>
      <w:spacing w:beforeLines="30" w:beforeAutospacing="1" w:after="100" w:afterAutospacing="1" w:line="300" w:lineRule="auto"/>
      <w:jc w:val="left"/>
    </w:pPr>
    <w:rPr>
      <w:rFonts w:ascii="宋体" w:hAnsi="宋体" w:cs="宋体"/>
      <w:b/>
      <w:bCs/>
      <w:kern w:val="0"/>
      <w:sz w:val="18"/>
      <w:szCs w:val="18"/>
    </w:rPr>
  </w:style>
  <w:style w:type="table" w:customStyle="1" w:styleId="195">
    <w:name w:val="清单表 6 彩色1"/>
    <w:qFormat/>
    <w:uiPriority w:val="99"/>
    <w:rPr>
      <w:rFonts w:ascii="Calibri" w:hAnsi="Calibri"/>
      <w:color w:val="000000"/>
    </w:rPr>
    <w:tblPr>
      <w:tblBorders>
        <w:top w:val="single" w:color="000000" w:sz="4" w:space="0"/>
        <w:bottom w:val="single" w:color="000000" w:sz="4" w:space="0"/>
      </w:tblBorders>
      <w:tblLayout w:type="fixed"/>
      <w:tblCellMar>
        <w:top w:w="0" w:type="dxa"/>
        <w:left w:w="108" w:type="dxa"/>
        <w:bottom w:w="0" w:type="dxa"/>
        <w:right w:w="108" w:type="dxa"/>
      </w:tblCellMar>
    </w:tblPr>
  </w:style>
  <w:style w:type="character" w:customStyle="1" w:styleId="196">
    <w:name w:val="占位符文本1"/>
    <w:semiHidden/>
    <w:qFormat/>
    <w:uiPriority w:val="99"/>
    <w:rPr>
      <w:rFonts w:cs="Times New Roman"/>
      <w:color w:val="808080"/>
    </w:rPr>
  </w:style>
  <w:style w:type="character" w:customStyle="1" w:styleId="197">
    <w:name w:val="apple-converted-space"/>
    <w:qFormat/>
    <w:uiPriority w:val="99"/>
    <w:rPr>
      <w:rFonts w:cs="Times New Roman"/>
    </w:rPr>
  </w:style>
  <w:style w:type="paragraph" w:customStyle="1" w:styleId="198">
    <w:name w:val="样式1"/>
    <w:basedOn w:val="1"/>
    <w:link w:val="199"/>
    <w:qFormat/>
    <w:uiPriority w:val="0"/>
    <w:pPr>
      <w:spacing w:beforeLines="30" w:line="300" w:lineRule="auto"/>
    </w:pPr>
    <w:rPr>
      <w:rFonts w:ascii="Calibri" w:hAnsi="Calibri"/>
      <w:sz w:val="22"/>
      <w:szCs w:val="22"/>
    </w:rPr>
  </w:style>
  <w:style w:type="character" w:customStyle="1" w:styleId="199">
    <w:name w:val="样式1 Char"/>
    <w:link w:val="198"/>
    <w:qFormat/>
    <w:locked/>
    <w:uiPriority w:val="99"/>
    <w:rPr>
      <w:rFonts w:ascii="Calibri" w:hAnsi="Calibri" w:eastAsia="宋体" w:cs="Times New Roman"/>
      <w:kern w:val="2"/>
      <w:sz w:val="22"/>
      <w:szCs w:val="22"/>
    </w:rPr>
  </w:style>
  <w:style w:type="character" w:customStyle="1" w:styleId="200">
    <w:name w:val="批注文字 字符"/>
    <w:link w:val="16"/>
    <w:qFormat/>
    <w:locked/>
    <w:uiPriority w:val="99"/>
    <w:rPr>
      <w:rFonts w:ascii="Calibri" w:hAnsi="Calibri" w:eastAsia="宋体" w:cs="Times New Roman"/>
      <w:kern w:val="2"/>
      <w:sz w:val="22"/>
      <w:szCs w:val="22"/>
    </w:rPr>
  </w:style>
  <w:style w:type="character" w:customStyle="1" w:styleId="201">
    <w:name w:val="批注主题 字符"/>
    <w:link w:val="40"/>
    <w:qFormat/>
    <w:locked/>
    <w:uiPriority w:val="99"/>
    <w:rPr>
      <w:rFonts w:ascii="Calibri" w:hAnsi="Calibri" w:eastAsia="宋体" w:cs="Times New Roman"/>
      <w:b/>
      <w:bCs/>
      <w:kern w:val="2"/>
      <w:sz w:val="22"/>
      <w:szCs w:val="22"/>
    </w:rPr>
  </w:style>
  <w:style w:type="table" w:customStyle="1" w:styleId="202">
    <w:name w:val="网格型1"/>
    <w:qFormat/>
    <w:uiPriority w:val="9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3">
    <w:name w:val="网格型2"/>
    <w:qFormat/>
    <w:uiPriority w:val="99"/>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table" w:customStyle="1" w:styleId="204">
    <w:name w:val="网格型3"/>
    <w:qFormat/>
    <w:uiPriority w:val="99"/>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customStyle="1" w:styleId="205">
    <w:name w:val="书籍标题1"/>
    <w:basedOn w:val="45"/>
    <w:qFormat/>
    <w:uiPriority w:val="33"/>
    <w:rPr>
      <w:b/>
      <w:bCs/>
      <w:smallCaps/>
      <w:spacing w:val="5"/>
    </w:rPr>
  </w:style>
  <w:style w:type="character" w:customStyle="1" w:styleId="206">
    <w:name w:val="font11"/>
    <w:basedOn w:val="45"/>
    <w:qFormat/>
    <w:uiPriority w:val="0"/>
    <w:rPr>
      <w:rFonts w:ascii="Courier New" w:hAnsi="Courier New" w:cs="Courier New"/>
      <w:color w:val="000000"/>
      <w:sz w:val="20"/>
      <w:szCs w:val="20"/>
      <w:u w:val="none"/>
    </w:rPr>
  </w:style>
  <w:style w:type="character" w:customStyle="1" w:styleId="207">
    <w:name w:val="font31"/>
    <w:basedOn w:val="45"/>
    <w:qFormat/>
    <w:uiPriority w:val="0"/>
    <w:rPr>
      <w:rFonts w:hint="default" w:ascii="Times New Roman" w:hAnsi="Times New Roman" w:cs="Times New Roman"/>
      <w:color w:val="000000"/>
      <w:sz w:val="20"/>
      <w:szCs w:val="20"/>
      <w:u w:val="none"/>
    </w:rPr>
  </w:style>
  <w:style w:type="character" w:customStyle="1" w:styleId="208">
    <w:name w:val="font21"/>
    <w:basedOn w:val="45"/>
    <w:qFormat/>
    <w:uiPriority w:val="0"/>
    <w:rPr>
      <w:rFonts w:hint="eastAsia" w:ascii="宋体" w:hAnsi="宋体" w:eastAsia="宋体" w:cs="宋体"/>
      <w:color w:val="000000"/>
      <w:sz w:val="20"/>
      <w:szCs w:val="20"/>
      <w:u w:val="none"/>
    </w:rPr>
  </w:style>
  <w:style w:type="paragraph" w:styleId="209">
    <w:name w:val="List Paragraph"/>
    <w:basedOn w:val="1"/>
    <w:qFormat/>
    <w:uiPriority w:val="34"/>
    <w:pPr>
      <w:spacing w:beforeLines="30" w:line="300" w:lineRule="auto"/>
      <w:ind w:firstLine="420"/>
    </w:pPr>
    <w:rPr>
      <w:rFonts w:ascii="Calibri" w:hAnsi="Calibri"/>
      <w:szCs w:val="22"/>
    </w:rPr>
  </w:style>
  <w:style w:type="table" w:customStyle="1" w:styleId="210">
    <w:name w:val="网格型4"/>
    <w:basedOn w:val="42"/>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11">
    <w:name w:val="浅色网格 - 强调文字颜色 11"/>
    <w:basedOn w:val="42"/>
    <w:qFormat/>
    <w:uiPriority w:val="62"/>
    <w:rPr>
      <w:rFonts w:ascii="Calibri" w:hAnsi="Calibri"/>
      <w:kern w:val="2"/>
      <w:sz w:val="21"/>
      <w:szCs w:val="22"/>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Layout w:type="fixed"/>
    </w:tblPr>
    <w:tblStylePr w:type="firstRow">
      <w:pPr>
        <w:spacing w:before="0" w:after="0" w:line="240" w:lineRule="auto"/>
      </w:pPr>
      <w:rPr>
        <w:rFonts w:ascii="Cambria" w:hAnsi="Cambria" w:eastAsia="宋体" w:cs="Times New Roman"/>
        <w:b/>
        <w:bCs/>
      </w:rPr>
      <w:tcPr>
        <w:tcBorders>
          <w:top w:val="single" w:color="4F81BD" w:sz="8" w:space="0"/>
          <w:left w:val="single" w:color="4F81BD" w:sz="8" w:space="0"/>
          <w:bottom w:val="single" w:color="4F81BD" w:sz="18" w:space="0"/>
          <w:right w:val="single" w:color="4F81BD"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4F81BD" w:sz="8" w:space="0"/>
          <w:left w:val="single" w:color="4F81BD" w:sz="8" w:space="0"/>
          <w:bottom w:val="single" w:color="4F81BD" w:sz="8" w:space="0"/>
          <w:right w:val="single" w:color="4F81BD" w:sz="8" w:space="0"/>
        </w:tcBorders>
      </w:tcPr>
    </w:tblStylePr>
    <w:tblStylePr w:type="band1Vert">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cPr>
        <w:tcBorders>
          <w:top w:val="single" w:color="4F81BD" w:sz="8" w:space="0"/>
          <w:left w:val="single" w:color="4F81BD" w:sz="8" w:space="0"/>
          <w:bottom w:val="single" w:color="4F81BD" w:sz="8" w:space="0"/>
          <w:right w:val="single" w:color="4F81BD" w:sz="8" w:space="0"/>
          <w:insideV w:val="single" w:sz="8" w:space="0"/>
        </w:tcBorders>
      </w:tcPr>
    </w:tblStylePr>
  </w:style>
  <w:style w:type="paragraph" w:customStyle="1" w:styleId="212">
    <w:name w:val="修订1"/>
    <w:hidden/>
    <w:semiHidden/>
    <w:qFormat/>
    <w:uiPriority w:val="99"/>
    <w:rPr>
      <w:rFonts w:ascii="Calibri" w:hAnsi="Calibri" w:eastAsia="宋体" w:cs="Times New Roman"/>
      <w:kern w:val="2"/>
      <w:sz w:val="24"/>
      <w:szCs w:val="22"/>
      <w:lang w:val="en-US" w:eastAsia="zh-CN" w:bidi="ar-SA"/>
    </w:rPr>
  </w:style>
  <w:style w:type="paragraph" w:styleId="213">
    <w:name w:val="No Spacing"/>
    <w:link w:val="228"/>
    <w:qFormat/>
    <w:uiPriority w:val="1"/>
    <w:rPr>
      <w:rFonts w:ascii="Calibri" w:hAnsi="Calibri" w:eastAsia="宋体" w:cs="Times New Roman"/>
      <w:kern w:val="2"/>
      <w:sz w:val="22"/>
      <w:szCs w:val="22"/>
      <w:lang w:val="en-US" w:eastAsia="zh-CN" w:bidi="ar-SA"/>
    </w:rPr>
  </w:style>
  <w:style w:type="paragraph" w:customStyle="1" w:styleId="214">
    <w:name w:val="TOC 标题2"/>
    <w:basedOn w:val="2"/>
    <w:next w:val="1"/>
    <w:semiHidden/>
    <w:unhideWhenUsed/>
    <w:qFormat/>
    <w:uiPriority w:val="39"/>
    <w:pPr>
      <w:widowControl/>
      <w:spacing w:beforeLines="0" w:after="0" w:line="276" w:lineRule="auto"/>
      <w:jc w:val="left"/>
      <w:outlineLvl w:val="9"/>
    </w:pPr>
    <w:rPr>
      <w:rFonts w:ascii="Cambria" w:hAnsi="Cambria" w:eastAsia="宋体"/>
      <w:color w:val="365F91"/>
      <w:sz w:val="28"/>
      <w:szCs w:val="28"/>
    </w:rPr>
  </w:style>
  <w:style w:type="table" w:customStyle="1" w:styleId="215">
    <w:name w:val="网格型5"/>
    <w:basedOn w:val="42"/>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16">
    <w:name w:val="浅色网格 - 强调文字颜色 111"/>
    <w:basedOn w:val="42"/>
    <w:qFormat/>
    <w:uiPriority w:val="62"/>
    <w:rPr>
      <w:rFonts w:ascii="Calibri" w:hAnsi="Calibri"/>
      <w:kern w:val="2"/>
      <w:sz w:val="21"/>
      <w:szCs w:val="22"/>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Layout w:type="fixed"/>
    </w:tblPr>
    <w:tblStylePr w:type="firstRow">
      <w:pPr>
        <w:spacing w:before="0" w:after="0" w:line="240" w:lineRule="auto"/>
      </w:pPr>
      <w:rPr>
        <w:rFonts w:ascii="Cambria" w:hAnsi="Cambria" w:eastAsia="宋体" w:cs="Times New Roman"/>
        <w:b/>
        <w:bCs/>
      </w:rPr>
      <w:tcPr>
        <w:tcBorders>
          <w:top w:val="single" w:color="4F81BD" w:sz="8" w:space="0"/>
          <w:left w:val="single" w:color="4F81BD" w:sz="8" w:space="0"/>
          <w:bottom w:val="single" w:color="4F81BD" w:sz="18" w:space="0"/>
          <w:right w:val="single" w:color="4F81BD"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4F81BD" w:sz="8" w:space="0"/>
          <w:left w:val="single" w:color="4F81BD" w:sz="8" w:space="0"/>
          <w:bottom w:val="single" w:color="4F81BD" w:sz="8" w:space="0"/>
          <w:right w:val="single" w:color="4F81BD" w:sz="8" w:space="0"/>
        </w:tcBorders>
      </w:tcPr>
    </w:tblStylePr>
    <w:tblStylePr w:type="band1Vert">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cPr>
        <w:tcBorders>
          <w:top w:val="single" w:color="4F81BD" w:sz="8" w:space="0"/>
          <w:left w:val="single" w:color="4F81BD" w:sz="8" w:space="0"/>
          <w:bottom w:val="single" w:color="4F81BD" w:sz="8" w:space="0"/>
          <w:right w:val="single" w:color="4F81BD" w:sz="8" w:space="0"/>
          <w:insideV w:val="single" w:sz="8" w:space="0"/>
        </w:tcBorders>
      </w:tcPr>
    </w:tblStylePr>
  </w:style>
  <w:style w:type="paragraph" w:customStyle="1" w:styleId="217">
    <w:name w:val="TOC 标题3"/>
    <w:basedOn w:val="2"/>
    <w:next w:val="1"/>
    <w:semiHidden/>
    <w:unhideWhenUsed/>
    <w:qFormat/>
    <w:uiPriority w:val="39"/>
    <w:pPr>
      <w:widowControl/>
      <w:spacing w:beforeLines="0" w:after="0" w:line="276" w:lineRule="auto"/>
      <w:jc w:val="left"/>
      <w:outlineLvl w:val="9"/>
    </w:pPr>
    <w:rPr>
      <w:rFonts w:ascii="Cambria" w:hAnsi="Cambria" w:eastAsia="宋体"/>
      <w:color w:val="365F91"/>
      <w:sz w:val="28"/>
      <w:szCs w:val="28"/>
    </w:rPr>
  </w:style>
  <w:style w:type="table" w:customStyle="1" w:styleId="218">
    <w:name w:val="网格型6"/>
    <w:basedOn w:val="42"/>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19">
    <w:name w:val="浅色网格 - 强调文字颜色 12"/>
    <w:basedOn w:val="42"/>
    <w:qFormat/>
    <w:uiPriority w:val="62"/>
    <w:rPr>
      <w:rFonts w:ascii="Calibri" w:hAnsi="Calibri"/>
      <w:kern w:val="2"/>
      <w:sz w:val="21"/>
      <w:szCs w:val="22"/>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Layout w:type="fixed"/>
    </w:tblPr>
    <w:tblStylePr w:type="firstRow">
      <w:pPr>
        <w:spacing w:before="0" w:after="0" w:line="240" w:lineRule="auto"/>
      </w:pPr>
      <w:rPr>
        <w:rFonts w:ascii="Cambria" w:hAnsi="Cambria" w:eastAsia="宋体" w:cs="Times New Roman"/>
        <w:b/>
        <w:bCs/>
      </w:rPr>
      <w:tcPr>
        <w:tcBorders>
          <w:top w:val="single" w:color="4F81BD" w:sz="8" w:space="0"/>
          <w:left w:val="single" w:color="4F81BD" w:sz="8" w:space="0"/>
          <w:bottom w:val="single" w:color="4F81BD" w:sz="18" w:space="0"/>
          <w:right w:val="single" w:color="4F81BD"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4F81BD" w:sz="8" w:space="0"/>
          <w:left w:val="single" w:color="4F81BD" w:sz="8" w:space="0"/>
          <w:bottom w:val="single" w:color="4F81BD" w:sz="8" w:space="0"/>
          <w:right w:val="single" w:color="4F81BD" w:sz="8" w:space="0"/>
        </w:tcBorders>
      </w:tcPr>
    </w:tblStylePr>
    <w:tblStylePr w:type="band1Vert">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customStyle="1" w:styleId="220">
    <w:name w:val="网格型7"/>
    <w:basedOn w:val="42"/>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21">
    <w:name w:val="网格型8"/>
    <w:basedOn w:val="42"/>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22">
    <w:name w:val="浅色网格 - 强调文字颜色 112"/>
    <w:basedOn w:val="42"/>
    <w:qFormat/>
    <w:uiPriority w:val="62"/>
    <w:rPr>
      <w:rFonts w:ascii="Calibri" w:hAnsi="Calibri"/>
      <w:kern w:val="2"/>
      <w:sz w:val="21"/>
      <w:szCs w:val="22"/>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Layout w:type="fixed"/>
    </w:tblPr>
    <w:tblStylePr w:type="firstRow">
      <w:pPr>
        <w:spacing w:before="0" w:after="0" w:line="240" w:lineRule="auto"/>
      </w:pPr>
      <w:rPr>
        <w:rFonts w:ascii="Cambria" w:hAnsi="Cambria" w:eastAsia="宋体" w:cs="Times New Roman"/>
        <w:b/>
        <w:bCs/>
      </w:rPr>
      <w:tcPr>
        <w:tcBorders>
          <w:top w:val="single" w:color="4F81BD" w:sz="8" w:space="0"/>
          <w:left w:val="single" w:color="4F81BD" w:sz="8" w:space="0"/>
          <w:bottom w:val="single" w:color="4F81BD" w:sz="18" w:space="0"/>
          <w:right w:val="single" w:color="4F81BD"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4F81BD" w:sz="8" w:space="0"/>
          <w:left w:val="single" w:color="4F81BD" w:sz="8" w:space="0"/>
          <w:bottom w:val="single" w:color="4F81BD" w:sz="8" w:space="0"/>
          <w:right w:val="single" w:color="4F81BD" w:sz="8" w:space="0"/>
        </w:tcBorders>
      </w:tcPr>
    </w:tblStylePr>
    <w:tblStylePr w:type="band1Vert">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cPr>
        <w:tcBorders>
          <w:top w:val="single" w:color="4F81BD" w:sz="8" w:space="0"/>
          <w:left w:val="single" w:color="4F81BD" w:sz="8" w:space="0"/>
          <w:bottom w:val="single" w:color="4F81BD" w:sz="8" w:space="0"/>
          <w:right w:val="single" w:color="4F81BD" w:sz="8" w:space="0"/>
          <w:insideV w:val="single" w:sz="8" w:space="0"/>
        </w:tcBorders>
      </w:tcPr>
    </w:tblStylePr>
  </w:style>
  <w:style w:type="paragraph" w:customStyle="1" w:styleId="223">
    <w:name w:val="TOC 标题4"/>
    <w:basedOn w:val="2"/>
    <w:next w:val="1"/>
    <w:semiHidden/>
    <w:unhideWhenUsed/>
    <w:qFormat/>
    <w:uiPriority w:val="39"/>
    <w:pPr>
      <w:widowControl/>
      <w:spacing w:beforeLines="0" w:after="0" w:line="276" w:lineRule="auto"/>
      <w:jc w:val="left"/>
      <w:outlineLvl w:val="9"/>
    </w:pPr>
    <w:rPr>
      <w:rFonts w:ascii="Cambria" w:hAnsi="Cambria" w:eastAsia="宋体"/>
      <w:color w:val="365F91"/>
      <w:sz w:val="28"/>
      <w:szCs w:val="28"/>
    </w:rPr>
  </w:style>
  <w:style w:type="table" w:customStyle="1" w:styleId="224">
    <w:name w:val="网格型9"/>
    <w:basedOn w:val="42"/>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25">
    <w:name w:val="网格型10"/>
    <w:basedOn w:val="42"/>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26">
    <w:name w:val="正文首行缩进 字符"/>
    <w:basedOn w:val="94"/>
    <w:link w:val="41"/>
    <w:qFormat/>
    <w:uiPriority w:val="99"/>
    <w:rPr>
      <w:rFonts w:ascii="宋体" w:cs="Times New Roman"/>
      <w:kern w:val="2"/>
      <w:sz w:val="24"/>
      <w:szCs w:val="24"/>
    </w:rPr>
  </w:style>
  <w:style w:type="character" w:customStyle="1" w:styleId="227">
    <w:name w:val="font51"/>
    <w:basedOn w:val="45"/>
    <w:qFormat/>
    <w:uiPriority w:val="0"/>
    <w:rPr>
      <w:rFonts w:ascii="Calibri" w:hAnsi="Calibri" w:cs="Calibri"/>
      <w:color w:val="000000"/>
      <w:sz w:val="21"/>
      <w:szCs w:val="21"/>
      <w:u w:val="none"/>
    </w:rPr>
  </w:style>
  <w:style w:type="character" w:customStyle="1" w:styleId="228">
    <w:name w:val="无间隔 字符"/>
    <w:basedOn w:val="45"/>
    <w:link w:val="213"/>
    <w:qFormat/>
    <w:uiPriority w:val="1"/>
    <w:rPr>
      <w:rFonts w:ascii="Calibri" w:hAnsi="Calibri"/>
      <w:kern w:val="2"/>
      <w:sz w:val="22"/>
      <w:szCs w:val="22"/>
    </w:rPr>
  </w:style>
  <w:style w:type="paragraph" w:customStyle="1" w:styleId="229">
    <w:name w:val="修订2"/>
    <w:hidden/>
    <w:semiHidden/>
    <w:qFormat/>
    <w:uiPriority w:val="99"/>
    <w:rPr>
      <w:rFonts w:ascii="Times New Roman" w:hAnsi="Times New Roman"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E0BD96-423B-49A3-9977-AEA1309C9773}">
  <ds:schemaRefs/>
</ds:datastoreItem>
</file>

<file path=docProps/app.xml><?xml version="1.0" encoding="utf-8"?>
<Properties xmlns="http://schemas.openxmlformats.org/officeDocument/2006/extended-properties" xmlns:vt="http://schemas.openxmlformats.org/officeDocument/2006/docPropsVTypes">
  <Template>Normal</Template>
  <Pages>1</Pages>
  <Words>14661</Words>
  <Characters>83572</Characters>
  <Lines>696</Lines>
  <Paragraphs>196</Paragraphs>
  <TotalTime>110</TotalTime>
  <ScaleCrop>false</ScaleCrop>
  <LinksUpToDate>false</LinksUpToDate>
  <CharactersWithSpaces>98037</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2024-09-05T09:04:00Z</dcterms:created>
  <dc:creator>wjh</dc:creator>
  <cp:lastModifiedBy>Administrator</cp:lastModifiedBy>
  <cp:lastPrinted>2024-09-20T11:48:00Z</cp:lastPrinted>
  <dcterms:modified xsi:type="dcterms:W3CDTF">2025-05-08T02:34:41Z</dcterms:modified>
  <dc:title>溪口—雪窦山国家级风景名胜区总体规划</dc:title>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BCA559D548514D83A1DBB5F1B5FC30F5_13</vt:lpwstr>
  </property>
</Properties>
</file>