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suppressLineNumbers w:val="0"/>
        <w:kinsoku/>
        <w:wordWrap/>
        <w:overflowPunct/>
        <w:topLinePunct w:val="0"/>
        <w:autoSpaceDE/>
        <w:autoSpaceDN/>
        <w:bidi w:val="0"/>
        <w:adjustRightIn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sz w:val="44"/>
          <w:szCs w:val="44"/>
        </w:rPr>
        <w:t>2024年度诸暨市基本医疗保险基金总额预算管理办法（暂定）</w:t>
      </w:r>
      <w:r>
        <w:rPr>
          <w:rFonts w:hint="eastAsia" w:ascii="方正小标宋简体" w:hAnsi="方正小标宋简体" w:eastAsia="方正小标宋简体" w:cs="方正小标宋简体"/>
          <w:color w:val="auto"/>
          <w:sz w:val="44"/>
          <w:szCs w:val="44"/>
          <w:lang w:eastAsia="zh-CN"/>
        </w:rPr>
        <w:t>（征求意见稿）</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各定点医药机构：</w:t>
      </w:r>
    </w:p>
    <w:p>
      <w:pPr>
        <w:pStyle w:val="2"/>
        <w:keepNext w:val="0"/>
        <w:keepLines w:val="0"/>
        <w:pageBreakBefore w:val="0"/>
        <w:widowControl w:val="0"/>
        <w:kinsoku/>
        <w:wordWrap/>
        <w:overflowPunct/>
        <w:topLinePunct w:val="0"/>
        <w:autoSpaceDE/>
        <w:autoSpaceDN/>
        <w:bidi w:val="0"/>
        <w:adjustRightInd/>
        <w:snapToGrid w:val="0"/>
        <w:spacing w:line="560" w:lineRule="exact"/>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根据《绍兴市基本医疗保险基金总额预算管理方案（试行）》（绍市医保〔2021〕28号）</w:t>
      </w:r>
      <w:r>
        <w:rPr>
          <w:rFonts w:hint="eastAsia" w:ascii="Times New Roman" w:hAnsi="Times New Roman" w:eastAsia="仿宋_GB2312" w:cs="Times New Roman"/>
          <w:color w:val="auto"/>
          <w:sz w:val="32"/>
          <w:szCs w:val="32"/>
          <w:lang w:val="en-US" w:eastAsia="zh-CN"/>
        </w:rPr>
        <w:t>、</w:t>
      </w:r>
      <w:r>
        <w:rPr>
          <w:rFonts w:hint="eastAsia" w:ascii="仿宋_GB2312" w:hAnsi="仿宋_GB2312" w:eastAsia="仿宋_GB2312" w:cs="仿宋_GB2312"/>
          <w:color w:val="auto"/>
          <w:kern w:val="0"/>
          <w:sz w:val="32"/>
          <w:szCs w:val="32"/>
          <w:lang w:val="en-US" w:eastAsia="zh-CN"/>
        </w:rPr>
        <w:t>《绍兴市医疗保障局 绍兴市财政局 绍兴市卫生健康委员会关于预下达</w:t>
      </w:r>
      <w:r>
        <w:rPr>
          <w:rFonts w:hint="eastAsia" w:ascii="Times New Roman" w:hAnsi="Times New Roman" w:eastAsia="仿宋_GB2312" w:cs="Times New Roman"/>
          <w:b w:val="0"/>
          <w:bCs w:val="0"/>
          <w:color w:val="auto"/>
          <w:kern w:val="0"/>
          <w:sz w:val="32"/>
          <w:szCs w:val="32"/>
          <w:highlight w:val="none"/>
          <w:lang w:val="en-US" w:eastAsia="zh-CN" w:bidi="ar-SA"/>
        </w:rPr>
        <w:t>2024年</w:t>
      </w:r>
      <w:r>
        <w:rPr>
          <w:rFonts w:hint="eastAsia" w:ascii="仿宋_GB2312" w:hAnsi="仿宋_GB2312" w:eastAsia="仿宋_GB2312" w:cs="仿宋_GB2312"/>
          <w:color w:val="auto"/>
          <w:kern w:val="0"/>
          <w:sz w:val="32"/>
          <w:szCs w:val="32"/>
          <w:lang w:val="en-US" w:eastAsia="zh-CN"/>
        </w:rPr>
        <w:t>职工医保和城乡居民医保基金总额预算指标的通知》（绍市医保</w:t>
      </w:r>
      <w:r>
        <w:rPr>
          <w:rFonts w:hint="eastAsia" w:ascii="Times New Roman" w:hAnsi="Times New Roman" w:eastAsia="仿宋_GB2312" w:cs="Times New Roman"/>
          <w:b w:val="0"/>
          <w:bCs w:val="0"/>
          <w:color w:val="auto"/>
          <w:kern w:val="0"/>
          <w:sz w:val="32"/>
          <w:szCs w:val="32"/>
          <w:highlight w:val="none"/>
          <w:lang w:val="en-US" w:eastAsia="zh-CN" w:bidi="ar-SA"/>
        </w:rPr>
        <w:t>〔2024〕25号）</w:t>
      </w:r>
      <w:r>
        <w:rPr>
          <w:rFonts w:hint="default" w:ascii="Times New Roman" w:hAnsi="Times New Roman" w:eastAsia="仿宋_GB2312" w:cs="Times New Roman"/>
          <w:color w:val="auto"/>
          <w:sz w:val="32"/>
          <w:szCs w:val="32"/>
          <w:lang w:val="en-US" w:eastAsia="zh-CN"/>
        </w:rPr>
        <w:t>等文件精神，结合我市实际,制订202</w:t>
      </w:r>
      <w:r>
        <w:rPr>
          <w:rFonts w:hint="eastAsia"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lang w:val="en-US" w:eastAsia="zh-CN"/>
        </w:rPr>
        <w:t>年诸暨市基本医疗保险基金（以下简称“医保基金”）总额预算管理办法。</w:t>
      </w:r>
    </w:p>
    <w:p>
      <w:pPr>
        <w:pStyle w:val="2"/>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黑体" w:hAnsi="黑体" w:eastAsia="黑体" w:cs="黑体"/>
          <w:b w:val="0"/>
          <w:bCs w:val="0"/>
          <w:color w:val="auto"/>
          <w:kern w:val="0"/>
          <w:sz w:val="32"/>
          <w:szCs w:val="32"/>
          <w:lang w:val="en-US" w:eastAsia="zh-CN"/>
        </w:rPr>
      </w:pPr>
      <w:r>
        <w:rPr>
          <w:rFonts w:hint="eastAsia" w:ascii="黑体" w:hAnsi="黑体" w:eastAsia="黑体" w:cs="黑体"/>
          <w:b w:val="0"/>
          <w:bCs w:val="0"/>
          <w:color w:val="auto"/>
          <w:kern w:val="0"/>
          <w:sz w:val="32"/>
          <w:szCs w:val="32"/>
          <w:lang w:val="en-US" w:eastAsia="zh-CN"/>
        </w:rPr>
        <w:t>一、预算单位和预算总额</w:t>
      </w:r>
    </w:p>
    <w:p>
      <w:pPr>
        <w:pStyle w:val="7"/>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outlineLvl w:val="9"/>
        <w:rPr>
          <w:rFonts w:hint="default" w:ascii="Times New Roman" w:hAnsi="Times New Roman" w:eastAsia="仿宋_GB2312" w:cs="Times New Roman"/>
          <w:color w:val="auto"/>
          <w:kern w:val="0"/>
          <w:sz w:val="32"/>
          <w:szCs w:val="32"/>
          <w:highlight w:val="none"/>
          <w:lang w:val="en-US" w:eastAsia="zh-CN" w:bidi="ar-SA"/>
        </w:rPr>
      </w:pPr>
      <w:r>
        <w:rPr>
          <w:rFonts w:hint="default" w:ascii="Times New Roman" w:hAnsi="Times New Roman" w:eastAsia="仿宋_GB2312" w:cs="Times New Roman"/>
          <w:color w:val="auto"/>
          <w:kern w:val="0"/>
          <w:sz w:val="32"/>
          <w:szCs w:val="32"/>
          <w:highlight w:val="none"/>
          <w:lang w:val="en-US" w:eastAsia="zh-CN" w:bidi="ar-SA"/>
        </w:rPr>
        <w:t>2024年确定医疗机构住院、市内医疗机构普通门诊、市外医疗机构普通门诊、医疗机构门诊特殊病种、市内零售药店普通门诊以及其他共</w:t>
      </w:r>
      <w:r>
        <w:rPr>
          <w:rFonts w:hint="default" w:ascii="Times New Roman" w:hAnsi="Times New Roman" w:eastAsia="仿宋_GB2312" w:cs="Times New Roman"/>
          <w:color w:val="auto"/>
          <w:kern w:val="0"/>
          <w:sz w:val="32"/>
          <w:szCs w:val="32"/>
          <w:lang w:val="en-US" w:eastAsia="zh-CN" w:bidi="ar-SA"/>
        </w:rPr>
        <w:t>6</w:t>
      </w:r>
      <w:r>
        <w:rPr>
          <w:rFonts w:hint="default" w:ascii="Times New Roman" w:hAnsi="Times New Roman" w:eastAsia="仿宋_GB2312" w:cs="Times New Roman"/>
          <w:color w:val="auto"/>
          <w:kern w:val="0"/>
          <w:sz w:val="32"/>
          <w:szCs w:val="32"/>
          <w:highlight w:val="none"/>
          <w:lang w:val="en-US" w:eastAsia="zh-CN" w:bidi="ar-SA"/>
        </w:rPr>
        <w:t>项预算单位，除市内零售药店普通门诊预算单位外，其余各预算单位暂按《</w:t>
      </w:r>
      <w:r>
        <w:rPr>
          <w:rFonts w:hint="default" w:ascii="Times New Roman" w:hAnsi="Times New Roman" w:eastAsia="仿宋_GB2312" w:cs="Times New Roman"/>
          <w:color w:val="auto"/>
          <w:kern w:val="0"/>
          <w:sz w:val="32"/>
          <w:szCs w:val="32"/>
          <w:lang w:val="en-US" w:eastAsia="zh-CN" w:bidi="ar-SA"/>
        </w:rPr>
        <w:t>2023</w:t>
      </w:r>
      <w:r>
        <w:rPr>
          <w:rFonts w:hint="default" w:ascii="Times New Roman" w:hAnsi="Times New Roman" w:eastAsia="仿宋_GB2312" w:cs="Times New Roman"/>
          <w:color w:val="auto"/>
          <w:kern w:val="0"/>
          <w:sz w:val="32"/>
          <w:szCs w:val="32"/>
          <w:highlight w:val="none"/>
          <w:lang w:val="en-US" w:eastAsia="zh-CN" w:bidi="ar-SA"/>
        </w:rPr>
        <w:t>年度诸暨市基本医疗保险基金总额预算管理办法》下达指标额度执行。绍兴市下达2024年度总额预算指标后，根据下达指标对各预算单位指标进行调整。</w:t>
      </w:r>
    </w:p>
    <w:p>
      <w:pPr>
        <w:pStyle w:val="2"/>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黑体" w:hAnsi="黑体" w:eastAsia="黑体" w:cs="黑体"/>
          <w:b w:val="0"/>
          <w:bCs w:val="0"/>
          <w:color w:val="auto"/>
          <w:kern w:val="0"/>
          <w:sz w:val="32"/>
          <w:szCs w:val="32"/>
          <w:lang w:val="en-US" w:eastAsia="zh-CN"/>
        </w:rPr>
      </w:pPr>
      <w:r>
        <w:rPr>
          <w:rFonts w:hint="eastAsia" w:ascii="黑体" w:hAnsi="黑体" w:eastAsia="黑体" w:cs="黑体"/>
          <w:b w:val="0"/>
          <w:bCs w:val="0"/>
          <w:color w:val="auto"/>
          <w:kern w:val="0"/>
          <w:sz w:val="32"/>
          <w:szCs w:val="32"/>
          <w:lang w:val="en-US" w:eastAsia="zh-CN"/>
        </w:rPr>
        <w:t>二、定点医疗机构</w:t>
      </w:r>
    </w:p>
    <w:p>
      <w:pPr>
        <w:pStyle w:val="2"/>
        <w:keepNext w:val="0"/>
        <w:keepLines w:val="0"/>
        <w:pageBreakBefore w:val="0"/>
        <w:widowControl w:val="0"/>
        <w:kinsoku/>
        <w:wordWrap/>
        <w:overflowPunct/>
        <w:topLinePunct w:val="0"/>
        <w:autoSpaceDE/>
        <w:autoSpaceDN/>
        <w:bidi w:val="0"/>
        <w:adjustRightInd/>
        <w:snapToGrid w:val="0"/>
        <w:spacing w:line="560" w:lineRule="exact"/>
        <w:textAlignment w:val="auto"/>
        <w:rPr>
          <w:rFonts w:hint="default" w:ascii="Times New Roman" w:hAnsi="Times New Roman" w:eastAsia="仿宋_GB2312" w:cs="Times New Roman"/>
          <w:color w:val="auto"/>
          <w:kern w:val="0"/>
          <w:sz w:val="32"/>
          <w:szCs w:val="32"/>
          <w:lang w:val="en-US" w:eastAsia="zh-CN"/>
        </w:rPr>
      </w:pPr>
      <w:r>
        <w:rPr>
          <w:rFonts w:hint="eastAsia" w:ascii="楷体_GB2312" w:hAnsi="楷体_GB2312" w:eastAsia="楷体_GB2312" w:cs="楷体_GB2312"/>
          <w:color w:val="auto"/>
          <w:kern w:val="0"/>
          <w:sz w:val="32"/>
          <w:szCs w:val="32"/>
          <w:lang w:val="en-US" w:eastAsia="zh-CN"/>
        </w:rPr>
        <w:t>（一）</w:t>
      </w:r>
      <w:r>
        <w:rPr>
          <w:rFonts w:hint="default" w:ascii="Times New Roman" w:hAnsi="Times New Roman" w:eastAsia="仿宋_GB2312" w:cs="Times New Roman"/>
          <w:color w:val="auto"/>
          <w:kern w:val="0"/>
          <w:sz w:val="32"/>
          <w:szCs w:val="32"/>
          <w:lang w:val="en-US" w:eastAsia="zh-CN"/>
        </w:rPr>
        <w:t>住院实施总额预算下DRGs点数法付费，门诊实施总额预算下按项目付费。市内定点医疗机构普通门诊预算额度</w:t>
      </w:r>
      <w:r>
        <w:rPr>
          <w:rFonts w:hint="eastAsia" w:ascii="Times New Roman" w:hAnsi="Times New Roman" w:eastAsia="仿宋_GB2312" w:cs="Times New Roman"/>
          <w:color w:val="auto"/>
          <w:kern w:val="0"/>
          <w:sz w:val="32"/>
          <w:szCs w:val="32"/>
          <w:lang w:val="en-US" w:eastAsia="zh-CN"/>
        </w:rPr>
        <w:t>暂按2023年度下达指标确定</w:t>
      </w:r>
      <w:r>
        <w:rPr>
          <w:rFonts w:hint="default" w:ascii="Times New Roman" w:hAnsi="Times New Roman" w:eastAsia="仿宋_GB2312" w:cs="Times New Roman"/>
          <w:color w:val="auto"/>
          <w:kern w:val="0"/>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outlineLvl w:val="9"/>
        <w:rPr>
          <w:rFonts w:hint="default" w:ascii="Times New Roman" w:hAnsi="Times New Roman" w:eastAsia="仿宋_GB2312" w:cs="Times New Roman"/>
          <w:color w:val="auto"/>
          <w:kern w:val="0"/>
          <w:sz w:val="32"/>
          <w:szCs w:val="32"/>
          <w:lang w:val="en-US" w:eastAsia="zh-CN"/>
        </w:rPr>
      </w:pPr>
      <w:r>
        <w:rPr>
          <w:rFonts w:hint="eastAsia" w:ascii="楷体_GB2312" w:hAnsi="楷体_GB2312" w:eastAsia="楷体_GB2312" w:cs="楷体_GB2312"/>
          <w:color w:val="auto"/>
          <w:kern w:val="0"/>
          <w:sz w:val="32"/>
          <w:szCs w:val="32"/>
          <w:lang w:val="en-US" w:eastAsia="zh-CN" w:bidi="ar-SA"/>
        </w:rPr>
        <w:t>（二）</w:t>
      </w:r>
      <w:r>
        <w:rPr>
          <w:rFonts w:hint="default" w:ascii="Times New Roman" w:hAnsi="Times New Roman" w:eastAsia="仿宋_GB2312" w:cs="Times New Roman"/>
          <w:color w:val="auto"/>
          <w:kern w:val="0"/>
          <w:sz w:val="32"/>
          <w:szCs w:val="32"/>
          <w:lang w:val="en-US" w:eastAsia="zh-CN" w:bidi="ar-SA"/>
        </w:rPr>
        <w:t>建立支持落实分级诊疗制度。</w:t>
      </w:r>
      <w:r>
        <w:rPr>
          <w:rFonts w:hint="default" w:ascii="Times New Roman" w:hAnsi="Times New Roman" w:eastAsia="仿宋_GB2312" w:cs="Times New Roman"/>
          <w:color w:val="auto"/>
          <w:kern w:val="0"/>
          <w:sz w:val="32"/>
          <w:szCs w:val="32"/>
          <w:lang w:val="en-US" w:eastAsia="zh-CN"/>
        </w:rPr>
        <w:t>预留金中提取</w:t>
      </w:r>
      <w:r>
        <w:rPr>
          <w:rFonts w:hint="default" w:ascii="Times New Roman" w:hAnsi="Times New Roman" w:eastAsia="仿宋_GB2312" w:cs="Times New Roman"/>
          <w:color w:val="auto"/>
          <w:kern w:val="0"/>
          <w:sz w:val="32"/>
          <w:szCs w:val="32"/>
          <w:lang w:val="en-US" w:eastAsia="zh-CN" w:bidi="ar-SA"/>
        </w:rPr>
        <w:t>1500</w:t>
      </w:r>
      <w:bookmarkStart w:id="0" w:name="_GoBack"/>
      <w:bookmarkEnd w:id="0"/>
      <w:r>
        <w:rPr>
          <w:rFonts w:hint="default" w:ascii="Times New Roman" w:hAnsi="Times New Roman" w:eastAsia="仿宋_GB2312" w:cs="Times New Roman"/>
          <w:color w:val="auto"/>
          <w:kern w:val="0"/>
          <w:sz w:val="32"/>
          <w:szCs w:val="32"/>
          <w:lang w:val="en-US" w:eastAsia="zh-CN"/>
        </w:rPr>
        <w:t>万元，用于鼓励市内医疗机构加强重点学科建设，提高医疗服务水平，将外转病人留在市内就诊，提高市内住院医保基金支出比例和医保政策范围内费用住院报销比例。按照市内定点医疗机构收治重症病例费用、儿科住院病例RW值和特殊住院病例点数权重调整门诊决算额。</w:t>
      </w:r>
    </w:p>
    <w:p>
      <w:pPr>
        <w:pStyle w:val="2"/>
        <w:keepNext w:val="0"/>
        <w:keepLines w:val="0"/>
        <w:pageBreakBefore w:val="0"/>
        <w:kinsoku/>
        <w:wordWrap/>
        <w:overflowPunct/>
        <w:topLinePunct w:val="0"/>
        <w:autoSpaceDE/>
        <w:autoSpaceDN/>
        <w:bidi w:val="0"/>
        <w:snapToGrid w:val="0"/>
        <w:spacing w:line="560" w:lineRule="exact"/>
        <w:textAlignment w:val="auto"/>
        <w:rPr>
          <w:rFonts w:hint="eastAsia" w:ascii="黑体" w:hAnsi="黑体" w:eastAsia="黑体" w:cs="黑体"/>
          <w:b w:val="0"/>
          <w:bCs w:val="0"/>
          <w:color w:val="auto"/>
          <w:kern w:val="0"/>
          <w:sz w:val="32"/>
          <w:szCs w:val="32"/>
          <w:lang w:val="en-US" w:eastAsia="zh-CN"/>
        </w:rPr>
      </w:pPr>
      <w:r>
        <w:rPr>
          <w:rFonts w:hint="eastAsia" w:ascii="黑体" w:hAnsi="黑体" w:eastAsia="黑体" w:cs="黑体"/>
          <w:b w:val="0"/>
          <w:bCs w:val="0"/>
          <w:color w:val="auto"/>
          <w:kern w:val="0"/>
          <w:sz w:val="32"/>
          <w:szCs w:val="32"/>
          <w:lang w:val="en-US" w:eastAsia="zh-CN"/>
        </w:rPr>
        <w:t>三、定点零售药店</w:t>
      </w:r>
    </w:p>
    <w:p>
      <w:pPr>
        <w:pStyle w:val="2"/>
        <w:keepNext w:val="0"/>
        <w:keepLines w:val="0"/>
        <w:pageBreakBefore w:val="0"/>
        <w:kinsoku/>
        <w:wordWrap/>
        <w:overflowPunct/>
        <w:topLinePunct w:val="0"/>
        <w:autoSpaceDE/>
        <w:autoSpaceDN/>
        <w:bidi w:val="0"/>
        <w:snapToGrid w:val="0"/>
        <w:spacing w:line="560" w:lineRule="exact"/>
        <w:textAlignment w:val="auto"/>
        <w:rPr>
          <w:rFonts w:hint="default" w:ascii="Times New Roman" w:hAnsi="Times New Roman" w:eastAsia="仿宋_GB2312" w:cs="Times New Roman"/>
          <w:color w:val="auto"/>
          <w:kern w:val="0"/>
          <w:sz w:val="32"/>
          <w:szCs w:val="32"/>
          <w:u w:val="none"/>
          <w:lang w:val="en-US" w:eastAsia="zh-CN"/>
        </w:rPr>
      </w:pPr>
      <w:r>
        <w:rPr>
          <w:rFonts w:hint="eastAsia" w:ascii="楷体_GB2312" w:hAnsi="楷体_GB2312" w:eastAsia="楷体_GB2312" w:cs="楷体_GB2312"/>
          <w:color w:val="auto"/>
          <w:kern w:val="0"/>
          <w:sz w:val="32"/>
          <w:szCs w:val="32"/>
          <w:lang w:val="en-US" w:eastAsia="zh-CN"/>
        </w:rPr>
        <w:t>（一）调整预算指标。</w:t>
      </w:r>
      <w:r>
        <w:rPr>
          <w:rFonts w:hint="default" w:ascii="Times New Roman" w:hAnsi="Times New Roman" w:eastAsia="仿宋_GB2312" w:cs="Times New Roman"/>
          <w:color w:val="auto"/>
          <w:kern w:val="0"/>
          <w:sz w:val="32"/>
          <w:szCs w:val="32"/>
          <w:highlight w:val="none"/>
          <w:lang w:val="en-US" w:eastAsia="zh-CN" w:bidi="ar-SA"/>
        </w:rPr>
        <w:t>2024年度市内定点零售药店普通门诊预算指标为11477万元。其中原定点</w:t>
      </w:r>
      <w:r>
        <w:rPr>
          <w:rFonts w:hint="default" w:ascii="Times New Roman" w:hAnsi="Times New Roman" w:eastAsia="仿宋_GB2312" w:cs="Times New Roman"/>
          <w:color w:val="auto"/>
          <w:kern w:val="0"/>
          <w:sz w:val="32"/>
          <w:szCs w:val="32"/>
          <w:u w:val="none"/>
          <w:lang w:val="en-US" w:eastAsia="zh-CN"/>
        </w:rPr>
        <w:t>零售药店预算指标10361万元，按照每家定点零售药店上年度决算额权重确定2024年规定额，上年度决算额低于上年度规定额的，以上年度规定额作为基数确定权重；</w:t>
      </w:r>
      <w:r>
        <w:rPr>
          <w:rFonts w:hint="default" w:ascii="Times New Roman" w:hAnsi="Times New Roman" w:eastAsia="仿宋_GB2312" w:cs="Times New Roman"/>
          <w:color w:val="auto"/>
          <w:kern w:val="0"/>
          <w:sz w:val="32"/>
          <w:szCs w:val="32"/>
          <w:highlight w:val="none"/>
          <w:lang w:val="en-US" w:eastAsia="zh-CN" w:bidi="ar-SA"/>
        </w:rPr>
        <w:t>新进定点零售药店整体作为一个预算单位，预算指标为1116万元，不细分到各零售药店。</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560" w:lineRule="exact"/>
        <w:ind w:right="0" w:rightChars="0" w:firstLine="640" w:firstLineChars="200"/>
        <w:jc w:val="left"/>
        <w:textAlignment w:val="auto"/>
        <w:rPr>
          <w:rFonts w:hint="default" w:ascii="Times New Roman" w:hAnsi="Times New Roman" w:eastAsia="仿宋_GB2312" w:cs="Times New Roman"/>
          <w:color w:val="auto"/>
          <w:kern w:val="0"/>
          <w:sz w:val="32"/>
          <w:szCs w:val="32"/>
          <w:highlight w:val="none"/>
          <w:lang w:val="en-US" w:eastAsia="zh-CN" w:bidi="ar-SA"/>
        </w:rPr>
      </w:pPr>
      <w:r>
        <w:rPr>
          <w:rFonts w:hint="eastAsia" w:ascii="楷体_GB2312" w:hAnsi="楷体_GB2312" w:eastAsia="楷体_GB2312" w:cs="楷体_GB2312"/>
          <w:b w:val="0"/>
          <w:bCs w:val="0"/>
          <w:color w:val="auto"/>
          <w:kern w:val="2"/>
          <w:sz w:val="32"/>
          <w:szCs w:val="32"/>
          <w:highlight w:val="none"/>
          <w:lang w:val="en-US" w:eastAsia="zh-CN" w:bidi="ar-SA"/>
        </w:rPr>
        <w:t>（二）调整定点零售药店结算考核办法。</w:t>
      </w:r>
      <w:r>
        <w:rPr>
          <w:rFonts w:hint="default" w:ascii="Times New Roman" w:hAnsi="Times New Roman" w:eastAsia="仿宋_GB2312" w:cs="Times New Roman"/>
          <w:strike w:val="0"/>
          <w:dstrike w:val="0"/>
          <w:color w:val="auto"/>
          <w:kern w:val="0"/>
          <w:sz w:val="32"/>
          <w:szCs w:val="32"/>
          <w:highlight w:val="none"/>
          <w:lang w:val="en-US" w:eastAsia="zh-CN" w:bidi="ar-SA"/>
        </w:rPr>
        <w:t>年度新进定点零售药店和原定点零售药店分开结算，预算指标有结余的，结余部分由基金留存；预算指标有超支的，超支部分由药店承担。</w:t>
      </w:r>
      <w:r>
        <w:rPr>
          <w:rFonts w:hint="default" w:ascii="Times New Roman" w:hAnsi="Times New Roman" w:eastAsia="仿宋_GB2312" w:cs="Times New Roman"/>
          <w:color w:val="auto"/>
          <w:kern w:val="0"/>
          <w:sz w:val="32"/>
          <w:szCs w:val="32"/>
          <w:highlight w:val="none"/>
          <w:lang w:val="en-US" w:eastAsia="zh-CN" w:bidi="ar-SA"/>
        </w:rPr>
        <w:t>原定点零售药店超过其规定额度的，超过部分由各药店自行承担；新进定点零售药店超支金额，由全年发生额超过31万元的药店按其发生额权重分担。所有定点零售药店职工医保普通门诊刷卡结算全年均次费用不超过130元（中药饮片及医保谈判药品除外），原定点零售药店人次人头比较上年度增长不超过2%，新进定点</w:t>
      </w:r>
      <w:r>
        <w:rPr>
          <w:rFonts w:hint="default" w:ascii="Times New Roman" w:hAnsi="Times New Roman" w:eastAsia="仿宋_GB2312" w:cs="Times New Roman"/>
          <w:color w:val="auto"/>
          <w:kern w:val="0"/>
          <w:sz w:val="32"/>
          <w:szCs w:val="32"/>
          <w:lang w:val="en-US" w:eastAsia="zh-CN" w:bidi="ar-SA"/>
        </w:rPr>
        <w:t>零售</w:t>
      </w:r>
      <w:r>
        <w:rPr>
          <w:rFonts w:hint="default" w:ascii="Times New Roman" w:hAnsi="Times New Roman" w:eastAsia="仿宋_GB2312" w:cs="Times New Roman"/>
          <w:color w:val="auto"/>
          <w:kern w:val="0"/>
          <w:sz w:val="32"/>
          <w:szCs w:val="32"/>
          <w:highlight w:val="none"/>
          <w:lang w:val="en-US" w:eastAsia="zh-CN" w:bidi="ar-SA"/>
        </w:rPr>
        <w:t>药店人次人头比不超过原定点零售药店全年平均值，超出部分对应的统筹基金不予支付。分解处方、人为增加小额处方的不计入购药人次。</w:t>
      </w:r>
    </w:p>
    <w:p>
      <w:pPr>
        <w:pStyle w:val="2"/>
        <w:keepNext w:val="0"/>
        <w:keepLines w:val="0"/>
        <w:pageBreakBefore w:val="0"/>
        <w:kinsoku/>
        <w:wordWrap/>
        <w:overflowPunct/>
        <w:topLinePunct w:val="0"/>
        <w:autoSpaceDE/>
        <w:autoSpaceDN/>
        <w:bidi w:val="0"/>
        <w:snapToGrid w:val="0"/>
        <w:spacing w:line="560" w:lineRule="exact"/>
        <w:textAlignment w:val="auto"/>
        <w:rPr>
          <w:rFonts w:hint="default" w:ascii="Times New Roman" w:hAnsi="Times New Roman" w:eastAsia="仿宋_GB2312" w:cs="Times New Roman"/>
          <w:b w:val="0"/>
          <w:bCs w:val="0"/>
          <w:color w:val="auto"/>
          <w:kern w:val="0"/>
          <w:sz w:val="32"/>
          <w:szCs w:val="32"/>
          <w:highlight w:val="none"/>
          <w:lang w:val="en-US" w:eastAsia="zh-CN" w:bidi="ar-SA"/>
        </w:rPr>
      </w:pPr>
      <w:r>
        <w:rPr>
          <w:rFonts w:hint="default" w:ascii="Times New Roman" w:hAnsi="Times New Roman" w:eastAsia="仿宋_GB2312" w:cs="Times New Roman"/>
          <w:b w:val="0"/>
          <w:bCs w:val="0"/>
          <w:color w:val="auto"/>
          <w:kern w:val="0"/>
          <w:sz w:val="32"/>
          <w:szCs w:val="32"/>
          <w:highlight w:val="none"/>
          <w:lang w:val="en-US" w:eastAsia="zh-CN" w:bidi="ar-SA"/>
        </w:rPr>
        <w:t>年度内因违法违规被暂停医保结算或其他因素导致全年实际经营月数不足12个月的，按实际经营月数核减当年度规定额。符合《零售药店医疗保障定点管理暂行办法》（国家医疗保障局第3号令）等文件规定发生信息变更的，年度内预算指标不做调整。</w:t>
      </w:r>
    </w:p>
    <w:p>
      <w:pPr>
        <w:pStyle w:val="2"/>
        <w:keepNext w:val="0"/>
        <w:keepLines w:val="0"/>
        <w:pageBreakBefore w:val="0"/>
        <w:kinsoku/>
        <w:wordWrap/>
        <w:overflowPunct/>
        <w:topLinePunct w:val="0"/>
        <w:autoSpaceDE/>
        <w:autoSpaceDN/>
        <w:bidi w:val="0"/>
        <w:snapToGrid w:val="0"/>
        <w:spacing w:line="560" w:lineRule="exact"/>
        <w:textAlignment w:val="auto"/>
        <w:rPr>
          <w:rFonts w:hint="default" w:ascii="Times New Roman" w:hAnsi="Times New Roman" w:eastAsia="仿宋_GB2312" w:cs="Times New Roman"/>
          <w:b w:val="0"/>
          <w:bCs w:val="0"/>
          <w:color w:val="auto"/>
          <w:kern w:val="0"/>
          <w:sz w:val="32"/>
          <w:szCs w:val="32"/>
          <w:highlight w:val="none"/>
          <w:lang w:val="en-US" w:eastAsia="zh-CN" w:bidi="ar-SA"/>
        </w:rPr>
      </w:pPr>
    </w:p>
    <w:p>
      <w:pPr>
        <w:pStyle w:val="7"/>
        <w:keepNext w:val="0"/>
        <w:keepLines w:val="0"/>
        <w:pageBreakBefore w:val="0"/>
        <w:widowControl w:val="0"/>
        <w:kinsoku/>
        <w:wordWrap/>
        <w:overflowPunct/>
        <w:topLinePunct w:val="0"/>
        <w:autoSpaceDE/>
        <w:autoSpaceDN/>
        <w:bidi w:val="0"/>
        <w:spacing w:line="560" w:lineRule="exact"/>
        <w:ind w:left="1918" w:leftChars="304" w:hanging="1280" w:hangingChars="400"/>
        <w:jc w:val="left"/>
        <w:textAlignment w:val="auto"/>
        <w:rPr>
          <w:rFonts w:hint="default" w:ascii="Times New Roman" w:hAnsi="Times New Roman" w:eastAsia="仿宋_GB2312" w:cs="Times New Roman"/>
          <w:color w:val="000000" w:themeColor="text1"/>
          <w:kern w:val="0"/>
          <w:sz w:val="32"/>
          <w:szCs w:val="32"/>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32"/>
          <w:szCs w:val="32"/>
          <w:lang w:bidi="ar"/>
          <w14:textFill>
            <w14:solidFill>
              <w14:schemeClr w14:val="tx1"/>
            </w14:solidFill>
          </w14:textFill>
        </w:rPr>
        <w:t>附件：</w:t>
      </w:r>
      <w:r>
        <w:rPr>
          <w:rFonts w:hint="default" w:ascii="Times New Roman" w:hAnsi="Times New Roman" w:eastAsia="仿宋_GB2312" w:cs="Times New Roman"/>
          <w:color w:val="000000" w:themeColor="text1"/>
          <w:kern w:val="0"/>
          <w:sz w:val="32"/>
          <w:szCs w:val="32"/>
          <w:lang w:val="en-US" w:eastAsia="zh-CN" w:bidi="ar-SA"/>
          <w14:textFill>
            <w14:solidFill>
              <w14:schemeClr w14:val="tx1"/>
            </w14:solidFill>
          </w14:textFill>
        </w:rPr>
        <w:t>1.2024年度诸暨市部分预算单位预算额度分配表</w:t>
      </w:r>
    </w:p>
    <w:p>
      <w:pPr>
        <w:pStyle w:val="7"/>
        <w:keepNext w:val="0"/>
        <w:keepLines w:val="0"/>
        <w:pageBreakBefore w:val="0"/>
        <w:widowControl w:val="0"/>
        <w:kinsoku/>
        <w:wordWrap/>
        <w:overflowPunct/>
        <w:topLinePunct w:val="0"/>
        <w:autoSpaceDE/>
        <w:autoSpaceDN/>
        <w:bidi w:val="0"/>
        <w:spacing w:line="560" w:lineRule="exact"/>
        <w:ind w:left="1916" w:leftChars="760" w:hanging="320" w:hangingChars="100"/>
        <w:jc w:val="left"/>
        <w:textAlignment w:val="auto"/>
        <w:rPr>
          <w:rFonts w:hint="default" w:ascii="Times New Roman" w:hAnsi="Times New Roman" w:eastAsia="仿宋_GB2312" w:cs="Times New Roman"/>
          <w:color w:val="000000" w:themeColor="text1"/>
          <w:kern w:val="0"/>
          <w:sz w:val="32"/>
          <w:szCs w:val="32"/>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32"/>
          <w:szCs w:val="32"/>
          <w:lang w:val="en-US" w:eastAsia="zh-CN" w:bidi="ar-SA"/>
          <w14:textFill>
            <w14:solidFill>
              <w14:schemeClr w14:val="tx1"/>
            </w14:solidFill>
          </w14:textFill>
        </w:rPr>
        <w:t>2.2024年度诸暨市市内定点医疗机构普通门诊预算</w:t>
      </w:r>
    </w:p>
    <w:p>
      <w:pPr>
        <w:pStyle w:val="7"/>
        <w:keepNext w:val="0"/>
        <w:keepLines w:val="0"/>
        <w:pageBreakBefore w:val="0"/>
        <w:widowControl w:val="0"/>
        <w:kinsoku/>
        <w:wordWrap/>
        <w:overflowPunct/>
        <w:topLinePunct w:val="0"/>
        <w:autoSpaceDE/>
        <w:autoSpaceDN/>
        <w:bidi w:val="0"/>
        <w:spacing w:line="560" w:lineRule="exact"/>
        <w:ind w:left="1916" w:leftChars="760" w:hanging="320" w:hangingChars="100"/>
        <w:jc w:val="left"/>
        <w:textAlignment w:val="auto"/>
        <w:rPr>
          <w:rFonts w:hint="default" w:ascii="Times New Roman" w:hAnsi="Times New Roman" w:eastAsia="仿宋_GB2312" w:cs="Times New Roman"/>
          <w:color w:val="000000" w:themeColor="text1"/>
          <w:kern w:val="0"/>
          <w:sz w:val="32"/>
          <w:szCs w:val="32"/>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32"/>
          <w:szCs w:val="32"/>
          <w:lang w:val="en-US" w:eastAsia="zh-CN" w:bidi="ar-SA"/>
          <w14:textFill>
            <w14:solidFill>
              <w14:schemeClr w14:val="tx1"/>
            </w14:solidFill>
          </w14:textFill>
        </w:rPr>
        <w:t>额度分配表</w:t>
      </w:r>
    </w:p>
    <w:p>
      <w:pPr>
        <w:pStyle w:val="7"/>
        <w:keepNext w:val="0"/>
        <w:keepLines w:val="0"/>
        <w:pageBreakBefore w:val="0"/>
        <w:widowControl w:val="0"/>
        <w:kinsoku/>
        <w:wordWrap/>
        <w:overflowPunct/>
        <w:topLinePunct w:val="0"/>
        <w:autoSpaceDE/>
        <w:autoSpaceDN/>
        <w:bidi w:val="0"/>
        <w:spacing w:line="560" w:lineRule="exact"/>
        <w:ind w:left="1916" w:leftChars="760" w:hanging="320" w:hangingChars="100"/>
        <w:jc w:val="left"/>
        <w:textAlignment w:val="auto"/>
        <w:rPr>
          <w:rFonts w:hint="default" w:ascii="Times New Roman" w:hAnsi="Times New Roman" w:eastAsia="仿宋_GB2312" w:cs="Times New Roman"/>
          <w:color w:val="000000" w:themeColor="text1"/>
          <w:kern w:val="0"/>
          <w:sz w:val="32"/>
          <w:szCs w:val="32"/>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32"/>
          <w:szCs w:val="32"/>
          <w:lang w:val="en-US" w:eastAsia="zh-CN" w:bidi="ar-SA"/>
          <w14:textFill>
            <w14:solidFill>
              <w14:schemeClr w14:val="tx1"/>
            </w14:solidFill>
          </w14:textFill>
        </w:rPr>
        <w:t>3.2024年度诸暨市支持落实分级诊疗方案</w:t>
      </w:r>
    </w:p>
    <w:p>
      <w:pPr>
        <w:pStyle w:val="2"/>
        <w:keepNext w:val="0"/>
        <w:keepLines w:val="0"/>
        <w:pageBreakBefore w:val="0"/>
        <w:kinsoku/>
        <w:wordWrap/>
        <w:overflowPunct/>
        <w:topLinePunct w:val="0"/>
        <w:autoSpaceDE/>
        <w:autoSpaceDN/>
        <w:bidi w:val="0"/>
        <w:spacing w:line="560" w:lineRule="exact"/>
        <w:textAlignment w:val="auto"/>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pPr>
    </w:p>
    <w:p>
      <w:pPr>
        <w:pStyle w:val="2"/>
        <w:keepNext w:val="0"/>
        <w:keepLines w:val="0"/>
        <w:pageBreakBefore w:val="0"/>
        <w:kinsoku/>
        <w:wordWrap/>
        <w:overflowPunct/>
        <w:topLinePunct w:val="0"/>
        <w:autoSpaceDE/>
        <w:autoSpaceDN/>
        <w:bidi w:val="0"/>
        <w:spacing w:line="560" w:lineRule="exact"/>
        <w:textAlignment w:val="auto"/>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pPr>
    </w:p>
    <w:p>
      <w:pPr>
        <w:pStyle w:val="2"/>
        <w:keepNext w:val="0"/>
        <w:keepLines w:val="0"/>
        <w:pageBreakBefore w:val="0"/>
        <w:kinsoku/>
        <w:wordWrap/>
        <w:overflowPunct/>
        <w:topLinePunct w:val="0"/>
        <w:autoSpaceDE/>
        <w:autoSpaceDN/>
        <w:bidi w:val="0"/>
        <w:spacing w:line="560" w:lineRule="exact"/>
        <w:textAlignment w:val="auto"/>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t xml:space="preserve">                           </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t>诸暨市医疗保障局</w:t>
      </w:r>
    </w:p>
    <w:p>
      <w:pPr>
        <w:pStyle w:val="2"/>
        <w:keepNext w:val="0"/>
        <w:keepLines w:val="0"/>
        <w:pageBreakBefore w:val="0"/>
        <w:kinsoku/>
        <w:wordWrap/>
        <w:overflowPunct/>
        <w:topLinePunct w:val="0"/>
        <w:autoSpaceDE/>
        <w:autoSpaceDN/>
        <w:bidi w:val="0"/>
        <w:spacing w:line="560" w:lineRule="exact"/>
        <w:textAlignment w:val="auto"/>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t xml:space="preserve">                          </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t>2024年</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12</w:t>
      </w:r>
      <w:r>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t>月</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13</w:t>
      </w:r>
      <w:r>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t>日</w:t>
      </w:r>
    </w:p>
    <w:p>
      <w:pPr>
        <w:pStyle w:val="2"/>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pPr>
    </w:p>
    <w:p>
      <w:pPr>
        <w:pStyle w:val="2"/>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pPr>
    </w:p>
    <w:p>
      <w:pPr>
        <w:pStyle w:val="2"/>
        <w:ind w:left="0" w:leftChars="0" w:firstLine="0" w:firstLineChars="0"/>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520" w:lineRule="exact"/>
        <w:jc w:val="both"/>
        <w:textAlignment w:val="auto"/>
        <w:outlineLvl w:val="9"/>
        <w:rPr>
          <w:rFonts w:hint="eastAsia" w:ascii="黑体" w:hAnsi="黑体" w:eastAsia="黑体" w:cs="黑体"/>
          <w:color w:val="000000" w:themeColor="text1"/>
          <w:kern w:val="0"/>
          <w:sz w:val="32"/>
          <w:szCs w:val="32"/>
          <w:lang w:val="en-US" w:eastAsia="zh-CN" w:bidi="ar-SA"/>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520" w:lineRule="exact"/>
        <w:jc w:val="both"/>
        <w:textAlignment w:val="auto"/>
        <w:outlineLvl w:val="9"/>
        <w:rPr>
          <w:rFonts w:hint="eastAsia" w:ascii="黑体" w:hAnsi="黑体" w:eastAsia="黑体" w:cs="黑体"/>
          <w:color w:val="000000" w:themeColor="text1"/>
          <w:kern w:val="0"/>
          <w:sz w:val="32"/>
          <w:szCs w:val="32"/>
          <w:lang w:val="en-US" w:eastAsia="zh-CN" w:bidi="ar-SA"/>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520" w:lineRule="exact"/>
        <w:jc w:val="both"/>
        <w:textAlignment w:val="auto"/>
        <w:outlineLvl w:val="9"/>
        <w:rPr>
          <w:rFonts w:hint="eastAsia" w:ascii="黑体" w:hAnsi="黑体" w:eastAsia="黑体" w:cs="黑体"/>
          <w:color w:val="000000" w:themeColor="text1"/>
          <w:kern w:val="0"/>
          <w:sz w:val="32"/>
          <w:szCs w:val="32"/>
          <w:lang w:val="en-US" w:eastAsia="zh-CN" w:bidi="ar-SA"/>
          <w14:textFill>
            <w14:solidFill>
              <w14:schemeClr w14:val="tx1"/>
            </w14:solidFill>
          </w14:textFill>
        </w:rPr>
      </w:pPr>
    </w:p>
    <w:p>
      <w:pPr>
        <w:rPr>
          <w:rFonts w:hint="eastAsia" w:ascii="黑体" w:hAnsi="黑体" w:eastAsia="黑体" w:cs="黑体"/>
          <w:color w:val="000000" w:themeColor="text1"/>
          <w:kern w:val="0"/>
          <w:sz w:val="32"/>
          <w:szCs w:val="32"/>
          <w:lang w:val="en-US" w:eastAsia="zh-CN" w:bidi="ar-SA"/>
          <w14:textFill>
            <w14:solidFill>
              <w14:schemeClr w14:val="tx1"/>
            </w14:solidFill>
          </w14:textFill>
        </w:rPr>
      </w:pPr>
      <w:r>
        <w:rPr>
          <w:rFonts w:hint="eastAsia" w:ascii="黑体" w:hAnsi="黑体" w:eastAsia="黑体" w:cs="黑体"/>
          <w:color w:val="000000" w:themeColor="text1"/>
          <w:kern w:val="0"/>
          <w:sz w:val="32"/>
          <w:szCs w:val="32"/>
          <w:lang w:val="en-US" w:eastAsia="zh-CN" w:bidi="ar-SA"/>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val="0"/>
        <w:spacing w:line="520" w:lineRule="exact"/>
        <w:jc w:val="both"/>
        <w:textAlignment w:val="auto"/>
        <w:outlineLvl w:val="9"/>
        <w:rPr>
          <w:rFonts w:hint="eastAsia" w:ascii="黑体" w:hAnsi="黑体" w:eastAsia="黑体" w:cs="黑体"/>
          <w:color w:val="000000" w:themeColor="text1"/>
          <w:kern w:val="0"/>
          <w:sz w:val="32"/>
          <w:szCs w:val="32"/>
          <w:lang w:val="en-US" w:eastAsia="zh-CN" w:bidi="ar-SA"/>
          <w14:textFill>
            <w14:solidFill>
              <w14:schemeClr w14:val="tx1"/>
            </w14:solidFill>
          </w14:textFill>
        </w:rPr>
      </w:pPr>
      <w:r>
        <w:rPr>
          <w:rFonts w:hint="eastAsia" w:ascii="黑体" w:hAnsi="黑体" w:eastAsia="黑体" w:cs="黑体"/>
          <w:color w:val="000000" w:themeColor="text1"/>
          <w:kern w:val="0"/>
          <w:sz w:val="32"/>
          <w:szCs w:val="32"/>
          <w:lang w:val="en-US" w:eastAsia="zh-CN" w:bidi="ar-SA"/>
          <w14:textFill>
            <w14:solidFill>
              <w14:schemeClr w14:val="tx1"/>
            </w14:solidFill>
          </w14:textFill>
        </w:rPr>
        <w:t>附件1</w:t>
      </w:r>
    </w:p>
    <w:p>
      <w:pPr>
        <w:pStyle w:val="7"/>
        <w:keepNext w:val="0"/>
        <w:keepLines w:val="0"/>
        <w:pageBreakBefore w:val="0"/>
        <w:widowControl w:val="0"/>
        <w:kinsoku/>
        <w:wordWrap/>
        <w:overflowPunct/>
        <w:topLinePunct w:val="0"/>
        <w:autoSpaceDE/>
        <w:autoSpaceDN/>
        <w:bidi w:val="0"/>
        <w:adjustRightInd/>
        <w:snapToGrid/>
        <w:spacing w:line="660" w:lineRule="exact"/>
        <w:ind w:left="0" w:leftChars="0" w:firstLine="0" w:firstLineChars="0"/>
        <w:jc w:val="center"/>
        <w:textAlignment w:val="auto"/>
        <w:rPr>
          <w:rFonts w:hint="eastAsia" w:ascii="方正小标宋简体" w:hAnsi="方正小标宋简体" w:eastAsia="方正小标宋简体" w:cs="方正小标宋简体"/>
          <w:b/>
          <w:bCs/>
          <w:color w:val="000000" w:themeColor="text1"/>
          <w:kern w:val="2"/>
          <w:sz w:val="36"/>
          <w:szCs w:val="36"/>
          <w:lang w:val="en-US" w:eastAsia="zh-CN" w:bidi="ar-SA"/>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kern w:val="2"/>
          <w:sz w:val="36"/>
          <w:szCs w:val="36"/>
          <w:lang w:val="en-US" w:eastAsia="zh-CN" w:bidi="ar-SA"/>
          <w14:textFill>
            <w14:solidFill>
              <w14:schemeClr w14:val="tx1"/>
            </w14:solidFill>
          </w14:textFill>
        </w:rPr>
        <w:t>2024年度诸暨市部分预算单位预算额度分配表</w:t>
      </w:r>
    </w:p>
    <w:p>
      <w:pPr>
        <w:pStyle w:val="7"/>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仿宋_GB2312" w:cs="Times New Roman"/>
          <w:b w:val="0"/>
          <w:bCs w:val="0"/>
          <w:color w:val="000000" w:themeColor="text1"/>
          <w:kern w:val="2"/>
          <w:sz w:val="32"/>
          <w:szCs w:val="32"/>
          <w:lang w:val="en-US" w:eastAsia="zh-CN" w:bidi="ar-SA"/>
          <w14:textFill>
            <w14:solidFill>
              <w14:schemeClr w14:val="tx1"/>
            </w14:solidFill>
          </w14:textFill>
        </w:rPr>
      </w:pPr>
      <w:r>
        <w:rPr>
          <w:rFonts w:hint="default" w:ascii="Times New Roman" w:hAnsi="Times New Roman" w:eastAsia="仿宋_GB2312" w:cs="Times New Roman"/>
          <w:b/>
          <w:bCs/>
          <w:color w:val="000000" w:themeColor="text1"/>
          <w:kern w:val="2"/>
          <w:sz w:val="32"/>
          <w:szCs w:val="32"/>
          <w:lang w:val="en-US" w:eastAsia="zh-CN" w:bidi="ar-SA"/>
          <w14:textFill>
            <w14:solidFill>
              <w14:schemeClr w14:val="tx1"/>
            </w14:solidFill>
          </w14:textFill>
        </w:rPr>
        <w:t xml:space="preserve">                                 </w:t>
      </w:r>
      <w:r>
        <w:rPr>
          <w:rFonts w:hint="default" w:ascii="Times New Roman" w:hAnsi="Times New Roman" w:eastAsia="仿宋_GB2312" w:cs="Times New Roman"/>
          <w:b w:val="0"/>
          <w:bCs w:val="0"/>
          <w:color w:val="000000" w:themeColor="text1"/>
          <w:kern w:val="2"/>
          <w:sz w:val="32"/>
          <w:szCs w:val="32"/>
          <w:lang w:val="en-US" w:eastAsia="zh-CN" w:bidi="ar-SA"/>
          <w14:textFill>
            <w14:solidFill>
              <w14:schemeClr w14:val="tx1"/>
            </w14:solidFill>
          </w14:textFill>
        </w:rPr>
        <w:t xml:space="preserve"> </w:t>
      </w:r>
    </w:p>
    <w:p>
      <w:pPr>
        <w:pStyle w:val="7"/>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仿宋_GB2312" w:cs="Times New Roman"/>
          <w:b/>
          <w:bCs/>
          <w:color w:val="000000" w:themeColor="text1"/>
          <w:kern w:val="2"/>
          <w:sz w:val="32"/>
          <w:szCs w:val="32"/>
          <w:lang w:val="en-US" w:eastAsia="zh-CN" w:bidi="ar-SA"/>
          <w14:textFill>
            <w14:solidFill>
              <w14:schemeClr w14:val="tx1"/>
            </w14:solidFill>
          </w14:textFill>
        </w:rPr>
      </w:pPr>
      <w:r>
        <w:rPr>
          <w:rFonts w:hint="default" w:ascii="Times New Roman" w:hAnsi="Times New Roman" w:eastAsia="仿宋_GB2312" w:cs="Times New Roman"/>
          <w:b w:val="0"/>
          <w:bCs w:val="0"/>
          <w:color w:val="000000" w:themeColor="text1"/>
          <w:kern w:val="2"/>
          <w:sz w:val="32"/>
          <w:szCs w:val="32"/>
          <w:lang w:val="en-US" w:eastAsia="zh-CN" w:bidi="ar-SA"/>
          <w14:textFill>
            <w14:solidFill>
              <w14:schemeClr w14:val="tx1"/>
            </w14:solidFill>
          </w14:textFill>
        </w:rPr>
        <w:t xml:space="preserve">                                             </w:t>
      </w:r>
      <w:r>
        <w:rPr>
          <w:rFonts w:hint="default" w:ascii="Times New Roman" w:hAnsi="Times New Roman" w:eastAsia="仿宋_GB2312" w:cs="Times New Roman"/>
          <w:b w:val="0"/>
          <w:bCs w:val="0"/>
          <w:color w:val="000000" w:themeColor="text1"/>
          <w:kern w:val="2"/>
          <w:sz w:val="28"/>
          <w:szCs w:val="28"/>
          <w:lang w:val="en-US" w:eastAsia="zh-CN" w:bidi="ar-SA"/>
          <w14:textFill>
            <w14:solidFill>
              <w14:schemeClr w14:val="tx1"/>
            </w14:solidFill>
          </w14:textFill>
        </w:rPr>
        <w:t>单位：万元</w:t>
      </w:r>
    </w:p>
    <w:tbl>
      <w:tblPr>
        <w:tblStyle w:val="8"/>
        <w:tblpPr w:leftFromText="180" w:rightFromText="180" w:vertAnchor="text" w:horzAnchor="page" w:tblpX="1513" w:tblpY="22"/>
        <w:tblOverlap w:val="never"/>
        <w:tblW w:w="94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65"/>
        <w:gridCol w:w="1983"/>
        <w:gridCol w:w="1839"/>
        <w:gridCol w:w="1788"/>
        <w:gridCol w:w="29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28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default" w:ascii="Times New Roman" w:hAnsi="Times New Roman" w:eastAsia="仿宋_GB2312" w:cs="Times New Roman"/>
                <w:b w:val="0"/>
                <w:bCs w:val="0"/>
                <w:i w:val="0"/>
                <w:color w:val="000000" w:themeColor="text1"/>
                <w:kern w:val="0"/>
                <w:sz w:val="28"/>
                <w:szCs w:val="28"/>
                <w:u w:val="none"/>
                <w:lang w:val="en-US" w:eastAsia="zh-CN" w:bidi="ar"/>
                <w14:textFill>
                  <w14:solidFill>
                    <w14:schemeClr w14:val="tx1"/>
                  </w14:solidFill>
                </w14:textFill>
              </w:rPr>
            </w:pPr>
            <w:r>
              <w:rPr>
                <w:rFonts w:hint="default" w:ascii="Times New Roman" w:hAnsi="Times New Roman" w:eastAsia="仿宋_GB2312" w:cs="Times New Roman"/>
                <w:b w:val="0"/>
                <w:bCs w:val="0"/>
                <w:i w:val="0"/>
                <w:color w:val="000000" w:themeColor="text1"/>
                <w:kern w:val="0"/>
                <w:sz w:val="28"/>
                <w:szCs w:val="28"/>
                <w:u w:val="none"/>
                <w:lang w:val="en-US" w:eastAsia="zh-CN" w:bidi="ar"/>
                <w14:textFill>
                  <w14:solidFill>
                    <w14:schemeClr w14:val="tx1"/>
                  </w14:solidFill>
                </w14:textFill>
              </w:rPr>
              <w:t>预算单位</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default" w:ascii="Times New Roman" w:hAnsi="Times New Roman" w:eastAsia="仿宋_GB2312" w:cs="Times New Roman"/>
                <w:b w:val="0"/>
                <w:bCs w:val="0"/>
                <w:i w:val="0"/>
                <w:color w:val="000000" w:themeColor="text1"/>
                <w:kern w:val="0"/>
                <w:sz w:val="28"/>
                <w:szCs w:val="28"/>
                <w:u w:val="none"/>
                <w:lang w:val="en-US" w:eastAsia="zh-CN" w:bidi="ar"/>
                <w14:textFill>
                  <w14:solidFill>
                    <w14:schemeClr w14:val="tx1"/>
                  </w14:solidFill>
                </w14:textFill>
              </w:rPr>
            </w:pPr>
            <w:r>
              <w:rPr>
                <w:rFonts w:hint="default" w:ascii="Times New Roman" w:hAnsi="Times New Roman" w:eastAsia="仿宋_GB2312" w:cs="Times New Roman"/>
                <w:b w:val="0"/>
                <w:bCs w:val="0"/>
                <w:i w:val="0"/>
                <w:color w:val="000000" w:themeColor="text1"/>
                <w:kern w:val="0"/>
                <w:sz w:val="28"/>
                <w:szCs w:val="28"/>
                <w:u w:val="none"/>
                <w:lang w:val="en-US" w:eastAsia="zh-CN" w:bidi="ar"/>
                <w14:textFill>
                  <w14:solidFill>
                    <w14:schemeClr w14:val="tx1"/>
                  </w14:solidFill>
                </w14:textFill>
              </w:rPr>
              <w:t>职工</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default" w:ascii="Times New Roman" w:hAnsi="Times New Roman" w:eastAsia="仿宋_GB2312" w:cs="Times New Roman"/>
                <w:b w:val="0"/>
                <w:bCs w:val="0"/>
                <w:i w:val="0"/>
                <w:color w:val="000000" w:themeColor="text1"/>
                <w:kern w:val="0"/>
                <w:sz w:val="28"/>
                <w:szCs w:val="28"/>
                <w:u w:val="none"/>
                <w:lang w:val="en-US" w:eastAsia="zh-CN" w:bidi="ar"/>
                <w14:textFill>
                  <w14:solidFill>
                    <w14:schemeClr w14:val="tx1"/>
                  </w14:solidFill>
                </w14:textFill>
              </w:rPr>
            </w:pPr>
            <w:r>
              <w:rPr>
                <w:rFonts w:hint="default" w:ascii="Times New Roman" w:hAnsi="Times New Roman" w:eastAsia="仿宋_GB2312" w:cs="Times New Roman"/>
                <w:b w:val="0"/>
                <w:bCs w:val="0"/>
                <w:i w:val="0"/>
                <w:color w:val="000000" w:themeColor="text1"/>
                <w:kern w:val="0"/>
                <w:sz w:val="28"/>
                <w:szCs w:val="28"/>
                <w:u w:val="none"/>
                <w:lang w:val="en-US" w:eastAsia="zh-CN" w:bidi="ar"/>
                <w14:textFill>
                  <w14:solidFill>
                    <w14:schemeClr w14:val="tx1"/>
                  </w14:solidFill>
                </w14:textFill>
              </w:rPr>
              <w:t>居民</w:t>
            </w:r>
          </w:p>
        </w:tc>
        <w:tc>
          <w:tcPr>
            <w:tcW w:w="2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default" w:ascii="Times New Roman" w:hAnsi="Times New Roman" w:eastAsia="仿宋_GB2312" w:cs="Times New Roman"/>
                <w:b w:val="0"/>
                <w:bCs w:val="0"/>
                <w:i w:val="0"/>
                <w:color w:val="000000" w:themeColor="text1"/>
                <w:kern w:val="0"/>
                <w:sz w:val="28"/>
                <w:szCs w:val="28"/>
                <w:u w:val="none"/>
                <w:lang w:val="en-US" w:eastAsia="zh-CN" w:bidi="ar"/>
                <w14:textFill>
                  <w14:solidFill>
                    <w14:schemeClr w14:val="tx1"/>
                  </w14:solidFill>
                </w14:textFill>
              </w:rPr>
            </w:pPr>
            <w:r>
              <w:rPr>
                <w:rFonts w:hint="default" w:ascii="Times New Roman" w:hAnsi="Times New Roman" w:eastAsia="仿宋_GB2312" w:cs="Times New Roman"/>
                <w:b w:val="0"/>
                <w:bCs w:val="0"/>
                <w:i w:val="0"/>
                <w:color w:val="000000" w:themeColor="text1"/>
                <w:kern w:val="0"/>
                <w:sz w:val="28"/>
                <w:szCs w:val="28"/>
                <w:u w:val="none"/>
                <w:lang w:val="en-US" w:eastAsia="zh-CN" w:bidi="ar"/>
                <w14:textFill>
                  <w14:solidFill>
                    <w14:schemeClr w14:val="tx1"/>
                  </w14:solidFill>
                </w14:textFill>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86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default" w:ascii="Times New Roman" w:hAnsi="Times New Roman" w:eastAsia="仿宋_GB2312" w:cs="Times New Roman"/>
                <w:b w:val="0"/>
                <w:bCs w:val="0"/>
                <w:i w:val="0"/>
                <w:color w:val="000000" w:themeColor="text1"/>
                <w:kern w:val="0"/>
                <w:sz w:val="28"/>
                <w:szCs w:val="28"/>
                <w:u w:val="none"/>
                <w:lang w:val="en-US" w:eastAsia="zh-CN" w:bidi="ar"/>
                <w14:textFill>
                  <w14:solidFill>
                    <w14:schemeClr w14:val="tx1"/>
                  </w14:solidFill>
                </w14:textFill>
              </w:rPr>
            </w:pPr>
            <w:r>
              <w:rPr>
                <w:rFonts w:hint="default" w:ascii="Times New Roman" w:hAnsi="Times New Roman" w:eastAsia="仿宋_GB2312" w:cs="Times New Roman"/>
                <w:b w:val="0"/>
                <w:bCs w:val="0"/>
                <w:i w:val="0"/>
                <w:color w:val="000000" w:themeColor="text1"/>
                <w:kern w:val="0"/>
                <w:sz w:val="28"/>
                <w:szCs w:val="28"/>
                <w:u w:val="none"/>
                <w:lang w:val="en-US" w:eastAsia="zh-CN" w:bidi="ar"/>
                <w14:textFill>
                  <w14:solidFill>
                    <w14:schemeClr w14:val="tx1"/>
                  </w14:solidFill>
                </w14:textFill>
              </w:rPr>
              <w:t>医疗机构</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default" w:ascii="Times New Roman" w:hAnsi="Times New Roman" w:eastAsia="仿宋_GB2312" w:cs="Times New Roman"/>
                <w:b w:val="0"/>
                <w:bCs w:val="0"/>
                <w:i w:val="0"/>
                <w:color w:val="000000" w:themeColor="text1"/>
                <w:kern w:val="0"/>
                <w:sz w:val="28"/>
                <w:szCs w:val="28"/>
                <w:u w:val="none"/>
                <w:lang w:val="en-US" w:eastAsia="zh-CN" w:bidi="ar"/>
                <w14:textFill>
                  <w14:solidFill>
                    <w14:schemeClr w14:val="tx1"/>
                  </w14:solidFill>
                </w14:textFill>
              </w:rPr>
            </w:pPr>
            <w:r>
              <w:rPr>
                <w:rFonts w:hint="default" w:ascii="Times New Roman" w:hAnsi="Times New Roman" w:eastAsia="仿宋_GB2312" w:cs="Times New Roman"/>
                <w:b w:val="0"/>
                <w:bCs w:val="0"/>
                <w:i w:val="0"/>
                <w:color w:val="000000" w:themeColor="text1"/>
                <w:kern w:val="0"/>
                <w:sz w:val="28"/>
                <w:szCs w:val="28"/>
                <w:u w:val="none"/>
                <w:lang w:val="en-US" w:eastAsia="zh-CN" w:bidi="ar"/>
                <w14:textFill>
                  <w14:solidFill>
                    <w14:schemeClr w14:val="tx1"/>
                  </w14:solidFill>
                </w14:textFill>
              </w:rPr>
              <w:t>住院</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default" w:ascii="Times New Roman" w:hAnsi="Times New Roman" w:eastAsia="仿宋_GB2312" w:cs="Times New Roman"/>
                <w:b w:val="0"/>
                <w:bCs w:val="0"/>
                <w:i w:val="0"/>
                <w:color w:val="000000" w:themeColor="text1"/>
                <w:kern w:val="0"/>
                <w:sz w:val="28"/>
                <w:szCs w:val="28"/>
                <w:u w:val="none"/>
                <w:lang w:val="en-US" w:eastAsia="zh-CN" w:bidi="ar"/>
                <w14:textFill>
                  <w14:solidFill>
                    <w14:schemeClr w14:val="tx1"/>
                  </w14:solidFill>
                </w14:textFill>
              </w:rPr>
            </w:pPr>
            <w:r>
              <w:rPr>
                <w:rFonts w:hint="default" w:ascii="Times New Roman" w:hAnsi="Times New Roman" w:eastAsia="仿宋_GB2312" w:cs="Times New Roman"/>
                <w:b w:val="0"/>
                <w:bCs w:val="0"/>
                <w:i w:val="0"/>
                <w:color w:val="000000" w:themeColor="text1"/>
                <w:kern w:val="0"/>
                <w:sz w:val="28"/>
                <w:szCs w:val="28"/>
                <w:u w:val="none"/>
                <w:lang w:val="en-US" w:eastAsia="zh-CN" w:bidi="ar"/>
                <w14:textFill>
                  <w14:solidFill>
                    <w14:schemeClr w14:val="tx1"/>
                  </w14:solidFill>
                </w14:textFill>
              </w:rPr>
              <w:t>50493.34</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default" w:ascii="Times New Roman" w:hAnsi="Times New Roman" w:eastAsia="仿宋_GB2312" w:cs="Times New Roman"/>
                <w:b w:val="0"/>
                <w:bCs w:val="0"/>
                <w:i w:val="0"/>
                <w:color w:val="000000" w:themeColor="text1"/>
                <w:kern w:val="0"/>
                <w:sz w:val="28"/>
                <w:szCs w:val="28"/>
                <w:u w:val="none"/>
                <w:lang w:val="en-US" w:eastAsia="zh-CN" w:bidi="ar"/>
                <w14:textFill>
                  <w14:solidFill>
                    <w14:schemeClr w14:val="tx1"/>
                  </w14:solidFill>
                </w14:textFill>
              </w:rPr>
            </w:pPr>
            <w:r>
              <w:rPr>
                <w:rFonts w:hint="default" w:ascii="Times New Roman" w:hAnsi="Times New Roman" w:eastAsia="仿宋_GB2312" w:cs="Times New Roman"/>
                <w:b w:val="0"/>
                <w:bCs w:val="0"/>
                <w:i w:val="0"/>
                <w:color w:val="000000" w:themeColor="text1"/>
                <w:kern w:val="0"/>
                <w:sz w:val="28"/>
                <w:szCs w:val="28"/>
                <w:u w:val="none"/>
                <w:lang w:val="en-US" w:eastAsia="zh-CN" w:bidi="ar"/>
                <w14:textFill>
                  <w14:solidFill>
                    <w14:schemeClr w14:val="tx1"/>
                  </w14:solidFill>
                </w14:textFill>
              </w:rPr>
              <w:t>63273.41</w:t>
            </w:r>
          </w:p>
        </w:tc>
        <w:tc>
          <w:tcPr>
            <w:tcW w:w="2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default" w:ascii="Times New Roman" w:hAnsi="Times New Roman" w:eastAsia="仿宋_GB2312" w:cs="Times New Roman"/>
                <w:i w:val="0"/>
                <w:color w:val="000000" w:themeColor="text1"/>
                <w:kern w:val="0"/>
                <w:sz w:val="28"/>
                <w:szCs w:val="28"/>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865" w:type="dxa"/>
            <w:vMerge w:val="continue"/>
            <w:tcBorders>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default" w:ascii="Times New Roman" w:hAnsi="Times New Roman" w:eastAsia="仿宋_GB2312" w:cs="Times New Roman"/>
                <w:b w:val="0"/>
                <w:bCs w:val="0"/>
                <w:i w:val="0"/>
                <w:color w:val="000000" w:themeColor="text1"/>
                <w:kern w:val="0"/>
                <w:sz w:val="28"/>
                <w:szCs w:val="28"/>
                <w:u w:val="none"/>
                <w:lang w:val="en-US" w:eastAsia="zh-CN" w:bidi="ar"/>
                <w14:textFill>
                  <w14:solidFill>
                    <w14:schemeClr w14:val="tx1"/>
                  </w14:solidFill>
                </w14:textFill>
              </w:rPr>
            </w:pPr>
          </w:p>
        </w:tc>
        <w:tc>
          <w:tcPr>
            <w:tcW w:w="1983"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default" w:ascii="Times New Roman" w:hAnsi="Times New Roman" w:eastAsia="仿宋_GB2312" w:cs="Times New Roman"/>
                <w:b w:val="0"/>
                <w:bCs w:val="0"/>
                <w:i w:val="0"/>
                <w:color w:val="000000" w:themeColor="text1"/>
                <w:kern w:val="0"/>
                <w:sz w:val="28"/>
                <w:szCs w:val="28"/>
                <w:u w:val="none"/>
                <w:lang w:val="en-US" w:eastAsia="zh-CN" w:bidi="ar"/>
                <w14:textFill>
                  <w14:solidFill>
                    <w14:schemeClr w14:val="tx1"/>
                  </w14:solidFill>
                </w14:textFill>
              </w:rPr>
            </w:pPr>
            <w:r>
              <w:rPr>
                <w:rFonts w:hint="default" w:ascii="Times New Roman" w:hAnsi="Times New Roman" w:eastAsia="仿宋_GB2312" w:cs="Times New Roman"/>
                <w:b w:val="0"/>
                <w:bCs w:val="0"/>
                <w:i w:val="0"/>
                <w:color w:val="000000" w:themeColor="text1"/>
                <w:kern w:val="0"/>
                <w:sz w:val="28"/>
                <w:szCs w:val="28"/>
                <w:u w:val="none"/>
                <w:lang w:val="en-US" w:eastAsia="zh-CN" w:bidi="ar"/>
                <w14:textFill>
                  <w14:solidFill>
                    <w14:schemeClr w14:val="tx1"/>
                  </w14:solidFill>
                </w14:textFill>
              </w:rPr>
              <w:t>市内普通门诊</w:t>
            </w:r>
          </w:p>
        </w:tc>
        <w:tc>
          <w:tcPr>
            <w:tcW w:w="1839"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default" w:ascii="Times New Roman" w:hAnsi="Times New Roman" w:eastAsia="仿宋_GB2312" w:cs="Times New Roman"/>
                <w:b w:val="0"/>
                <w:bCs w:val="0"/>
                <w:i w:val="0"/>
                <w:color w:val="000000" w:themeColor="text1"/>
                <w:kern w:val="0"/>
                <w:sz w:val="28"/>
                <w:szCs w:val="28"/>
                <w:u w:val="none"/>
                <w:lang w:val="en-US" w:eastAsia="zh-CN" w:bidi="ar"/>
                <w14:textFill>
                  <w14:solidFill>
                    <w14:schemeClr w14:val="tx1"/>
                  </w14:solidFill>
                </w14:textFill>
              </w:rPr>
            </w:pPr>
            <w:r>
              <w:rPr>
                <w:rFonts w:hint="default" w:ascii="Times New Roman" w:hAnsi="Times New Roman" w:eastAsia="仿宋_GB2312" w:cs="Times New Roman"/>
                <w:b w:val="0"/>
                <w:bCs w:val="0"/>
                <w:i w:val="0"/>
                <w:color w:val="000000" w:themeColor="text1"/>
                <w:kern w:val="0"/>
                <w:sz w:val="28"/>
                <w:szCs w:val="28"/>
                <w:u w:val="none"/>
                <w:lang w:val="en-US" w:eastAsia="zh-CN" w:bidi="ar"/>
                <w14:textFill>
                  <w14:solidFill>
                    <w14:schemeClr w14:val="tx1"/>
                  </w14:solidFill>
                </w14:textFill>
              </w:rPr>
              <w:t>35817.82</w:t>
            </w:r>
          </w:p>
        </w:tc>
        <w:tc>
          <w:tcPr>
            <w:tcW w:w="1788"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default" w:ascii="Times New Roman" w:hAnsi="Times New Roman" w:eastAsia="仿宋_GB2312" w:cs="Times New Roman"/>
                <w:b w:val="0"/>
                <w:bCs w:val="0"/>
                <w:i w:val="0"/>
                <w:color w:val="000000" w:themeColor="text1"/>
                <w:kern w:val="0"/>
                <w:sz w:val="28"/>
                <w:szCs w:val="28"/>
                <w:u w:val="none"/>
                <w:lang w:val="en-US" w:eastAsia="zh-CN" w:bidi="ar"/>
                <w14:textFill>
                  <w14:solidFill>
                    <w14:schemeClr w14:val="tx1"/>
                  </w14:solidFill>
                </w14:textFill>
              </w:rPr>
            </w:pPr>
            <w:r>
              <w:rPr>
                <w:rFonts w:hint="default" w:ascii="Times New Roman" w:hAnsi="Times New Roman" w:eastAsia="仿宋_GB2312" w:cs="Times New Roman"/>
                <w:b w:val="0"/>
                <w:bCs w:val="0"/>
                <w:i w:val="0"/>
                <w:color w:val="000000" w:themeColor="text1"/>
                <w:kern w:val="0"/>
                <w:sz w:val="28"/>
                <w:szCs w:val="28"/>
                <w:u w:val="none"/>
                <w:lang w:val="en-US" w:eastAsia="zh-CN" w:bidi="ar"/>
                <w14:textFill>
                  <w14:solidFill>
                    <w14:schemeClr w14:val="tx1"/>
                  </w14:solidFill>
                </w14:textFill>
              </w:rPr>
              <w:t>14717.88</w:t>
            </w:r>
          </w:p>
        </w:tc>
        <w:tc>
          <w:tcPr>
            <w:tcW w:w="292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default" w:ascii="Times New Roman" w:hAnsi="Times New Roman" w:eastAsia="仿宋_GB2312" w:cs="Times New Roman"/>
                <w:i w:val="0"/>
                <w:color w:val="000000" w:themeColor="text1"/>
                <w:kern w:val="0"/>
                <w:sz w:val="28"/>
                <w:szCs w:val="28"/>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86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default" w:ascii="Times New Roman" w:hAnsi="Times New Roman" w:eastAsia="仿宋_GB2312" w:cs="Times New Roman"/>
                <w:b w:val="0"/>
                <w:bCs w:val="0"/>
                <w:i w:val="0"/>
                <w:color w:val="000000" w:themeColor="text1"/>
                <w:kern w:val="0"/>
                <w:sz w:val="28"/>
                <w:szCs w:val="28"/>
                <w:u w:val="none"/>
                <w:lang w:val="en-US" w:eastAsia="zh-CN" w:bidi="ar"/>
                <w14:textFill>
                  <w14:solidFill>
                    <w14:schemeClr w14:val="tx1"/>
                  </w14:solidFill>
                </w14:textFill>
              </w:rPr>
            </w:pPr>
            <w:r>
              <w:rPr>
                <w:rFonts w:hint="default" w:ascii="Times New Roman" w:hAnsi="Times New Roman" w:eastAsia="仿宋_GB2312" w:cs="Times New Roman"/>
                <w:b w:val="0"/>
                <w:bCs w:val="0"/>
                <w:i w:val="0"/>
                <w:color w:val="000000" w:themeColor="text1"/>
                <w:kern w:val="0"/>
                <w:sz w:val="28"/>
                <w:szCs w:val="28"/>
                <w:u w:val="none"/>
                <w:lang w:val="en-US" w:eastAsia="zh-CN" w:bidi="ar"/>
                <w14:textFill>
                  <w14:solidFill>
                    <w14:schemeClr w14:val="tx1"/>
                  </w14:solidFill>
                </w14:textFill>
              </w:rPr>
              <w:t>零售药店</w:t>
            </w:r>
          </w:p>
        </w:tc>
        <w:tc>
          <w:tcPr>
            <w:tcW w:w="19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default" w:ascii="Times New Roman" w:hAnsi="Times New Roman" w:eastAsia="仿宋_GB2312" w:cs="Times New Roman"/>
                <w:b w:val="0"/>
                <w:bCs w:val="0"/>
                <w:i w:val="0"/>
                <w:color w:val="000000" w:themeColor="text1"/>
                <w:kern w:val="0"/>
                <w:sz w:val="28"/>
                <w:szCs w:val="28"/>
                <w:u w:val="none"/>
                <w:lang w:val="en-US" w:eastAsia="zh-CN" w:bidi="ar"/>
                <w14:textFill>
                  <w14:solidFill>
                    <w14:schemeClr w14:val="tx1"/>
                  </w14:solidFill>
                </w14:textFill>
              </w:rPr>
            </w:pPr>
            <w:r>
              <w:rPr>
                <w:rFonts w:hint="default" w:ascii="Times New Roman" w:hAnsi="Times New Roman" w:eastAsia="仿宋_GB2312" w:cs="Times New Roman"/>
                <w:b w:val="0"/>
                <w:bCs w:val="0"/>
                <w:i w:val="0"/>
                <w:color w:val="000000" w:themeColor="text1"/>
                <w:kern w:val="0"/>
                <w:sz w:val="28"/>
                <w:szCs w:val="28"/>
                <w:u w:val="none"/>
                <w:lang w:val="en-US" w:eastAsia="zh-CN" w:bidi="ar"/>
                <w14:textFill>
                  <w14:solidFill>
                    <w14:schemeClr w14:val="tx1"/>
                  </w14:solidFill>
                </w14:textFill>
              </w:rPr>
              <w:t>原定点药店</w:t>
            </w: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default" w:ascii="Times New Roman" w:hAnsi="Times New Roman" w:eastAsia="仿宋_GB2312" w:cs="Times New Roman"/>
                <w:i w:val="0"/>
                <w:color w:val="000000" w:themeColor="text1"/>
                <w:kern w:val="0"/>
                <w:sz w:val="28"/>
                <w:szCs w:val="28"/>
                <w:u w:val="none"/>
                <w:lang w:val="en-US" w:eastAsia="zh-CN" w:bidi="ar"/>
                <w14:textFill>
                  <w14:solidFill>
                    <w14:schemeClr w14:val="tx1"/>
                  </w14:solidFill>
                </w14:textFill>
              </w:rPr>
            </w:pPr>
            <w:r>
              <w:rPr>
                <w:rFonts w:hint="default" w:ascii="Times New Roman" w:hAnsi="Times New Roman" w:eastAsia="仿宋_GB2312" w:cs="Times New Roman"/>
                <w:b w:val="0"/>
                <w:bCs w:val="0"/>
                <w:color w:val="000000" w:themeColor="text1"/>
                <w:kern w:val="0"/>
                <w:sz w:val="28"/>
                <w:szCs w:val="28"/>
                <w:highlight w:val="none"/>
                <w:lang w:val="en-US" w:eastAsia="zh-CN" w:bidi="ar-SA"/>
                <w14:textFill>
                  <w14:solidFill>
                    <w14:schemeClr w14:val="tx1"/>
                  </w14:solidFill>
                </w14:textFill>
              </w:rPr>
              <w:t>10361</w:t>
            </w:r>
          </w:p>
        </w:tc>
        <w:tc>
          <w:tcPr>
            <w:tcW w:w="178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default" w:ascii="Times New Roman" w:hAnsi="Times New Roman" w:eastAsia="仿宋_GB2312" w:cs="Times New Roman"/>
                <w:i w:val="0"/>
                <w:color w:val="000000" w:themeColor="text1"/>
                <w:kern w:val="0"/>
                <w:sz w:val="28"/>
                <w:szCs w:val="28"/>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8"/>
                <w:szCs w:val="28"/>
                <w:u w:val="none"/>
                <w:lang w:val="en-US" w:eastAsia="zh-CN" w:bidi="ar"/>
                <w14:textFill>
                  <w14:solidFill>
                    <w14:schemeClr w14:val="tx1"/>
                  </w14:solidFill>
                </w14:textFill>
              </w:rPr>
              <w:t>2</w:t>
            </w:r>
          </w:p>
        </w:tc>
        <w:tc>
          <w:tcPr>
            <w:tcW w:w="292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top"/>
              <w:rPr>
                <w:rFonts w:hint="default" w:ascii="Times New Roman" w:hAnsi="Times New Roman" w:eastAsia="仿宋_GB2312" w:cs="Times New Roman"/>
                <w:i w:val="0"/>
                <w:color w:val="000000" w:themeColor="text1"/>
                <w:kern w:val="0"/>
                <w:sz w:val="28"/>
                <w:szCs w:val="28"/>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4"/>
                <w:szCs w:val="24"/>
                <w:u w:val="none"/>
                <w:lang w:val="en-US" w:eastAsia="zh-CN" w:bidi="ar"/>
                <w14:textFill>
                  <w14:solidFill>
                    <w14:schemeClr w14:val="tx1"/>
                  </w14:solidFill>
                </w14:textFill>
              </w:rPr>
              <w:t>市内药店普通门诊刷卡结算基金支出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86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default" w:ascii="Times New Roman" w:hAnsi="Times New Roman" w:eastAsia="仿宋_GB2312" w:cs="Times New Roman"/>
                <w:b w:val="0"/>
                <w:bCs w:val="0"/>
                <w:i w:val="0"/>
                <w:color w:val="000000" w:themeColor="text1"/>
                <w:kern w:val="0"/>
                <w:sz w:val="28"/>
                <w:szCs w:val="28"/>
                <w:u w:val="none"/>
                <w:lang w:val="en-US" w:eastAsia="zh-CN" w:bidi="ar"/>
                <w14:textFill>
                  <w14:solidFill>
                    <w14:schemeClr w14:val="tx1"/>
                  </w14:solidFill>
                </w14:textFill>
              </w:rPr>
            </w:pPr>
          </w:p>
        </w:tc>
        <w:tc>
          <w:tcPr>
            <w:tcW w:w="19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default" w:ascii="Times New Roman" w:hAnsi="Times New Roman" w:eastAsia="仿宋_GB2312" w:cs="Times New Roman"/>
                <w:b w:val="0"/>
                <w:bCs w:val="0"/>
                <w:i w:val="0"/>
                <w:color w:val="000000" w:themeColor="text1"/>
                <w:kern w:val="0"/>
                <w:sz w:val="28"/>
                <w:szCs w:val="28"/>
                <w:u w:val="none"/>
                <w:lang w:val="en-US" w:eastAsia="zh-CN" w:bidi="ar"/>
                <w14:textFill>
                  <w14:solidFill>
                    <w14:schemeClr w14:val="tx1"/>
                  </w14:solidFill>
                </w14:textFill>
              </w:rPr>
            </w:pPr>
            <w:r>
              <w:rPr>
                <w:rFonts w:hint="default" w:ascii="Times New Roman" w:hAnsi="Times New Roman" w:eastAsia="仿宋_GB2312" w:cs="Times New Roman"/>
                <w:b w:val="0"/>
                <w:bCs w:val="0"/>
                <w:i w:val="0"/>
                <w:color w:val="000000" w:themeColor="text1"/>
                <w:kern w:val="0"/>
                <w:sz w:val="28"/>
                <w:szCs w:val="28"/>
                <w:u w:val="none"/>
                <w:lang w:val="en-US" w:eastAsia="zh-CN" w:bidi="ar"/>
                <w14:textFill>
                  <w14:solidFill>
                    <w14:schemeClr w14:val="tx1"/>
                  </w14:solidFill>
                </w14:textFill>
              </w:rPr>
              <w:t>新定点药店</w:t>
            </w: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default" w:ascii="Times New Roman" w:hAnsi="Times New Roman" w:eastAsia="仿宋_GB2312" w:cs="Times New Roman"/>
                <w:i w:val="0"/>
                <w:color w:val="000000" w:themeColor="text1"/>
                <w:kern w:val="0"/>
                <w:sz w:val="28"/>
                <w:szCs w:val="28"/>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8"/>
                <w:szCs w:val="28"/>
                <w:u w:val="none"/>
                <w:lang w:val="en-US" w:eastAsia="zh-CN" w:bidi="ar"/>
                <w14:textFill>
                  <w14:solidFill>
                    <w14:schemeClr w14:val="tx1"/>
                  </w14:solidFill>
                </w14:textFill>
              </w:rPr>
              <w:t>1116</w:t>
            </w:r>
          </w:p>
        </w:tc>
        <w:tc>
          <w:tcPr>
            <w:tcW w:w="17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default" w:ascii="Times New Roman" w:hAnsi="Times New Roman" w:eastAsia="仿宋_GB2312" w:cs="Times New Roman"/>
                <w:i w:val="0"/>
                <w:color w:val="000000" w:themeColor="text1"/>
                <w:kern w:val="0"/>
                <w:sz w:val="28"/>
                <w:szCs w:val="28"/>
                <w:u w:val="none"/>
                <w:lang w:val="en-US" w:eastAsia="zh-CN" w:bidi="ar"/>
                <w14:textFill>
                  <w14:solidFill>
                    <w14:schemeClr w14:val="tx1"/>
                  </w14:solidFill>
                </w14:textFill>
              </w:rPr>
            </w:pPr>
          </w:p>
        </w:tc>
        <w:tc>
          <w:tcPr>
            <w:tcW w:w="29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top"/>
              <w:rPr>
                <w:rFonts w:hint="default" w:ascii="Times New Roman" w:hAnsi="Times New Roman" w:eastAsia="仿宋_GB2312" w:cs="Times New Roman"/>
                <w:i w:val="0"/>
                <w:color w:val="000000" w:themeColor="text1"/>
                <w:kern w:val="0"/>
                <w:sz w:val="28"/>
                <w:szCs w:val="28"/>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284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default" w:ascii="Times New Roman" w:hAnsi="Times New Roman" w:eastAsia="仿宋_GB2312" w:cs="Times New Roman"/>
                <w:b w:val="0"/>
                <w:bCs w:val="0"/>
                <w:i w:val="0"/>
                <w:color w:val="000000" w:themeColor="text1"/>
                <w:kern w:val="0"/>
                <w:sz w:val="28"/>
                <w:szCs w:val="28"/>
                <w:u w:val="none"/>
                <w:lang w:val="en-US" w:eastAsia="zh-CN" w:bidi="ar"/>
                <w14:textFill>
                  <w14:solidFill>
                    <w14:schemeClr w14:val="tx1"/>
                  </w14:solidFill>
                </w14:textFill>
              </w:rPr>
            </w:pPr>
            <w:r>
              <w:rPr>
                <w:rFonts w:hint="default" w:ascii="Times New Roman" w:hAnsi="Times New Roman" w:eastAsia="仿宋_GB2312" w:cs="Times New Roman"/>
                <w:b w:val="0"/>
                <w:bCs w:val="0"/>
                <w:i w:val="0"/>
                <w:color w:val="000000" w:themeColor="text1"/>
                <w:kern w:val="0"/>
                <w:sz w:val="28"/>
                <w:szCs w:val="28"/>
                <w:u w:val="none"/>
                <w:lang w:val="en-US" w:eastAsia="zh-CN" w:bidi="ar"/>
                <w14:textFill>
                  <w14:solidFill>
                    <w14:schemeClr w14:val="tx1"/>
                  </w14:solidFill>
                </w14:textFill>
              </w:rPr>
              <w:t>合计</w:t>
            </w: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default" w:ascii="Times New Roman" w:hAnsi="Times New Roman" w:eastAsia="仿宋_GB2312" w:cs="Times New Roman"/>
                <w:i w:val="0"/>
                <w:color w:val="000000" w:themeColor="text1"/>
                <w:kern w:val="0"/>
                <w:sz w:val="28"/>
                <w:szCs w:val="28"/>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8"/>
                <w:szCs w:val="28"/>
                <w:u w:val="none"/>
                <w:lang w:val="en-US" w:eastAsia="zh-CN" w:bidi="ar"/>
                <w14:textFill>
                  <w14:solidFill>
                    <w14:schemeClr w14:val="tx1"/>
                  </w14:solidFill>
                </w14:textFill>
              </w:rPr>
              <w:t>97788.16</w:t>
            </w:r>
          </w:p>
        </w:tc>
        <w:tc>
          <w:tcPr>
            <w:tcW w:w="17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default" w:ascii="Times New Roman" w:hAnsi="Times New Roman" w:eastAsia="仿宋_GB2312" w:cs="Times New Roman"/>
                <w:i w:val="0"/>
                <w:color w:val="000000" w:themeColor="text1"/>
                <w:kern w:val="0"/>
                <w:sz w:val="28"/>
                <w:szCs w:val="28"/>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8"/>
                <w:szCs w:val="28"/>
                <w:u w:val="none"/>
                <w:lang w:val="en-US" w:eastAsia="zh-CN" w:bidi="ar"/>
                <w14:textFill>
                  <w14:solidFill>
                    <w14:schemeClr w14:val="tx1"/>
                  </w14:solidFill>
                </w14:textFill>
              </w:rPr>
              <w:t>77993.29</w:t>
            </w:r>
          </w:p>
        </w:tc>
        <w:tc>
          <w:tcPr>
            <w:tcW w:w="29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default" w:ascii="Times New Roman" w:hAnsi="Times New Roman" w:eastAsia="仿宋_GB2312" w:cs="Times New Roman"/>
                <w:i w:val="0"/>
                <w:color w:val="000000" w:themeColor="text1"/>
                <w:kern w:val="0"/>
                <w:sz w:val="28"/>
                <w:szCs w:val="28"/>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9400" w:type="dxa"/>
            <w:gridSpan w:val="5"/>
            <w:tcBorders>
              <w:top w:val="single" w:color="auto" w:sz="4" w:space="0"/>
              <w:left w:val="nil"/>
              <w:bottom w:val="nil"/>
              <w:right w:val="nil"/>
            </w:tcBorders>
            <w:shd w:val="clear" w:color="auto" w:fill="auto"/>
            <w:vAlign w:val="center"/>
          </w:tcPr>
          <w:p>
            <w:pPr>
              <w:keepNext w:val="0"/>
              <w:keepLines w:val="0"/>
              <w:widowControl/>
              <w:suppressLineNumbers w:val="0"/>
              <w:jc w:val="left"/>
              <w:rPr>
                <w:rFonts w:hint="default" w:ascii="Times New Roman" w:hAnsi="Times New Roman" w:eastAsia="仿宋_GB2312" w:cs="Times New Roman"/>
                <w:i w:val="0"/>
                <w:color w:val="000000" w:themeColor="text1"/>
                <w:kern w:val="0"/>
                <w:sz w:val="28"/>
                <w:szCs w:val="28"/>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4"/>
                <w:szCs w:val="24"/>
                <w:u w:val="none"/>
                <w:lang w:val="en-US" w:eastAsia="zh-CN" w:bidi="ar"/>
                <w14:textFill>
                  <w14:solidFill>
                    <w14:schemeClr w14:val="tx1"/>
                  </w14:solidFill>
                </w14:textFill>
              </w:rPr>
              <w:t>备注：医疗机构住院、医疗机构市内普通门诊预算指标暂</w:t>
            </w:r>
            <w:r>
              <w:rPr>
                <w:rFonts w:hint="default" w:ascii="Times New Roman" w:hAnsi="Times New Roman" w:eastAsia="仿宋_GB2312" w:cs="Times New Roman"/>
                <w:color w:val="000000" w:themeColor="text1"/>
                <w:kern w:val="0"/>
                <w:sz w:val="24"/>
                <w:szCs w:val="24"/>
                <w:highlight w:val="none"/>
                <w:lang w:val="en-US" w:eastAsia="zh-CN" w:bidi="ar-SA"/>
                <w14:textFill>
                  <w14:solidFill>
                    <w14:schemeClr w14:val="tx1"/>
                  </w14:solidFill>
                </w14:textFill>
              </w:rPr>
              <w:t>参照《2023年度诸暨市基本医疗保险基金总额预算管理办法》下达指标额度确定，市内零售药店普通门诊预算指标暂按2023年决算额确定。绍兴市下达2024年度总额预算指标后，根据下达指标对各预算单位指标进行调整。</w:t>
            </w:r>
          </w:p>
        </w:tc>
      </w:tr>
    </w:tbl>
    <w:p>
      <w:pPr>
        <w:keepNext w:val="0"/>
        <w:keepLines w:val="0"/>
        <w:widowControl/>
        <w:suppressLineNumbers w:val="0"/>
        <w:jc w:val="both"/>
        <w:textAlignment w:val="top"/>
        <w:rPr>
          <w:rFonts w:hint="default" w:ascii="Times New Roman" w:hAnsi="Times New Roman" w:eastAsia="仿宋" w:cs="Times New Roman"/>
          <w:i w:val="0"/>
          <w:color w:val="000000" w:themeColor="text1"/>
          <w:kern w:val="0"/>
          <w:sz w:val="28"/>
          <w:szCs w:val="28"/>
          <w:u w:val="none"/>
          <w:lang w:val="en-US" w:eastAsia="zh-CN" w:bidi="ar"/>
          <w14:textFill>
            <w14:solidFill>
              <w14:schemeClr w14:val="tx1"/>
            </w14:solidFill>
          </w14:textFill>
        </w:rPr>
      </w:pPr>
    </w:p>
    <w:p>
      <w:pPr>
        <w:jc w:val="both"/>
        <w:rPr>
          <w:rFonts w:hint="default" w:ascii="Times New Roman" w:hAnsi="Times New Roman" w:eastAsia="仿宋" w:cs="Times New Roman"/>
          <w:b w:val="0"/>
          <w:bCs w:val="0"/>
          <w:color w:val="000000" w:themeColor="text1"/>
          <w:sz w:val="32"/>
          <w:szCs w:val="32"/>
          <w:lang w:val="en-US" w:eastAsia="zh-CN"/>
          <w14:textFill>
            <w14:solidFill>
              <w14:schemeClr w14:val="tx1"/>
            </w14:solidFill>
          </w14:textFill>
        </w:rPr>
      </w:pPr>
    </w:p>
    <w:p>
      <w:pPr>
        <w:jc w:val="both"/>
        <w:rPr>
          <w:rFonts w:hint="default" w:ascii="Times New Roman" w:hAnsi="Times New Roman" w:eastAsia="仿宋" w:cs="Times New Roman"/>
          <w:b w:val="0"/>
          <w:bCs w:val="0"/>
          <w:color w:val="000000" w:themeColor="text1"/>
          <w:sz w:val="32"/>
          <w:szCs w:val="32"/>
          <w:lang w:val="en-US" w:eastAsia="zh-CN"/>
          <w14:textFill>
            <w14:solidFill>
              <w14:schemeClr w14:val="tx1"/>
            </w14:solidFill>
          </w14:textFill>
        </w:rPr>
      </w:pPr>
    </w:p>
    <w:p>
      <w:pPr>
        <w:jc w:val="both"/>
        <w:rPr>
          <w:rFonts w:hint="default" w:ascii="Times New Roman" w:hAnsi="Times New Roman" w:eastAsia="仿宋" w:cs="Times New Roman"/>
          <w:b w:val="0"/>
          <w:bCs w:val="0"/>
          <w:color w:val="000000" w:themeColor="text1"/>
          <w:sz w:val="32"/>
          <w:szCs w:val="32"/>
          <w:lang w:val="en-US" w:eastAsia="zh-CN"/>
          <w14:textFill>
            <w14:solidFill>
              <w14:schemeClr w14:val="tx1"/>
            </w14:solidFill>
          </w14:textFill>
        </w:rPr>
      </w:pPr>
    </w:p>
    <w:p>
      <w:pPr>
        <w:jc w:val="both"/>
        <w:rPr>
          <w:rFonts w:hint="default" w:ascii="Times New Roman" w:hAnsi="Times New Roman" w:eastAsia="仿宋" w:cs="Times New Roman"/>
          <w:b w:val="0"/>
          <w:bCs w:val="0"/>
          <w:color w:val="000000" w:themeColor="text1"/>
          <w:sz w:val="32"/>
          <w:szCs w:val="32"/>
          <w:lang w:val="en-US" w:eastAsia="zh-CN"/>
          <w14:textFill>
            <w14:solidFill>
              <w14:schemeClr w14:val="tx1"/>
            </w14:solidFill>
          </w14:textFill>
        </w:rPr>
      </w:pPr>
    </w:p>
    <w:p>
      <w:pPr>
        <w:jc w:val="both"/>
        <w:rPr>
          <w:rFonts w:hint="default" w:ascii="Times New Roman" w:hAnsi="Times New Roman" w:eastAsia="仿宋" w:cs="Times New Roman"/>
          <w:b w:val="0"/>
          <w:bCs w:val="0"/>
          <w:color w:val="000000" w:themeColor="text1"/>
          <w:sz w:val="32"/>
          <w:szCs w:val="32"/>
          <w:lang w:val="en-US" w:eastAsia="zh-CN"/>
          <w14:textFill>
            <w14:solidFill>
              <w14:schemeClr w14:val="tx1"/>
            </w14:solidFill>
          </w14:textFill>
        </w:rPr>
      </w:pPr>
    </w:p>
    <w:p>
      <w:pPr>
        <w:jc w:val="both"/>
        <w:rPr>
          <w:rFonts w:hint="default" w:ascii="Times New Roman" w:hAnsi="Times New Roman" w:eastAsia="仿宋" w:cs="Times New Roman"/>
          <w:b w:val="0"/>
          <w:bCs w:val="0"/>
          <w:color w:val="000000" w:themeColor="text1"/>
          <w:sz w:val="32"/>
          <w:szCs w:val="32"/>
          <w:lang w:val="en-US" w:eastAsia="zh-CN"/>
          <w14:textFill>
            <w14:solidFill>
              <w14:schemeClr w14:val="tx1"/>
            </w14:solidFill>
          </w14:textFill>
        </w:rPr>
      </w:pPr>
    </w:p>
    <w:p>
      <w:pPr>
        <w:jc w:val="both"/>
        <w:rPr>
          <w:rFonts w:hint="default" w:ascii="Times New Roman" w:hAnsi="Times New Roman" w:eastAsia="仿宋" w:cs="Times New Roman"/>
          <w:b w:val="0"/>
          <w:bCs w:val="0"/>
          <w:color w:val="000000" w:themeColor="text1"/>
          <w:sz w:val="32"/>
          <w:szCs w:val="32"/>
          <w:lang w:val="en-US" w:eastAsia="zh-CN"/>
          <w14:textFill>
            <w14:solidFill>
              <w14:schemeClr w14:val="tx1"/>
            </w14:solidFill>
          </w14:textFill>
        </w:rPr>
      </w:pPr>
    </w:p>
    <w:p>
      <w:pPr>
        <w:jc w:val="both"/>
        <w:rPr>
          <w:rFonts w:hint="default" w:ascii="Times New Roman" w:hAnsi="Times New Roman" w:eastAsia="仿宋" w:cs="Times New Roman"/>
          <w:b w:val="0"/>
          <w:bCs w:val="0"/>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520" w:lineRule="exact"/>
        <w:jc w:val="both"/>
        <w:textAlignment w:val="auto"/>
        <w:outlineLvl w:val="9"/>
        <w:rPr>
          <w:rFonts w:hint="eastAsia" w:ascii="黑体" w:hAnsi="黑体" w:eastAsia="黑体" w:cs="黑体"/>
          <w:color w:val="000000" w:themeColor="text1"/>
          <w:kern w:val="0"/>
          <w:sz w:val="32"/>
          <w:szCs w:val="32"/>
          <w:lang w:val="en-US" w:eastAsia="zh-CN" w:bidi="ar-SA"/>
          <w14:textFill>
            <w14:solidFill>
              <w14:schemeClr w14:val="tx1"/>
            </w14:solidFill>
          </w14:textFill>
        </w:rPr>
      </w:pPr>
    </w:p>
    <w:p>
      <w:pPr>
        <w:rPr>
          <w:rFonts w:hint="eastAsia" w:ascii="黑体" w:hAnsi="黑体" w:eastAsia="黑体" w:cs="黑体"/>
          <w:color w:val="000000" w:themeColor="text1"/>
          <w:kern w:val="0"/>
          <w:sz w:val="32"/>
          <w:szCs w:val="32"/>
          <w:lang w:val="en-US" w:eastAsia="zh-CN" w:bidi="ar-SA"/>
          <w14:textFill>
            <w14:solidFill>
              <w14:schemeClr w14:val="tx1"/>
            </w14:solidFill>
          </w14:textFill>
        </w:rPr>
      </w:pPr>
      <w:r>
        <w:rPr>
          <w:rFonts w:hint="eastAsia" w:ascii="黑体" w:hAnsi="黑体" w:eastAsia="黑体" w:cs="黑体"/>
          <w:color w:val="000000" w:themeColor="text1"/>
          <w:kern w:val="0"/>
          <w:sz w:val="32"/>
          <w:szCs w:val="32"/>
          <w:lang w:val="en-US" w:eastAsia="zh-CN" w:bidi="ar-SA"/>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val="0"/>
        <w:spacing w:line="520" w:lineRule="exact"/>
        <w:jc w:val="both"/>
        <w:textAlignment w:val="auto"/>
        <w:outlineLvl w:val="9"/>
        <w:rPr>
          <w:rFonts w:hint="eastAsia" w:ascii="黑体" w:hAnsi="黑体" w:eastAsia="黑体" w:cs="黑体"/>
          <w:color w:val="000000" w:themeColor="text1"/>
          <w:kern w:val="0"/>
          <w:sz w:val="32"/>
          <w:szCs w:val="32"/>
          <w:lang w:val="en-US" w:eastAsia="zh-CN" w:bidi="ar-SA"/>
          <w14:textFill>
            <w14:solidFill>
              <w14:schemeClr w14:val="tx1"/>
            </w14:solidFill>
          </w14:textFill>
        </w:rPr>
      </w:pPr>
      <w:r>
        <w:rPr>
          <w:rFonts w:hint="eastAsia" w:ascii="黑体" w:hAnsi="黑体" w:eastAsia="黑体" w:cs="黑体"/>
          <w:color w:val="000000" w:themeColor="text1"/>
          <w:kern w:val="0"/>
          <w:sz w:val="32"/>
          <w:szCs w:val="32"/>
          <w:lang w:val="en-US" w:eastAsia="zh-CN" w:bidi="ar-SA"/>
          <w14:textFill>
            <w14:solidFill>
              <w14:schemeClr w14:val="tx1"/>
            </w14:solidFill>
          </w14:textFill>
        </w:rPr>
        <w:t>附件2</w:t>
      </w:r>
    </w:p>
    <w:p>
      <w:pPr>
        <w:pStyle w:val="7"/>
        <w:keepNext w:val="0"/>
        <w:keepLines w:val="0"/>
        <w:pageBreakBefore w:val="0"/>
        <w:widowControl w:val="0"/>
        <w:kinsoku/>
        <w:wordWrap/>
        <w:overflowPunct/>
        <w:topLinePunct w:val="0"/>
        <w:autoSpaceDE/>
        <w:autoSpaceDN/>
        <w:bidi w:val="0"/>
        <w:adjustRightInd/>
        <w:snapToGrid/>
        <w:spacing w:line="660" w:lineRule="exact"/>
        <w:ind w:left="0" w:leftChars="0" w:firstLine="320" w:firstLineChars="100"/>
        <w:jc w:val="both"/>
        <w:textAlignment w:val="auto"/>
        <w:rPr>
          <w:rFonts w:hint="eastAsia" w:ascii="方正小标宋简体" w:hAnsi="方正小标宋简体" w:eastAsia="方正小标宋简体" w:cs="方正小标宋简体"/>
          <w:b w:val="0"/>
          <w:bCs w:val="0"/>
          <w:color w:val="000000" w:themeColor="text1"/>
          <w:kern w:val="0"/>
          <w:sz w:val="32"/>
          <w:szCs w:val="32"/>
          <w:lang w:val="en-US" w:eastAsia="zh-CN" w:bidi="ar-SA"/>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kern w:val="2"/>
          <w:sz w:val="32"/>
          <w:szCs w:val="32"/>
          <w:lang w:val="en-US" w:eastAsia="zh-CN" w:bidi="ar-SA"/>
          <w14:textFill>
            <w14:solidFill>
              <w14:schemeClr w14:val="tx1"/>
            </w14:solidFill>
          </w14:textFill>
        </w:rPr>
        <w:t>2024年度诸暨市市内定点医疗机构普通门诊预算额度分配表</w:t>
      </w:r>
    </w:p>
    <w:p>
      <w:pPr>
        <w:keepNext w:val="0"/>
        <w:keepLines w:val="0"/>
        <w:widowControl/>
        <w:suppressLineNumbers w:val="0"/>
        <w:jc w:val="center"/>
        <w:textAlignment w:val="center"/>
        <w:rPr>
          <w:rFonts w:hint="default" w:ascii="Times New Roman" w:hAnsi="Times New Roman" w:eastAsia="仿宋" w:cs="Times New Roman"/>
          <w:b w:val="0"/>
          <w:bCs w:val="0"/>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 w:cs="Times New Roman"/>
          <w:b w:val="0"/>
          <w:bCs w:val="0"/>
          <w:color w:val="000000" w:themeColor="text1"/>
          <w:kern w:val="2"/>
          <w:sz w:val="24"/>
          <w:szCs w:val="24"/>
          <w:lang w:val="en-US" w:eastAsia="zh-CN" w:bidi="ar-SA"/>
          <w14:textFill>
            <w14:solidFill>
              <w14:schemeClr w14:val="tx1"/>
            </w14:solidFill>
          </w14:textFill>
        </w:rPr>
        <w:t xml:space="preserve">                                                   </w:t>
      </w:r>
    </w:p>
    <w:p>
      <w:pPr>
        <w:pStyle w:val="7"/>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仿宋_GB2312" w:cs="Times New Roman"/>
          <w:b w:val="0"/>
          <w:bCs w:val="0"/>
          <w:color w:val="000000" w:themeColor="text1"/>
          <w:kern w:val="2"/>
          <w:sz w:val="28"/>
          <w:szCs w:val="28"/>
          <w:lang w:val="en-US" w:eastAsia="zh-CN" w:bidi="ar-SA"/>
          <w14:textFill>
            <w14:solidFill>
              <w14:schemeClr w14:val="tx1"/>
            </w14:solidFill>
          </w14:textFill>
        </w:rPr>
      </w:pPr>
      <w:r>
        <w:rPr>
          <w:rFonts w:hint="default" w:ascii="Times New Roman" w:hAnsi="Times New Roman" w:eastAsia="仿宋_GB2312" w:cs="Times New Roman"/>
          <w:b w:val="0"/>
          <w:bCs w:val="0"/>
          <w:color w:val="000000" w:themeColor="text1"/>
          <w:kern w:val="2"/>
          <w:sz w:val="28"/>
          <w:szCs w:val="28"/>
          <w:lang w:val="en-US" w:eastAsia="zh-CN" w:bidi="ar-SA"/>
          <w14:textFill>
            <w14:solidFill>
              <w14:schemeClr w14:val="tx1"/>
            </w14:solidFill>
          </w14:textFill>
        </w:rPr>
        <w:t xml:space="preserve">                                          单位：万元 </w:t>
      </w:r>
    </w:p>
    <w:tbl>
      <w:tblPr>
        <w:tblStyle w:val="8"/>
        <w:tblW w:w="8932"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757"/>
        <w:gridCol w:w="2077"/>
        <w:gridCol w:w="2037"/>
        <w:gridCol w:w="20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color w:val="000000"/>
                <w:kern w:val="0"/>
                <w:sz w:val="24"/>
                <w:szCs w:val="24"/>
                <w:u w:val="none"/>
                <w:lang w:val="en-US" w:eastAsia="zh-CN" w:bidi="ar"/>
              </w:rPr>
              <w:t>机构名称</w:t>
            </w:r>
          </w:p>
        </w:tc>
        <w:tc>
          <w:tcPr>
            <w:tcW w:w="2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color w:val="000000"/>
                <w:kern w:val="0"/>
                <w:sz w:val="24"/>
                <w:szCs w:val="24"/>
                <w:u w:val="none"/>
                <w:lang w:val="en-US" w:eastAsia="zh-CN" w:bidi="ar"/>
              </w:rPr>
              <w:t>职工医保</w:t>
            </w: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color w:val="000000"/>
                <w:kern w:val="0"/>
                <w:sz w:val="24"/>
                <w:szCs w:val="24"/>
                <w:u w:val="none"/>
                <w:lang w:val="en-US" w:eastAsia="zh-CN" w:bidi="ar"/>
              </w:rPr>
              <w:t>居民医保</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诸暨市人民医院医共体</w:t>
            </w:r>
          </w:p>
        </w:tc>
        <w:tc>
          <w:tcPr>
            <w:tcW w:w="2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13969.65</w:t>
            </w: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5069.76</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3" w:hRule="atLeast"/>
        </w:trPr>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诸暨市中医医院医共体</w:t>
            </w:r>
          </w:p>
        </w:tc>
        <w:tc>
          <w:tcPr>
            <w:tcW w:w="2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6041.6</w:t>
            </w: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2837.18</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5" w:hRule="atLeast"/>
        </w:trPr>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诸暨市中心医院医共体</w:t>
            </w:r>
          </w:p>
        </w:tc>
        <w:tc>
          <w:tcPr>
            <w:tcW w:w="2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5616.76</w:t>
            </w: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2564.5</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5" w:hRule="atLeast"/>
        </w:trPr>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诸暨市妇幼保健院</w:t>
            </w:r>
          </w:p>
        </w:tc>
        <w:tc>
          <w:tcPr>
            <w:tcW w:w="2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749.74</w:t>
            </w: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167.74</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6" w:hRule="atLeast"/>
        </w:trPr>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诸暨市第二人民医院</w:t>
            </w:r>
          </w:p>
        </w:tc>
        <w:tc>
          <w:tcPr>
            <w:tcW w:w="2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930.26</w:t>
            </w: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701.76</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 w:hRule="atLeast"/>
        </w:trPr>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诸暨市第三人民医院</w:t>
            </w:r>
          </w:p>
        </w:tc>
        <w:tc>
          <w:tcPr>
            <w:tcW w:w="2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811.86</w:t>
            </w: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389.97</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8" w:hRule="atLeast"/>
        </w:trPr>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诸暨市第四人民医院</w:t>
            </w:r>
          </w:p>
        </w:tc>
        <w:tc>
          <w:tcPr>
            <w:tcW w:w="2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1406.92</w:t>
            </w: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951.89</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5" w:hRule="atLeast"/>
        </w:trPr>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诸暨市第五人民医院</w:t>
            </w:r>
          </w:p>
        </w:tc>
        <w:tc>
          <w:tcPr>
            <w:tcW w:w="2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543.59</w:t>
            </w: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465.17</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3" w:hRule="atLeast"/>
        </w:trPr>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诸暨市第六人民医院</w:t>
            </w:r>
          </w:p>
        </w:tc>
        <w:tc>
          <w:tcPr>
            <w:tcW w:w="2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2392.7</w:t>
            </w: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1151.7</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6" w:hRule="atLeast"/>
        </w:trPr>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诸暨弘济医院</w:t>
            </w:r>
          </w:p>
        </w:tc>
        <w:tc>
          <w:tcPr>
            <w:tcW w:w="2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325.37</w:t>
            </w: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36.87</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5" w:hRule="atLeast"/>
        </w:trPr>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诸暨华虹康复医院</w:t>
            </w:r>
          </w:p>
        </w:tc>
        <w:tc>
          <w:tcPr>
            <w:tcW w:w="2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249.06</w:t>
            </w: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33.97</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5" w:hRule="atLeast"/>
        </w:trPr>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诸暨店口中康医院</w:t>
            </w:r>
          </w:p>
        </w:tc>
        <w:tc>
          <w:tcPr>
            <w:tcW w:w="2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296.38</w:t>
            </w: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67.13</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6" w:hRule="atLeast"/>
        </w:trPr>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诸暨艾玛妇产医院</w:t>
            </w:r>
          </w:p>
        </w:tc>
        <w:tc>
          <w:tcPr>
            <w:tcW w:w="2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248.42</w:t>
            </w: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11.28</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6" w:hRule="atLeast"/>
        </w:trPr>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诸暨口腔医院</w:t>
            </w:r>
          </w:p>
        </w:tc>
        <w:tc>
          <w:tcPr>
            <w:tcW w:w="2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63.72</w:t>
            </w: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20.28</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诸暨爱尔眼科医院</w:t>
            </w:r>
          </w:p>
        </w:tc>
        <w:tc>
          <w:tcPr>
            <w:tcW w:w="2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4.25</w:t>
            </w: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1.6</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 w:hRule="atLeast"/>
        </w:trPr>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诸暨詹氏中医骨伤医院</w:t>
            </w:r>
          </w:p>
        </w:tc>
        <w:tc>
          <w:tcPr>
            <w:tcW w:w="2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153.07</w:t>
            </w: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34.61</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8" w:hRule="atLeast"/>
        </w:trPr>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诸暨宏宇康复医院</w:t>
            </w:r>
          </w:p>
        </w:tc>
        <w:tc>
          <w:tcPr>
            <w:tcW w:w="2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1629.86</w:t>
            </w: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172.87</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2757"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诸暨颐和康复护理院</w:t>
            </w:r>
          </w:p>
        </w:tc>
        <w:tc>
          <w:tcPr>
            <w:tcW w:w="2077"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101.59</w:t>
            </w:r>
          </w:p>
        </w:tc>
        <w:tc>
          <w:tcPr>
            <w:tcW w:w="2037"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6.44</w:t>
            </w:r>
          </w:p>
        </w:tc>
        <w:tc>
          <w:tcPr>
            <w:tcW w:w="2061" w:type="dxa"/>
            <w:tcBorders>
              <w:top w:val="single" w:color="000000" w:sz="4" w:space="0"/>
              <w:left w:val="single" w:color="000000" w:sz="4" w:space="0"/>
              <w:bottom w:val="single" w:color="auto" w:sz="4" w:space="0"/>
              <w:right w:val="single" w:color="000000" w:sz="4" w:space="0"/>
            </w:tcBorders>
            <w:shd w:val="clear" w:color="auto" w:fill="auto"/>
            <w:vAlign w:val="center"/>
          </w:tcPr>
          <w:p>
            <w:pP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27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诸暨九州医院</w:t>
            </w:r>
          </w:p>
        </w:tc>
        <w:tc>
          <w:tcPr>
            <w:tcW w:w="20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lang w:val="en-US" w:eastAsia="zh-CN"/>
              </w:rPr>
            </w:pPr>
            <w:r>
              <w:rPr>
                <w:rFonts w:hint="default" w:ascii="Times New Roman" w:hAnsi="Times New Roman" w:eastAsia="仿宋_GB2312" w:cs="Times New Roman"/>
                <w:i w:val="0"/>
                <w:iCs w:val="0"/>
                <w:color w:val="000000"/>
                <w:sz w:val="24"/>
                <w:szCs w:val="24"/>
                <w:u w:val="none"/>
                <w:lang w:val="en-US" w:eastAsia="zh-CN"/>
              </w:rPr>
              <w:t>158.28</w:t>
            </w:r>
          </w:p>
        </w:tc>
        <w:tc>
          <w:tcPr>
            <w:tcW w:w="20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lang w:val="en-US" w:eastAsia="zh-CN"/>
              </w:rPr>
            </w:pPr>
            <w:r>
              <w:rPr>
                <w:rFonts w:hint="default" w:ascii="Times New Roman" w:hAnsi="Times New Roman" w:eastAsia="仿宋_GB2312" w:cs="Times New Roman"/>
                <w:i w:val="0"/>
                <w:iCs w:val="0"/>
                <w:color w:val="000000"/>
                <w:sz w:val="24"/>
                <w:szCs w:val="24"/>
                <w:u w:val="none"/>
                <w:lang w:val="en-US" w:eastAsia="zh-CN"/>
              </w:rPr>
              <w:t>20.28</w:t>
            </w:r>
          </w:p>
        </w:tc>
        <w:tc>
          <w:tcPr>
            <w:tcW w:w="206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27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诸暨暨阳康复医院</w:t>
            </w:r>
          </w:p>
        </w:tc>
        <w:tc>
          <w:tcPr>
            <w:tcW w:w="20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124.74</w:t>
            </w:r>
          </w:p>
        </w:tc>
        <w:tc>
          <w:tcPr>
            <w:tcW w:w="20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12.88</w:t>
            </w:r>
          </w:p>
        </w:tc>
        <w:tc>
          <w:tcPr>
            <w:tcW w:w="206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4" w:hRule="atLeast"/>
        </w:trPr>
        <w:tc>
          <w:tcPr>
            <w:tcW w:w="27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合计</w:t>
            </w:r>
          </w:p>
        </w:tc>
        <w:tc>
          <w:tcPr>
            <w:tcW w:w="20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lang w:val="en-US"/>
              </w:rPr>
            </w:pPr>
            <w:r>
              <w:rPr>
                <w:rFonts w:hint="default" w:ascii="Times New Roman" w:hAnsi="Times New Roman" w:eastAsia="仿宋_GB2312" w:cs="Times New Roman"/>
                <w:i w:val="0"/>
                <w:iCs w:val="0"/>
                <w:color w:val="000000"/>
                <w:kern w:val="0"/>
                <w:sz w:val="24"/>
                <w:szCs w:val="24"/>
                <w:u w:val="none"/>
                <w:lang w:val="en-US" w:eastAsia="zh-CN" w:bidi="ar"/>
              </w:rPr>
              <w:t>35817.82</w:t>
            </w:r>
          </w:p>
        </w:tc>
        <w:tc>
          <w:tcPr>
            <w:tcW w:w="20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lang w:val="en-US"/>
              </w:rPr>
            </w:pPr>
            <w:r>
              <w:rPr>
                <w:rFonts w:hint="default" w:ascii="Times New Roman" w:hAnsi="Times New Roman" w:eastAsia="仿宋_GB2312" w:cs="Times New Roman"/>
                <w:i w:val="0"/>
                <w:iCs w:val="0"/>
                <w:color w:val="000000"/>
                <w:kern w:val="0"/>
                <w:sz w:val="24"/>
                <w:szCs w:val="24"/>
                <w:u w:val="none"/>
                <w:lang w:val="en-US" w:eastAsia="zh-CN" w:bidi="ar"/>
              </w:rPr>
              <w:t>14717.88</w:t>
            </w:r>
          </w:p>
        </w:tc>
        <w:tc>
          <w:tcPr>
            <w:tcW w:w="206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8932" w:type="dxa"/>
            <w:gridSpan w:val="4"/>
            <w:tcBorders>
              <w:top w:val="single" w:color="auto" w:sz="4" w:space="0"/>
              <w:left w:val="nil"/>
              <w:bottom w:val="nil"/>
              <w:right w:val="nil"/>
            </w:tcBorders>
            <w:shd w:val="clear" w:color="auto" w:fill="auto"/>
            <w:vAlign w:val="center"/>
          </w:tcPr>
          <w:p>
            <w:pPr>
              <w:rPr>
                <w:rFonts w:hint="default" w:ascii="Times New Roman" w:hAnsi="Times New Roman" w:eastAsia="仿宋_GB2312" w:cs="Times New Roman"/>
                <w:lang w:val="en-US"/>
              </w:rPr>
            </w:pPr>
            <w:r>
              <w:rPr>
                <w:rFonts w:hint="default" w:ascii="Times New Roman" w:hAnsi="Times New Roman" w:eastAsia="仿宋_GB2312" w:cs="Times New Roman"/>
                <w:i w:val="0"/>
                <w:iCs w:val="0"/>
                <w:color w:val="000000"/>
                <w:kern w:val="0"/>
                <w:sz w:val="24"/>
                <w:szCs w:val="24"/>
                <w:u w:val="none"/>
                <w:lang w:val="en-US" w:eastAsia="zh-CN" w:bidi="ar"/>
              </w:rPr>
              <w:t>备注：医疗机构门诊预算指标暂按《2023年度诸暨市基本医疗保险基金总额预算管理办法》下达指标额度确定，其中诸暨九州医院于2023年9月21日恢复医保结算，2023年度门诊额度按实际经营月数3个月下达，2024年指标暂按2023年下达指标同比例扩大至12个月；诸暨暨阳康复医院纳入医保定点满三年，纳入总额控制，预算指标暂按2023年决算额确定。</w:t>
            </w:r>
            <w:r>
              <w:rPr>
                <w:rFonts w:hint="default" w:ascii="Times New Roman" w:hAnsi="Times New Roman" w:eastAsia="仿宋_GB2312" w:cs="Times New Roman"/>
                <w:color w:val="000000" w:themeColor="text1"/>
                <w:kern w:val="0"/>
                <w:sz w:val="24"/>
                <w:szCs w:val="24"/>
                <w:highlight w:val="none"/>
                <w:lang w:val="en-US" w:eastAsia="zh-CN" w:bidi="ar-SA"/>
                <w14:textFill>
                  <w14:solidFill>
                    <w14:schemeClr w14:val="tx1"/>
                  </w14:solidFill>
                </w14:textFill>
              </w:rPr>
              <w:t>绍兴市下达2024年度总额预算指标后，</w:t>
            </w:r>
            <w:r>
              <w:rPr>
                <w:rFonts w:hint="default" w:ascii="Times New Roman" w:hAnsi="Times New Roman" w:eastAsia="仿宋_GB2312" w:cs="Times New Roman"/>
                <w:color w:val="auto"/>
                <w:kern w:val="0"/>
                <w:sz w:val="24"/>
                <w:szCs w:val="24"/>
                <w:highlight w:val="none"/>
                <w:lang w:val="en-US" w:eastAsia="zh-CN" w:bidi="ar-SA"/>
              </w:rPr>
              <w:t>根据下达指标对各单位指标进行调整。</w:t>
            </w:r>
          </w:p>
        </w:tc>
      </w:tr>
    </w:tbl>
    <w:p>
      <w:pPr>
        <w:keepNext w:val="0"/>
        <w:keepLines w:val="0"/>
        <w:pageBreakBefore w:val="0"/>
        <w:widowControl w:val="0"/>
        <w:kinsoku/>
        <w:wordWrap/>
        <w:overflowPunct/>
        <w:topLinePunct w:val="0"/>
        <w:autoSpaceDE/>
        <w:autoSpaceDN/>
        <w:bidi w:val="0"/>
        <w:adjustRightInd/>
        <w:snapToGrid w:val="0"/>
        <w:spacing w:line="520" w:lineRule="exact"/>
        <w:jc w:val="both"/>
        <w:textAlignment w:val="auto"/>
        <w:outlineLvl w:val="9"/>
        <w:rPr>
          <w:rFonts w:hint="eastAsia" w:ascii="黑体" w:hAnsi="黑体" w:eastAsia="黑体" w:cs="黑体"/>
          <w:color w:val="000000" w:themeColor="text1"/>
          <w:kern w:val="0"/>
          <w:sz w:val="32"/>
          <w:szCs w:val="32"/>
          <w:lang w:val="en-US" w:eastAsia="zh-CN" w:bidi="ar-SA"/>
          <w14:textFill>
            <w14:solidFill>
              <w14:schemeClr w14:val="tx1"/>
            </w14:solidFill>
          </w14:textFill>
        </w:rPr>
      </w:pPr>
      <w:r>
        <w:rPr>
          <w:rFonts w:hint="eastAsia" w:ascii="黑体" w:hAnsi="黑体" w:eastAsia="黑体" w:cs="黑体"/>
          <w:color w:val="000000" w:themeColor="text1"/>
          <w:kern w:val="0"/>
          <w:sz w:val="32"/>
          <w:szCs w:val="32"/>
          <w:lang w:val="en-US" w:eastAsia="zh-CN" w:bidi="ar-SA"/>
          <w14:textFill>
            <w14:solidFill>
              <w14:schemeClr w14:val="tx1"/>
            </w14:solidFill>
          </w14:textFill>
        </w:rPr>
        <w:t>附件3</w:t>
      </w:r>
    </w:p>
    <w:p>
      <w:pPr>
        <w:keepNext w:val="0"/>
        <w:keepLines w:val="0"/>
        <w:pageBreakBefore w:val="0"/>
        <w:widowControl w:val="0"/>
        <w:kinsoku/>
        <w:wordWrap/>
        <w:overflowPunct/>
        <w:topLinePunct w:val="0"/>
        <w:autoSpaceDE/>
        <w:autoSpaceDN/>
        <w:bidi w:val="0"/>
        <w:adjustRightInd/>
        <w:snapToGrid w:val="0"/>
        <w:spacing w:line="660" w:lineRule="exact"/>
        <w:jc w:val="center"/>
        <w:textAlignment w:val="auto"/>
        <w:outlineLvl w:val="9"/>
        <w:rPr>
          <w:rFonts w:hint="eastAsia" w:ascii="方正小标宋简体" w:hAnsi="方正小标宋简体" w:eastAsia="方正小标宋简体" w:cs="方正小标宋简体"/>
          <w:b w:val="0"/>
          <w:bCs w:val="0"/>
          <w:color w:val="000000" w:themeColor="text1"/>
          <w:kern w:val="2"/>
          <w:sz w:val="44"/>
          <w:szCs w:val="44"/>
          <w:lang w:val="en-US" w:eastAsia="zh-CN" w:bidi="ar-SA"/>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kern w:val="2"/>
          <w:sz w:val="44"/>
          <w:szCs w:val="44"/>
          <w:lang w:val="en-US" w:eastAsia="zh-CN" w:bidi="ar-SA"/>
          <w14:textFill>
            <w14:solidFill>
              <w14:schemeClr w14:val="tx1"/>
            </w14:solidFill>
          </w14:textFill>
        </w:rPr>
        <w:t>2024年度诸暨市支持落实分级诊疗方案</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640" w:firstLineChars="200"/>
        <w:textAlignment w:val="auto"/>
        <w:outlineLvl w:val="9"/>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outlineLvl w:val="9"/>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t>为激励市内医疗机构加强重点学科建设，提高医疗服务水平，支持落实分级诊疗制度，提高县域内就诊率，提高医保基金使用绩效，根据《关于印发&lt;2023年度诸暨市基本医疗保险基金总额预算管理办法&gt;的通知》要求，制定本分配方案。</w:t>
      </w:r>
    </w:p>
    <w:p>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firstLine="640" w:firstLineChars="200"/>
        <w:textAlignment w:val="auto"/>
        <w:outlineLvl w:val="9"/>
        <w:rPr>
          <w:rFonts w:hint="eastAsia" w:ascii="黑体" w:hAnsi="黑体" w:eastAsia="黑体" w:cs="黑体"/>
          <w:color w:val="000000" w:themeColor="text1"/>
          <w:kern w:val="0"/>
          <w:sz w:val="32"/>
          <w:szCs w:val="32"/>
          <w:lang w:val="en-US" w:eastAsia="zh-CN"/>
          <w14:textFill>
            <w14:solidFill>
              <w14:schemeClr w14:val="tx1"/>
            </w14:solidFill>
          </w14:textFill>
        </w:rPr>
      </w:pPr>
      <w:r>
        <w:rPr>
          <w:rFonts w:hint="eastAsia" w:ascii="黑体" w:hAnsi="黑体" w:eastAsia="黑体" w:cs="黑体"/>
          <w:color w:val="000000" w:themeColor="text1"/>
          <w:kern w:val="0"/>
          <w:sz w:val="32"/>
          <w:szCs w:val="32"/>
          <w:lang w:val="en-US" w:eastAsia="zh-CN"/>
          <w14:textFill>
            <w14:solidFill>
              <w14:schemeClr w14:val="tx1"/>
            </w14:solidFill>
          </w14:textFill>
        </w:rPr>
        <w:t>基金额度</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outlineLvl w:val="9"/>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t>2024年度医保基金总额预算预留金中提取1500万元。</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outlineLvl w:val="9"/>
        <w:rPr>
          <w:rFonts w:hint="eastAsia" w:ascii="黑体" w:hAnsi="黑体" w:eastAsia="黑体" w:cs="黑体"/>
          <w:color w:val="000000" w:themeColor="text1"/>
          <w:kern w:val="0"/>
          <w:sz w:val="32"/>
          <w:szCs w:val="32"/>
          <w:lang w:val="en-US" w:eastAsia="zh-CN"/>
          <w14:textFill>
            <w14:solidFill>
              <w14:schemeClr w14:val="tx1"/>
            </w14:solidFill>
          </w14:textFill>
        </w:rPr>
      </w:pPr>
      <w:r>
        <w:rPr>
          <w:rFonts w:hint="eastAsia" w:ascii="黑体" w:hAnsi="黑体" w:eastAsia="黑体" w:cs="黑体"/>
          <w:color w:val="000000" w:themeColor="text1"/>
          <w:kern w:val="0"/>
          <w:sz w:val="32"/>
          <w:szCs w:val="32"/>
          <w:lang w:val="en-US" w:eastAsia="zh-CN"/>
          <w14:textFill>
            <w14:solidFill>
              <w14:schemeClr w14:val="tx1"/>
            </w14:solidFill>
          </w14:textFill>
        </w:rPr>
        <w:t>二、分配方式</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outlineLvl w:val="9"/>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pPr>
      <w:r>
        <w:rPr>
          <w:rFonts w:hint="eastAsia" w:ascii="楷体_GB2312" w:hAnsi="楷体_GB2312" w:eastAsia="楷体_GB2312" w:cs="楷体_GB2312"/>
          <w:color w:val="000000" w:themeColor="text1"/>
          <w:kern w:val="0"/>
          <w:sz w:val="32"/>
          <w:szCs w:val="32"/>
          <w:lang w:val="en-US" w:eastAsia="zh-CN"/>
          <w14:textFill>
            <w14:solidFill>
              <w14:schemeClr w14:val="tx1"/>
            </w14:solidFill>
          </w14:textFill>
        </w:rPr>
        <w:t>（一）重症病例收治补偿。</w:t>
      </w:r>
      <w:r>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t>共500万元，按各定点医疗机构2023年度收治的重症病人在ICU病房产生的医疗费用权重分配，用于市内定点医疗机构重症病例DRGs结算补偿。</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outlineLvl w:val="9"/>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pPr>
      <w:r>
        <w:rPr>
          <w:rFonts w:hint="eastAsia" w:ascii="楷体_GB2312" w:hAnsi="楷体_GB2312" w:eastAsia="楷体_GB2312" w:cs="楷体_GB2312"/>
          <w:color w:val="000000" w:themeColor="text1"/>
          <w:kern w:val="0"/>
          <w:sz w:val="32"/>
          <w:szCs w:val="32"/>
          <w:lang w:val="en-US" w:eastAsia="zh-CN"/>
          <w14:textFill>
            <w14:solidFill>
              <w14:schemeClr w14:val="tx1"/>
            </w14:solidFill>
          </w14:textFill>
        </w:rPr>
        <w:t>（二）儿科住院病例补偿。</w:t>
      </w:r>
      <w:r>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t>共200万元，按医疗机构儿科病区2023年度收治的儿童住院病例RW值权重分配，支持医疗机构积极提升儿科专科医疗服务水平。</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pPr>
      <w:r>
        <w:rPr>
          <w:rFonts w:hint="eastAsia" w:ascii="楷体_GB2312" w:hAnsi="楷体_GB2312" w:eastAsia="楷体_GB2312" w:cs="楷体_GB2312"/>
          <w:color w:val="000000" w:themeColor="text1"/>
          <w:kern w:val="0"/>
          <w:sz w:val="32"/>
          <w:szCs w:val="32"/>
          <w:lang w:val="en-US" w:eastAsia="zh-CN"/>
          <w14:textFill>
            <w14:solidFill>
              <w14:schemeClr w14:val="tx1"/>
            </w14:solidFill>
          </w14:textFill>
        </w:rPr>
        <w:t>（三）特殊住院病例激励。</w:t>
      </w:r>
      <w:r>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t>共800万元，按各定点医疗机构收治以下住院病例总点数权重分配：①三级手术每例点数为1，四级手术每例点数为2；②除精神类、</w:t>
      </w:r>
      <w:r>
        <w:rPr>
          <w:rFonts w:hint="default" w:ascii="Times New Roman" w:hAnsi="Times New Roman" w:eastAsia="仿宋_GB2312" w:cs="Times New Roman"/>
          <w:color w:val="000000" w:themeColor="text1"/>
          <w:kern w:val="0"/>
          <w:sz w:val="32"/>
          <w:szCs w:val="32"/>
          <w:lang w:val="en-US" w:eastAsia="zh-CN" w:bidi="ar"/>
          <w14:textFill>
            <w14:solidFill>
              <w14:schemeClr w14:val="tx1"/>
            </w14:solidFill>
          </w14:textFill>
        </w:rPr>
        <w:t>慢性病及康复类等按床日付费病例外的</w:t>
      </w:r>
      <w:r>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t xml:space="preserve">RW≥2的病例，每例点数为RW值-1；③恶性肿瘤放化疗每例点数为0.3；④心脏大血管手术，主要为胸主动脉、腹主动脉、髂动脉、颈动脉手术，每例点数为5。    </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outlineLvl w:val="9"/>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t>以上数据由卫健部门统计提供。本方案由诸暨市基本医疗保险基金结算管理工作领导小组负责解释。</w:t>
      </w:r>
    </w:p>
    <w:p>
      <w:pPr>
        <w:pStyle w:val="2"/>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pP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altName w:val="方正楷体_GBK"/>
    <w:panose1 w:val="02010609030101010101"/>
    <w:charset w:val="86"/>
    <w:family w:val="modern"/>
    <w:pitch w:val="default"/>
    <w:sig w:usb0="00000000" w:usb1="00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Times New Roman" w:hAnsi="Times New Roman" w:eastAsia="仿宋_GB2312" w:cs="Times New Roman"/>
                              <w:color w:val="auto"/>
                              <w:kern w:val="0"/>
                              <w:sz w:val="28"/>
                              <w:szCs w:val="28"/>
                              <w:lang w:val="en-US" w:eastAsia="zh-CN" w:bidi="ar-SA"/>
                            </w:rPr>
                            <w:fldChar w:fldCharType="begin"/>
                          </w:r>
                          <w:r>
                            <w:rPr>
                              <w:rFonts w:hint="eastAsia" w:ascii="Times New Roman" w:hAnsi="Times New Roman" w:eastAsia="仿宋_GB2312" w:cs="Times New Roman"/>
                              <w:color w:val="auto"/>
                              <w:kern w:val="0"/>
                              <w:sz w:val="28"/>
                              <w:szCs w:val="28"/>
                              <w:lang w:val="en-US" w:eastAsia="zh-CN" w:bidi="ar-SA"/>
                            </w:rPr>
                            <w:instrText xml:space="preserve"> PAGE  \* MERGEFORMAT </w:instrText>
                          </w:r>
                          <w:r>
                            <w:rPr>
                              <w:rFonts w:hint="eastAsia" w:ascii="Times New Roman" w:hAnsi="Times New Roman" w:eastAsia="仿宋_GB2312" w:cs="Times New Roman"/>
                              <w:color w:val="auto"/>
                              <w:kern w:val="0"/>
                              <w:sz w:val="28"/>
                              <w:szCs w:val="28"/>
                              <w:lang w:val="en-US" w:eastAsia="zh-CN" w:bidi="ar-SA"/>
                            </w:rPr>
                            <w:fldChar w:fldCharType="separate"/>
                          </w:r>
                          <w:r>
                            <w:rPr>
                              <w:rFonts w:hint="eastAsia" w:ascii="Times New Roman" w:hAnsi="Times New Roman" w:eastAsia="仿宋_GB2312" w:cs="Times New Roman"/>
                              <w:color w:val="auto"/>
                              <w:kern w:val="0"/>
                              <w:sz w:val="28"/>
                              <w:szCs w:val="28"/>
                              <w:lang w:val="en-US" w:eastAsia="zh-CN" w:bidi="ar-SA"/>
                            </w:rPr>
                            <w:t>1</w:t>
                          </w:r>
                          <w:r>
                            <w:rPr>
                              <w:rFonts w:hint="eastAsia" w:ascii="Times New Roman" w:hAnsi="Times New Roman" w:eastAsia="仿宋_GB2312" w:cs="Times New Roman"/>
                              <w:color w:val="auto"/>
                              <w:kern w:val="0"/>
                              <w:sz w:val="28"/>
                              <w:szCs w:val="28"/>
                              <w:lang w:val="en-US" w:eastAsia="zh-CN" w:bidi="ar-SA"/>
                            </w:rPr>
                            <w:fldChar w:fldCharType="end"/>
                          </w:r>
                          <w:r>
                            <w:rPr>
                              <w:rFonts w:hint="eastAsia" w:ascii="Times New Roman" w:hAnsi="Times New Roman" w:eastAsia="仿宋_GB2312" w:cs="Times New Roman"/>
                              <w:color w:val="auto"/>
                              <w:kern w:val="0"/>
                              <w:sz w:val="32"/>
                              <w:szCs w:val="32"/>
                              <w:lang w:val="en-US" w:eastAsia="zh-CN" w:bidi="ar-SA"/>
                            </w:rPr>
                            <w:t xml:space="preserve"> </w:t>
                          </w:r>
                          <w:r>
                            <w:rPr>
                              <w:rFonts w:hint="eastAsia" w:ascii="仿宋" w:hAnsi="仿宋" w:eastAsia="仿宋" w:cs="仿宋"/>
                              <w:sz w:val="28"/>
                              <w:szCs w:val="28"/>
                            </w:rPr>
                            <w:t>—</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4"/>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Times New Roman" w:hAnsi="Times New Roman" w:eastAsia="仿宋_GB2312" w:cs="Times New Roman"/>
                        <w:color w:val="auto"/>
                        <w:kern w:val="0"/>
                        <w:sz w:val="28"/>
                        <w:szCs w:val="28"/>
                        <w:lang w:val="en-US" w:eastAsia="zh-CN" w:bidi="ar-SA"/>
                      </w:rPr>
                      <w:fldChar w:fldCharType="begin"/>
                    </w:r>
                    <w:r>
                      <w:rPr>
                        <w:rFonts w:hint="eastAsia" w:ascii="Times New Roman" w:hAnsi="Times New Roman" w:eastAsia="仿宋_GB2312" w:cs="Times New Roman"/>
                        <w:color w:val="auto"/>
                        <w:kern w:val="0"/>
                        <w:sz w:val="28"/>
                        <w:szCs w:val="28"/>
                        <w:lang w:val="en-US" w:eastAsia="zh-CN" w:bidi="ar-SA"/>
                      </w:rPr>
                      <w:instrText xml:space="preserve"> PAGE  \* MERGEFORMAT </w:instrText>
                    </w:r>
                    <w:r>
                      <w:rPr>
                        <w:rFonts w:hint="eastAsia" w:ascii="Times New Roman" w:hAnsi="Times New Roman" w:eastAsia="仿宋_GB2312" w:cs="Times New Roman"/>
                        <w:color w:val="auto"/>
                        <w:kern w:val="0"/>
                        <w:sz w:val="28"/>
                        <w:szCs w:val="28"/>
                        <w:lang w:val="en-US" w:eastAsia="zh-CN" w:bidi="ar-SA"/>
                      </w:rPr>
                      <w:fldChar w:fldCharType="separate"/>
                    </w:r>
                    <w:r>
                      <w:rPr>
                        <w:rFonts w:hint="eastAsia" w:ascii="Times New Roman" w:hAnsi="Times New Roman" w:eastAsia="仿宋_GB2312" w:cs="Times New Roman"/>
                        <w:color w:val="auto"/>
                        <w:kern w:val="0"/>
                        <w:sz w:val="28"/>
                        <w:szCs w:val="28"/>
                        <w:lang w:val="en-US" w:eastAsia="zh-CN" w:bidi="ar-SA"/>
                      </w:rPr>
                      <w:t>1</w:t>
                    </w:r>
                    <w:r>
                      <w:rPr>
                        <w:rFonts w:hint="eastAsia" w:ascii="Times New Roman" w:hAnsi="Times New Roman" w:eastAsia="仿宋_GB2312" w:cs="Times New Roman"/>
                        <w:color w:val="auto"/>
                        <w:kern w:val="0"/>
                        <w:sz w:val="28"/>
                        <w:szCs w:val="28"/>
                        <w:lang w:val="en-US" w:eastAsia="zh-CN" w:bidi="ar-SA"/>
                      </w:rPr>
                      <w:fldChar w:fldCharType="end"/>
                    </w:r>
                    <w:r>
                      <w:rPr>
                        <w:rFonts w:hint="eastAsia" w:ascii="Times New Roman" w:hAnsi="Times New Roman" w:eastAsia="仿宋_GB2312" w:cs="Times New Roman"/>
                        <w:color w:val="auto"/>
                        <w:kern w:val="0"/>
                        <w:sz w:val="32"/>
                        <w:szCs w:val="32"/>
                        <w:lang w:val="en-US" w:eastAsia="zh-CN" w:bidi="ar-SA"/>
                      </w:rPr>
                      <w:t xml:space="preserve"> </w:t>
                    </w:r>
                    <w:r>
                      <w:rPr>
                        <w:rFonts w:hint="eastAsia" w:ascii="仿宋" w:hAnsi="仿宋" w:eastAsia="仿宋" w:cs="仿宋"/>
                        <w:sz w:val="28"/>
                        <w:szCs w:val="28"/>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700FB5"/>
    <w:multiLevelType w:val="singleLevel"/>
    <w:tmpl w:val="09700FB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3"/>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642F1D"/>
    <w:rsid w:val="080474B1"/>
    <w:rsid w:val="0A674D0B"/>
    <w:rsid w:val="127A7944"/>
    <w:rsid w:val="33785C1E"/>
    <w:rsid w:val="3F642F1D"/>
    <w:rsid w:val="563315A6"/>
    <w:rsid w:val="57D7AD2D"/>
    <w:rsid w:val="66DB4C6D"/>
    <w:rsid w:val="6C1C12D6"/>
    <w:rsid w:val="6EFF7B05"/>
    <w:rsid w:val="6FDF9B6B"/>
    <w:rsid w:val="6FFBF389"/>
    <w:rsid w:val="70FD3F74"/>
    <w:rsid w:val="757BCB95"/>
    <w:rsid w:val="7FB2D29D"/>
    <w:rsid w:val="BE97B2DD"/>
    <w:rsid w:val="BFFFC3A6"/>
    <w:rsid w:val="DD6E3B3E"/>
    <w:rsid w:val="FBCFA8CE"/>
    <w:rsid w:val="FFFFEE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Body Text Indent"/>
    <w:basedOn w:val="1"/>
    <w:qFormat/>
    <w:uiPriority w:val="0"/>
    <w:pPr>
      <w:ind w:left="420" w:left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7">
    <w:name w:val="Body Text First Indent 2"/>
    <w:basedOn w:val="3"/>
    <w:qFormat/>
    <w:uiPriority w:val="0"/>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2024-06-19T16:51:00Z</dcterms:created>
  <dc:creator>user</dc:creator>
  <cp:lastModifiedBy>user</cp:lastModifiedBy>
  <cp:lastPrinted>2024-06-19T18:06:00Z</cp:lastPrinted>
  <dcterms:modified xsi:type="dcterms:W3CDTF">2024-12-13T16:43:00Z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117AFEEAA2CD4FB5A2D7D094F946E429</vt:lpwstr>
  </property>
</Properties>
</file>