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3"/>
        <w:tabs>
          <w:tab w:val="clear" w:pos="4153"/>
          <w:tab w:val="clear" w:pos="8306"/>
          <w:tab w:val="center" w:pos="4153"/>
          <w:tab w:val="right" w:pos="8306"/>
        </w:tabs>
        <w:jc w:val="center"/>
        <w:rPr>
          <w:rFonts w:ascii="方正小标宋简体" w:eastAsia="方正小标宋简体" w:cs="方正小标宋简体" w:hAnsi="方正小标宋简体" w:hint="eastAsia"/>
          <w:sz w:val="44"/>
          <w:szCs w:val="24"/>
          <w:lang w:val="en-US" w:eastAsia="zh-CN"/>
        </w:rPr>
      </w:pPr>
      <w:r>
        <w:rPr>
          <w:rFonts w:ascii="方正小标宋简体" w:eastAsia="方正小标宋简体" w:cs="方正小标宋简体" w:hAnsi="方正小标宋简体" w:hint="eastAsia"/>
          <w:sz w:val="44"/>
          <w:szCs w:val="24"/>
          <w:lang w:val="en-US" w:eastAsia="zh-CN"/>
        </w:rPr>
        <w:t>《</w:t>
      </w:r>
      <w:r>
        <w:rPr>
          <w:rFonts w:ascii="方正小标宋简体" w:eastAsia="方正小标宋简体" w:cs="方正小标宋简体" w:hAnsi="方正小标宋简体" w:hint="eastAsia"/>
          <w:sz w:val="44"/>
          <w:szCs w:val="24"/>
        </w:rPr>
        <w:t>关于调整</w:t>
      </w:r>
      <w:r>
        <w:rPr>
          <w:rFonts w:ascii="方正小标宋简体" w:eastAsia="方正小标宋简体" w:cs="方正小标宋简体" w:hAnsi="方正小标宋简体"/>
          <w:sz w:val="44"/>
          <w:szCs w:val="24"/>
        </w:rPr>
        <w:t>乐清市</w:t>
      </w:r>
      <w:r>
        <w:rPr>
          <w:rFonts w:ascii="方正小标宋简体" w:eastAsia="方正小标宋简体" w:cs="方正小标宋简体" w:hAnsi="方正小标宋简体" w:hint="eastAsia"/>
          <w:sz w:val="44"/>
          <w:szCs w:val="24"/>
        </w:rPr>
        <w:t>城乡居民基本养老保险缴费档次和缴费补贴标准等有关事项的通知</w:t>
      </w:r>
      <w:r>
        <w:rPr>
          <w:rFonts w:ascii="方正小标宋简体" w:eastAsia="方正小标宋简体" w:cs="方正小标宋简体" w:hAnsi="方正小标宋简体" w:hint="eastAsia"/>
          <w:sz w:val="44"/>
          <w:szCs w:val="24"/>
          <w:lang w:val="en-US" w:eastAsia="zh-CN"/>
        </w:rPr>
        <w:t>》的起草说明</w:t>
      </w:r>
    </w:p>
    <w:p>
      <w:pPr>
        <w:pStyle w:val="33"/>
        <w:tabs>
          <w:tab w:val="clear" w:pos="4153"/>
          <w:tab w:val="clear" w:pos="8306"/>
          <w:tab w:val="center" w:pos="4153"/>
          <w:tab w:val="right" w:pos="8306"/>
        </w:tabs>
        <w:jc w:val="center"/>
        <w:rPr>
          <w:rFonts w:ascii="方正小标宋简体" w:eastAsia="方正小标宋简体" w:cs="方正小标宋简体" w:hAnsi="方正小标宋简体"/>
          <w:sz w:val="4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outlineLvl w:val="9"/>
        <w:rPr>
          <w:rFonts w:ascii="黑体" w:eastAsia="黑体" w:cs="黑体" w:hAnsi="黑体" w:hint="eastAsia"/>
          <w:b w:val="0"/>
          <w:bCs/>
          <w:sz w:val="32"/>
          <w:szCs w:val="32"/>
          <w:lang w:eastAsia="zh-CN"/>
        </w:rPr>
      </w:pPr>
      <w:r>
        <w:rPr>
          <w:rFonts w:ascii="黑体" w:eastAsia="黑体" w:cs="黑体" w:hAnsi="黑体" w:hint="eastAsia"/>
          <w:b w:val="0"/>
          <w:bCs/>
          <w:sz w:val="32"/>
          <w:szCs w:val="32"/>
          <w:lang w:eastAsia="zh-CN"/>
        </w:rPr>
        <w:t>一、出台背景</w:t>
      </w:r>
    </w:p>
    <w:p>
      <w:pPr>
        <w:keepNext w:val="0"/>
        <w:keepLines w:val="0"/>
        <w:pageBreakBefore w:val="0"/>
        <w:widowControl w:val="0"/>
        <w:kinsoku/>
        <w:wordWrap/>
        <w:overflowPunct/>
        <w:topLinePunct w:val="0"/>
        <w:autoSpaceDN/>
        <w:bidi w:val="0"/>
        <w:spacing w:line="560" w:lineRule="exact"/>
        <w:ind w:firstLineChars="200" w:firstLine="640"/>
        <w:jc w:val="both"/>
        <w:textAlignment w:val="auto"/>
        <w:outlineLvl w:val="9"/>
        <w:rPr>
          <w:rFonts w:ascii="仿宋_GB2312" w:eastAsia="仿宋_GB2312"/>
          <w:sz w:val="32"/>
          <w:szCs w:val="32"/>
        </w:rPr>
      </w:pPr>
      <w:r>
        <w:rPr>
          <w:rFonts w:ascii="仿宋_GB2312" w:eastAsia="仿宋_GB2312" w:hAnsi="Times New Roman" w:hint="eastAsia"/>
          <w:sz w:val="32"/>
          <w:szCs w:val="32"/>
        </w:rPr>
        <w:t>2018年以来，国家、省、市陆续出台政策</w:t>
      </w:r>
      <w:r>
        <w:rPr>
          <w:rFonts w:ascii="仿宋_GB2312" w:eastAsia="仿宋_GB2312" w:hint="eastAsia"/>
          <w:color w:val="000000"/>
          <w:sz w:val="32"/>
          <w:szCs w:val="32"/>
        </w:rPr>
        <w:t>，</w:t>
      </w:r>
      <w:r>
        <w:rPr>
          <w:rFonts w:ascii="仿宋_GB2312" w:eastAsia="仿宋_GB2312"/>
          <w:sz w:val="32"/>
          <w:szCs w:val="32"/>
          <w:lang w:val="en-US"/>
        </w:rPr>
        <w:t>建立</w:t>
      </w:r>
      <w:r>
        <w:rPr>
          <w:rFonts w:ascii="仿宋_GB2312" w:eastAsia="仿宋_GB2312" w:hint="eastAsia"/>
          <w:sz w:val="32"/>
          <w:szCs w:val="32"/>
        </w:rPr>
        <w:t>了</w:t>
      </w:r>
      <w:r>
        <w:rPr>
          <w:rFonts w:ascii="仿宋_GB2312" w:eastAsia="仿宋_GB2312" w:hint="eastAsia"/>
          <w:color w:val="000000"/>
          <w:sz w:val="32"/>
          <w:szCs w:val="32"/>
        </w:rPr>
        <w:t>城乡居民基本养老保险缴费补贴动态调整</w:t>
      </w:r>
      <w:r>
        <w:rPr>
          <w:rFonts w:ascii="仿宋_GB2312" w:eastAsia="仿宋_GB2312" w:hint="eastAsia"/>
          <w:sz w:val="32"/>
          <w:szCs w:val="32"/>
        </w:rPr>
        <w:t>机制，</w:t>
      </w:r>
      <w:r>
        <w:rPr>
          <w:rFonts w:ascii="Times New Roman" w:eastAsia="仿宋_GB2312" w:cs="Times New Roman" w:hAnsi="Times New Roman"/>
          <w:color w:val="000000"/>
          <w:sz w:val="32"/>
          <w:szCs w:val="32"/>
        </w:rPr>
        <w:t>要求各地根据</w:t>
      </w:r>
      <w:r>
        <w:rPr>
          <w:rFonts w:ascii="Times New Roman" w:eastAsia="仿宋_GB2312" w:cs="Times New Roman" w:hAnsi="Times New Roman" w:hint="eastAsia"/>
          <w:color w:val="000000"/>
          <w:sz w:val="32"/>
          <w:szCs w:val="32"/>
        </w:rPr>
        <w:t>经济发展、个人缴费标准提高和财力状况，合理调整缴费补贴水平，对选择较高档次缴费的人员可适当增加缴费补贴，引导城乡居民选择高档次标准缴费</w:t>
      </w:r>
      <w:r>
        <w:rPr>
          <w:rFonts w:ascii="仿宋_GB2312" w:eastAsia="仿宋_GB2312" w:hint="eastAsia"/>
          <w:sz w:val="32"/>
          <w:szCs w:val="32"/>
        </w:rPr>
        <w:t>。</w:t>
      </w:r>
    </w:p>
    <w:p>
      <w:pPr>
        <w:keepNext w:val="0"/>
        <w:keepLines w:val="0"/>
        <w:pageBreakBefore w:val="0"/>
        <w:widowControl w:val="0"/>
        <w:kinsoku/>
        <w:wordWrap/>
        <w:overflowPunct/>
        <w:topLinePunct w:val="0"/>
        <w:autoSpaceDN/>
        <w:bidi w:val="0"/>
        <w:spacing w:line="560" w:lineRule="exact"/>
        <w:ind w:firstLineChars="200" w:firstLine="640"/>
        <w:jc w:val="both"/>
        <w:textAlignment w:val="auto"/>
        <w:outlineLvl w:val="9"/>
        <w:rPr>
          <w:rFonts w:ascii="仿宋_GB2312" w:eastAsia="仿宋_GB2312" w:hint="eastAsia"/>
          <w:color w:val="000000"/>
          <w:sz w:val="32"/>
          <w:szCs w:val="32"/>
        </w:rPr>
      </w:pPr>
      <w:r>
        <w:rPr>
          <w:rFonts w:ascii="仿宋_GB2312" w:eastAsia="仿宋_GB2312" w:hint="eastAsia"/>
          <w:color w:val="000000"/>
          <w:sz w:val="32"/>
          <w:szCs w:val="32"/>
        </w:rPr>
        <w:t>2023年12月，省人社厅、省财政厅、省税务局联合发</w:t>
      </w:r>
      <w:r>
        <w:rPr>
          <w:rFonts w:ascii="仿宋_GB2312" w:eastAsia="仿宋_GB2312" w:hint="eastAsia"/>
          <w:color w:val="000000"/>
          <w:sz w:val="32"/>
          <w:szCs w:val="32"/>
          <w:lang w:val="en-US" w:eastAsia="zh-CN"/>
        </w:rPr>
        <w:t>布《关于调整城乡居民基本养老保险缴费档次和缴费补贴标准等有关事项的通知》（</w:t>
      </w:r>
      <w:r>
        <w:rPr>
          <w:rFonts w:ascii="仿宋_GB2312" w:eastAsia="仿宋_GB2312" w:hint="eastAsia"/>
          <w:color w:val="000000"/>
          <w:sz w:val="32"/>
          <w:szCs w:val="32"/>
        </w:rPr>
        <w:t>浙人社发〔2023〕66号</w:t>
      </w: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文件，</w:t>
      </w:r>
      <w:r>
        <w:rPr>
          <w:rFonts w:ascii="仿宋_GB2312" w:eastAsia="仿宋_GB2312" w:hint="eastAsia"/>
          <w:color w:val="000000"/>
          <w:sz w:val="32"/>
          <w:szCs w:val="32"/>
        </w:rPr>
        <w:t>明确自2024年1月1日起，城乡居民基本养老保险个人缴费档次调整为8档，其中200元档次为低保对象、特困人员、残疾人、低保边缘户等困难群体参保</w:t>
      </w:r>
      <w:r>
        <w:rPr>
          <w:rFonts w:ascii="仿宋_GB2312" w:eastAsia="仿宋_GB2312" w:hint="eastAsia"/>
          <w:color w:val="000000"/>
          <w:sz w:val="32"/>
          <w:szCs w:val="32"/>
          <w:lang w:eastAsia="zh-CN"/>
        </w:rPr>
        <w:t>政府</w:t>
      </w:r>
      <w:r>
        <w:rPr>
          <w:rFonts w:ascii="仿宋_GB2312" w:eastAsia="仿宋_GB2312" w:hint="eastAsia"/>
          <w:color w:val="000000"/>
          <w:sz w:val="32"/>
          <w:szCs w:val="32"/>
        </w:rPr>
        <w:t>代缴档次，现行代缴档次高于200元的可维持不变。各地不再另设缴费档次。各地要合理调整缴费补贴标准，对选择较高档次缴费的人员适当增加缴费补贴，引导参保人选择中高档次缴费。从2024年1月1日起，2000元及以上档次缴费补贴标准不低于每人每年200元，具体由各设区市确定。各地市已陆续</w:t>
      </w:r>
      <w:r>
        <w:rPr>
          <w:rFonts w:ascii="仿宋_GB2312" w:eastAsia="仿宋_GB2312" w:hint="eastAsia"/>
          <w:color w:val="000000"/>
          <w:sz w:val="32"/>
          <w:szCs w:val="32"/>
          <w:lang w:val="en-US"/>
        </w:rPr>
        <w:t>启动</w:t>
      </w:r>
      <w:r>
        <w:rPr>
          <w:rFonts w:ascii="仿宋_GB2312" w:eastAsia="仿宋_GB2312" w:hint="eastAsia"/>
          <w:color w:val="000000"/>
          <w:sz w:val="32"/>
          <w:szCs w:val="32"/>
        </w:rPr>
        <w:t>调整工作。</w:t>
      </w:r>
    </w:p>
    <w:p>
      <w:pPr>
        <w:pStyle w:val="133"/>
        <w:keepNext w:val="0"/>
        <w:keepLines w:val="0"/>
        <w:pageBreakBefore w:val="0"/>
        <w:widowControl/>
        <w:kinsoku/>
        <w:wordWrap/>
        <w:overflowPunct/>
        <w:topLinePunct w:val="0"/>
        <w:autoSpaceDE/>
        <w:autoSpaceDN/>
        <w:bidi w:val="0"/>
        <w:adjustRightInd/>
        <w:snapToGrid/>
        <w:spacing w:line="560" w:lineRule="exact"/>
        <w:ind w:left="0" w:right="0" w:firstLineChars="200" w:firstLine="640"/>
        <w:jc w:val="both"/>
        <w:textAlignment w:val="auto"/>
        <w:outlineLvl w:val="9"/>
        <w:rPr>
          <w:rFonts w:ascii="黑体" w:eastAsia="黑体" w:cs="黑体" w:hAnsi="黑体" w:hint="eastAsia"/>
          <w:sz w:val="32"/>
          <w:szCs w:val="32"/>
        </w:rPr>
      </w:pPr>
      <w:r>
        <w:rPr>
          <w:rFonts w:ascii="黑体" w:eastAsia="黑体" w:cs="黑体" w:hAnsi="黑体" w:hint="eastAsia"/>
          <w:sz w:val="32"/>
          <w:szCs w:val="32"/>
        </w:rPr>
        <w:t>二、制定过程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Chars="200" w:firstLine="640"/>
        <w:jc w:val="both"/>
        <w:textAlignment w:val="auto"/>
        <w:outlineLvl w:val="9"/>
        <w:rPr>
          <w:rFonts w:ascii="仿宋_GB2312" w:eastAsia="仿宋_GB2312" w:cs="仿宋_GB2312" w:hAnsi="Calibri"/>
          <w:kern w:val="2"/>
          <w:sz w:val="32"/>
          <w:szCs w:val="32"/>
          <w:lang w:val="en-US" w:eastAsia="zh-CN" w:bidi="ar-SA"/>
        </w:rPr>
      </w:pPr>
      <w:r>
        <w:rPr>
          <w:rFonts w:ascii="仿宋_GB2312" w:eastAsia="仿宋_GB2312" w:cs="仿宋_GB2312" w:hAnsi="Calibri"/>
          <w:kern w:val="2"/>
          <w:sz w:val="32"/>
          <w:szCs w:val="32"/>
          <w:lang w:val="en-US" w:eastAsia="zh-CN" w:bidi="ar-SA"/>
        </w:rPr>
        <w:t>主要开展了三方面工作：</w:t>
      </w:r>
      <w:r>
        <w:rPr>
          <w:rFonts w:ascii="楷体_GB2312" w:eastAsia="楷体_GB2312" w:cs="楷体_GB2312" w:hAnsi="Calibri"/>
          <w:b w:val="0"/>
          <w:kern w:val="2"/>
          <w:sz w:val="32"/>
          <w:szCs w:val="32"/>
          <w:lang w:val="en-US" w:eastAsia="zh-CN" w:bidi="ar-SA"/>
        </w:rPr>
        <w:t>一是</w:t>
      </w:r>
      <w:r>
        <w:rPr>
          <w:rFonts w:ascii="楷体_GB2312" w:eastAsia="楷体_GB2312" w:cs="楷体_GB2312" w:hAnsi="Calibri" w:hint="eastAsia"/>
          <w:b w:val="0"/>
          <w:kern w:val="2"/>
          <w:sz w:val="32"/>
          <w:szCs w:val="32"/>
          <w:lang w:val="en-US" w:eastAsia="zh-CN" w:bidi="ar-SA"/>
        </w:rPr>
        <w:t>数据分析</w:t>
      </w:r>
      <w:r>
        <w:rPr>
          <w:rFonts w:ascii="楷体_GB2312" w:eastAsia="楷体_GB2312" w:cs="楷体_GB2312" w:hAnsi="Calibri"/>
          <w:b w:val="0"/>
          <w:kern w:val="2"/>
          <w:sz w:val="32"/>
          <w:szCs w:val="32"/>
          <w:lang w:val="en-US" w:eastAsia="zh-CN" w:bidi="ar-SA"/>
        </w:rPr>
        <w:t>。</w:t>
      </w:r>
      <w:r>
        <w:rPr>
          <w:rFonts w:ascii="仿宋_GB2312" w:eastAsia="仿宋_GB2312" w:cs="仿宋_GB2312" w:hAnsi="Calibri"/>
          <w:kern w:val="2"/>
          <w:sz w:val="32"/>
          <w:szCs w:val="32"/>
          <w:lang w:val="en-US" w:eastAsia="zh-CN" w:bidi="ar-SA"/>
        </w:rPr>
        <w:t>2023年</w:t>
      </w:r>
      <w:r>
        <w:rPr>
          <w:rFonts w:ascii="仿宋_GB2312" w:eastAsia="仿宋_GB2312" w:cs="仿宋_GB2312" w:hAnsi="Calibri" w:hint="eastAsia"/>
          <w:kern w:val="2"/>
          <w:sz w:val="32"/>
          <w:szCs w:val="32"/>
          <w:lang w:val="en-US" w:eastAsia="zh-CN" w:bidi="ar-SA"/>
        </w:rPr>
        <w:t>12</w:t>
      </w:r>
      <w:r>
        <w:rPr>
          <w:rFonts w:ascii="仿宋_GB2312" w:eastAsia="仿宋_GB2312" w:cs="仿宋_GB2312" w:hAnsi="Calibri"/>
          <w:kern w:val="2"/>
          <w:sz w:val="32"/>
          <w:szCs w:val="32"/>
          <w:lang w:val="en-US" w:eastAsia="zh-CN" w:bidi="ar-SA"/>
        </w:rPr>
        <w:t>月，我们</w:t>
      </w:r>
      <w:r>
        <w:rPr>
          <w:rFonts w:ascii="仿宋_GB2312" w:eastAsia="仿宋_GB2312" w:cs="仿宋_GB2312" w:hAnsi="Calibri" w:hint="eastAsia"/>
          <w:kern w:val="2"/>
          <w:sz w:val="32"/>
          <w:szCs w:val="32"/>
          <w:lang w:val="en-US" w:eastAsia="zh-CN" w:bidi="ar-SA"/>
        </w:rPr>
        <w:t>会同</w:t>
      </w:r>
      <w:r>
        <w:rPr>
          <w:rFonts w:ascii="仿宋_GB2312" w:eastAsia="仿宋_GB2312" w:cs="方正小标宋简体" w:hAnsi="方正小标宋简体" w:hint="eastAsia"/>
          <w:sz w:val="32"/>
          <w:szCs w:val="32"/>
        </w:rPr>
        <w:t>市财政局、市税务局</w:t>
      </w:r>
      <w:r>
        <w:rPr>
          <w:rFonts w:ascii="仿宋_GB2312" w:eastAsia="仿宋_GB2312" w:cs="方正小标宋简体" w:hAnsi="方正小标宋简体" w:hint="eastAsia"/>
          <w:sz w:val="32"/>
          <w:szCs w:val="32"/>
          <w:lang w:val="en-US" w:eastAsia="zh-CN"/>
        </w:rPr>
        <w:t>对</w:t>
      </w:r>
      <w:r>
        <w:rPr>
          <w:rFonts w:ascii="仿宋_GB2312" w:eastAsia="仿宋_GB2312" w:cs="方正小标宋简体" w:hAnsi="方正小标宋简体"/>
          <w:sz w:val="32"/>
          <w:szCs w:val="32"/>
          <w:lang w:val="en-US" w:eastAsia="zh-CN"/>
        </w:rPr>
        <w:t>乐清市</w:t>
      </w:r>
      <w:r>
        <w:rPr>
          <w:rFonts w:ascii="Times New Roman" w:eastAsia="仿宋_GB2312" w:hAnsi="Times New Roman" w:hint="eastAsia"/>
          <w:sz w:val="32"/>
          <w:szCs w:val="32"/>
        </w:rPr>
        <w:t>城乡居民基本养老保险缴费档次和缴费补贴标准</w:t>
      </w:r>
      <w:r>
        <w:rPr>
          <w:rFonts w:ascii="Times New Roman" w:eastAsia="仿宋_GB2312" w:hAnsi="Times New Roman" w:hint="eastAsia"/>
          <w:sz w:val="32"/>
          <w:szCs w:val="32"/>
          <w:lang w:eastAsia="zh-CN"/>
        </w:rPr>
        <w:t>相关数据分析与调研，全面</w:t>
      </w:r>
      <w:r>
        <w:rPr>
          <w:rFonts w:ascii="仿宋_GB2312" w:eastAsia="仿宋_GB2312" w:cs="仿宋_GB2312" w:hAnsi="Calibri"/>
          <w:kern w:val="2"/>
          <w:sz w:val="32"/>
          <w:szCs w:val="32"/>
          <w:lang w:val="en-US" w:eastAsia="zh-CN" w:bidi="ar-SA"/>
        </w:rPr>
        <w:t>了解</w:t>
      </w:r>
      <w:r>
        <w:rPr>
          <w:rFonts w:ascii="仿宋_GB2312" w:eastAsia="仿宋_GB2312" w:cs="仿宋_GB2312" w:hAnsi="Calibri" w:hint="eastAsia"/>
          <w:kern w:val="2"/>
          <w:sz w:val="32"/>
          <w:szCs w:val="32"/>
          <w:lang w:val="en-US" w:eastAsia="zh-CN" w:bidi="ar-SA"/>
        </w:rPr>
        <w:t>各地现行缴费档次人员占比、补贴情况和财政支出</w:t>
      </w:r>
      <w:r>
        <w:rPr>
          <w:rFonts w:ascii="仿宋_GB2312" w:eastAsia="仿宋_GB2312" w:cs="仿宋_GB2312" w:hAnsi="Calibri"/>
          <w:kern w:val="2"/>
          <w:sz w:val="32"/>
          <w:szCs w:val="32"/>
          <w:lang w:eastAsia="zh-CN" w:bidi="ar-SA"/>
        </w:rPr>
        <w:t>等</w:t>
      </w:r>
      <w:r>
        <w:rPr>
          <w:rFonts w:ascii="仿宋_GB2312" w:eastAsia="仿宋_GB2312" w:cs="仿宋_GB2312" w:hAnsi="Calibri"/>
          <w:kern w:val="2"/>
          <w:sz w:val="32"/>
          <w:szCs w:val="32"/>
          <w:lang w:val="en-US" w:eastAsia="zh-CN" w:bidi="ar-SA"/>
        </w:rPr>
        <w:t>情况。</w:t>
      </w:r>
      <w:r>
        <w:rPr>
          <w:rFonts w:ascii="楷体_GB2312" w:eastAsia="楷体_GB2312" w:cs="楷体_GB2312" w:hAnsi="Calibri"/>
          <w:b w:val="0"/>
          <w:kern w:val="2"/>
          <w:sz w:val="32"/>
          <w:szCs w:val="32"/>
          <w:lang w:val="en-US" w:eastAsia="zh-CN" w:bidi="ar-SA"/>
        </w:rPr>
        <w:t>二是文稿起草。</w:t>
      </w:r>
      <w:r>
        <w:rPr>
          <w:rFonts w:ascii="仿宋_GB2312" w:eastAsia="仿宋_GB2312" w:cs="仿宋_GB2312" w:hAnsi="Calibri"/>
          <w:kern w:val="2"/>
          <w:sz w:val="32"/>
          <w:szCs w:val="32"/>
          <w:lang w:val="en-US" w:eastAsia="zh-CN" w:bidi="ar-SA"/>
        </w:rPr>
        <w:t>在承接</w:t>
      </w:r>
      <w:r>
        <w:rPr>
          <w:rFonts w:ascii="仿宋_GB2312" w:eastAsia="仿宋_GB2312" w:cs="仿宋_GB2312" w:hAnsi="Calibri"/>
          <w:kern w:val="2"/>
          <w:sz w:val="32"/>
          <w:szCs w:val="32"/>
          <w:lang w:eastAsia="zh-CN" w:bidi="ar-SA"/>
        </w:rPr>
        <w:t>省文件精神和要求</w:t>
      </w:r>
      <w:r>
        <w:rPr>
          <w:rFonts w:ascii="仿宋_GB2312" w:eastAsia="仿宋_GB2312" w:cs="仿宋_GB2312" w:hAnsi="Calibri"/>
          <w:kern w:val="2"/>
          <w:sz w:val="32"/>
          <w:szCs w:val="32"/>
          <w:lang w:val="en-US" w:eastAsia="zh-CN" w:bidi="ar-SA"/>
        </w:rPr>
        <w:t>基础上，</w:t>
      </w:r>
      <w:r>
        <w:rPr>
          <w:rFonts w:ascii="仿宋_GB2312" w:eastAsia="仿宋_GB2312" w:cs="仿宋_GB2312" w:hint="eastAsia"/>
          <w:kern w:val="2"/>
          <w:sz w:val="32"/>
          <w:szCs w:val="32"/>
          <w:lang w:val="en-US" w:eastAsia="zh-CN" w:bidi="ar-SA"/>
        </w:rPr>
        <w:t>结合地方</w:t>
      </w:r>
      <w:r>
        <w:rPr>
          <w:rFonts w:ascii="仿宋_GB2312" w:eastAsia="仿宋_GB2312" w:cs="仿宋_GB2312" w:hAnsi="Calibri"/>
          <w:kern w:val="2"/>
          <w:sz w:val="32"/>
          <w:szCs w:val="32"/>
          <w:lang w:val="en-US" w:eastAsia="zh-CN" w:bidi="ar-SA"/>
        </w:rPr>
        <w:t>实际，</w:t>
      </w:r>
      <w:r>
        <w:rPr>
          <w:rFonts w:ascii="仿宋_GB2312" w:eastAsia="仿宋_GB2312" w:cs="仿宋_GB2312" w:hAnsi="Calibri" w:hint="eastAsia"/>
          <w:kern w:val="2"/>
          <w:sz w:val="32"/>
          <w:szCs w:val="32"/>
          <w:lang w:val="en-US" w:eastAsia="zh-CN" w:bidi="ar-SA"/>
        </w:rPr>
        <w:t>形成</w:t>
      </w:r>
      <w:r>
        <w:rPr>
          <w:rFonts w:ascii="仿宋_GB2312" w:eastAsia="仿宋_GB2312" w:cs="仿宋_GB2312" w:hAnsi="Calibri"/>
          <w:kern w:val="2"/>
          <w:sz w:val="32"/>
          <w:szCs w:val="32"/>
          <w:lang w:eastAsia="zh-CN" w:bidi="ar-SA"/>
        </w:rPr>
        <w:t>初步调整方案</w:t>
      </w:r>
      <w:r>
        <w:rPr>
          <w:rFonts w:ascii="仿宋_GB2312" w:eastAsia="仿宋_GB2312" w:cs="仿宋_GB2312" w:hAnsi="Calibri"/>
          <w:color w:val="000000"/>
          <w:kern w:val="2"/>
          <w:sz w:val="32"/>
          <w:szCs w:val="32"/>
          <w:lang w:val="en-US" w:eastAsia="zh-CN" w:bidi="ar-SA"/>
        </w:rPr>
        <w:t>。</w:t>
      </w:r>
      <w:r>
        <w:rPr>
          <w:rFonts w:ascii="楷体_GB2312" w:eastAsia="楷体_GB2312" w:cs="楷体_GB2312" w:hAnsi="Calibri"/>
          <w:b w:val="0"/>
          <w:kern w:val="2"/>
          <w:sz w:val="32"/>
          <w:szCs w:val="32"/>
          <w:lang w:val="en-US" w:eastAsia="zh-CN" w:bidi="ar-SA"/>
        </w:rPr>
        <w:t>三是</w:t>
      </w:r>
      <w:r>
        <w:rPr>
          <w:rFonts w:ascii="楷体_GB2312" w:eastAsia="楷体_GB2312" w:cs="楷体_GB2312" w:hAnsi="Calibri" w:hint="eastAsia"/>
          <w:b w:val="0"/>
          <w:kern w:val="2"/>
          <w:sz w:val="32"/>
          <w:szCs w:val="32"/>
          <w:lang w:val="en-US" w:eastAsia="zh-CN" w:bidi="ar-SA"/>
        </w:rPr>
        <w:t>征求意见</w:t>
      </w:r>
      <w:r>
        <w:rPr>
          <w:rFonts w:ascii="楷体_GB2312" w:eastAsia="楷体_GB2312" w:cs="楷体_GB2312" w:hAnsi="Calibri"/>
          <w:b w:val="0"/>
          <w:kern w:val="2"/>
          <w:sz w:val="32"/>
          <w:szCs w:val="32"/>
          <w:lang w:val="en-US" w:eastAsia="zh-CN" w:bidi="ar-SA"/>
        </w:rPr>
        <w:t>。</w:t>
      </w:r>
      <w:r>
        <w:rPr>
          <w:rFonts w:ascii="仿宋_GB2312" w:eastAsia="仿宋_GB2312" w:cs="仿宋_GB2312" w:hAnsi="Calibri" w:hint="eastAsia"/>
          <w:kern w:val="2"/>
          <w:sz w:val="32"/>
          <w:szCs w:val="32"/>
          <w:lang w:val="en-US" w:eastAsia="zh-CN" w:bidi="ar-SA"/>
        </w:rPr>
        <w:t>202</w:t>
      </w:r>
      <w:r>
        <w:rPr>
          <w:rFonts w:ascii="仿宋_GB2312" w:eastAsia="仿宋_GB2312" w:cs="仿宋_GB2312" w:hAnsi="Calibri"/>
          <w:kern w:val="2"/>
          <w:sz w:val="32"/>
          <w:szCs w:val="32"/>
          <w:lang w:val="en-US" w:eastAsia="zh-CN" w:bidi="ar-SA"/>
        </w:rPr>
        <w:t>4</w:t>
      </w:r>
      <w:r>
        <w:rPr>
          <w:rFonts w:ascii="仿宋_GB2312" w:eastAsia="仿宋_GB2312" w:cs="仿宋_GB2312" w:hAnsi="Calibri" w:hint="eastAsia"/>
          <w:kern w:val="2"/>
          <w:sz w:val="32"/>
          <w:szCs w:val="32"/>
          <w:lang w:val="en-US" w:eastAsia="zh-CN" w:bidi="ar-SA"/>
        </w:rPr>
        <w:t>年</w:t>
      </w:r>
      <w:r>
        <w:rPr>
          <w:rFonts w:ascii="仿宋_GB2312" w:eastAsia="仿宋_GB2312" w:cs="仿宋_GB2312"/>
          <w:kern w:val="2"/>
          <w:sz w:val="32"/>
          <w:szCs w:val="32"/>
          <w:lang w:val="en-US" w:eastAsia="zh-CN" w:bidi="ar-SA"/>
        </w:rPr>
        <w:t>3月</w:t>
      </w:r>
      <w:r>
        <w:rPr>
          <w:rFonts w:ascii="仿宋_GB2312" w:eastAsia="仿宋_GB2312" w:cs="仿宋_GB2312" w:hint="eastAsia"/>
          <w:kern w:val="2"/>
          <w:sz w:val="32"/>
          <w:szCs w:val="32"/>
          <w:lang w:val="en-US" w:eastAsia="zh-CN" w:bidi="ar-SA"/>
        </w:rPr>
        <w:t>多次</w:t>
      </w:r>
      <w:r>
        <w:rPr>
          <w:rFonts w:ascii="仿宋_GB2312" w:eastAsia="仿宋_GB2312" w:cs="仿宋_GB2312" w:hAnsi="Calibri" w:hint="eastAsia"/>
          <w:kern w:val="2"/>
          <w:sz w:val="32"/>
          <w:szCs w:val="32"/>
          <w:lang w:val="en-US" w:eastAsia="zh-CN" w:bidi="ar-SA"/>
        </w:rPr>
        <w:t>征求财政、税务</w:t>
      </w:r>
      <w:r>
        <w:rPr>
          <w:rFonts w:ascii="仿宋_GB2312" w:eastAsia="仿宋_GB2312" w:cs="仿宋_GB2312" w:hAnsi="Calibri"/>
          <w:kern w:val="2"/>
          <w:sz w:val="32"/>
          <w:szCs w:val="32"/>
          <w:lang w:eastAsia="zh-CN" w:bidi="ar-SA"/>
        </w:rPr>
        <w:t>等</w:t>
      </w:r>
      <w:r>
        <w:rPr>
          <w:rFonts w:ascii="仿宋_GB2312" w:eastAsia="仿宋_GB2312" w:cs="仿宋_GB2312" w:hAnsi="Calibri" w:hint="eastAsia"/>
          <w:kern w:val="2"/>
          <w:sz w:val="32"/>
          <w:szCs w:val="32"/>
          <w:lang w:val="en-US" w:eastAsia="zh-CN" w:bidi="ar-SA"/>
        </w:rPr>
        <w:t>部门意见；202</w:t>
      </w:r>
      <w:r>
        <w:rPr>
          <w:rFonts w:ascii="仿宋_GB2312" w:eastAsia="仿宋_GB2312" w:cs="仿宋_GB2312" w:hint="eastAsia"/>
          <w:kern w:val="2"/>
          <w:sz w:val="32"/>
          <w:szCs w:val="32"/>
          <w:lang w:val="en-US" w:eastAsia="zh-CN" w:bidi="ar-SA"/>
        </w:rPr>
        <w:t>4</w:t>
      </w:r>
      <w:r>
        <w:rPr>
          <w:rFonts w:ascii="仿宋_GB2312" w:eastAsia="仿宋_GB2312" w:cs="仿宋_GB2312" w:hAnsi="Calibri" w:hint="eastAsia"/>
          <w:kern w:val="2"/>
          <w:sz w:val="32"/>
          <w:szCs w:val="32"/>
          <w:lang w:val="en-US" w:eastAsia="zh-CN" w:bidi="ar-SA"/>
        </w:rPr>
        <w:t>年</w:t>
      </w:r>
      <w:r>
        <w:rPr>
          <w:rFonts w:ascii="仿宋_GB2312" w:eastAsia="仿宋_GB2312" w:cs="仿宋_GB2312"/>
          <w:kern w:val="2"/>
          <w:sz w:val="32"/>
          <w:szCs w:val="32"/>
          <w:lang w:val="en-US" w:eastAsia="zh-CN" w:bidi="ar-SA"/>
        </w:rPr>
        <w:t>4</w:t>
      </w:r>
      <w:r>
        <w:rPr>
          <w:rFonts w:ascii="仿宋_GB2312" w:eastAsia="仿宋_GB2312" w:cs="仿宋_GB2312" w:hAnsi="Calibri" w:hint="eastAsia"/>
          <w:kern w:val="2"/>
          <w:sz w:val="32"/>
          <w:szCs w:val="32"/>
          <w:lang w:val="en-US" w:eastAsia="zh-CN" w:bidi="ar-SA"/>
        </w:rPr>
        <w:t>月</w:t>
      </w:r>
      <w:r>
        <w:rPr>
          <w:rFonts w:ascii="仿宋_GB2312" w:eastAsia="仿宋_GB2312" w:cs="仿宋_GB2312"/>
          <w:kern w:val="2"/>
          <w:sz w:val="32"/>
          <w:szCs w:val="32"/>
          <w:lang w:val="en-US" w:eastAsia="zh-CN" w:bidi="ar-SA"/>
        </w:rPr>
        <w:t>9</w:t>
      </w:r>
      <w:r>
        <w:rPr>
          <w:rFonts w:ascii="仿宋_GB2312" w:eastAsia="仿宋_GB2312" w:cs="仿宋_GB2312" w:hAnsi="Calibri" w:hint="eastAsia"/>
          <w:kern w:val="2"/>
          <w:sz w:val="32"/>
          <w:szCs w:val="32"/>
          <w:lang w:val="en-US" w:eastAsia="zh-CN" w:bidi="ar-SA"/>
        </w:rPr>
        <w:t>日至</w:t>
      </w:r>
      <w:r>
        <w:rPr>
          <w:rFonts w:ascii="仿宋_GB2312" w:eastAsia="仿宋_GB2312" w:cs="仿宋_GB2312"/>
          <w:kern w:val="2"/>
          <w:sz w:val="32"/>
          <w:szCs w:val="32"/>
          <w:lang w:val="en-US" w:eastAsia="zh-CN" w:bidi="ar-SA"/>
        </w:rPr>
        <w:t>4</w:t>
      </w:r>
      <w:r>
        <w:rPr>
          <w:rFonts w:ascii="仿宋_GB2312" w:eastAsia="仿宋_GB2312" w:cs="仿宋_GB2312" w:hAnsi="Calibri" w:hint="eastAsia"/>
          <w:kern w:val="2"/>
          <w:sz w:val="32"/>
          <w:szCs w:val="32"/>
          <w:lang w:val="en-US" w:eastAsia="zh-CN" w:bidi="ar-SA"/>
        </w:rPr>
        <w:t>月</w:t>
      </w:r>
      <w:r>
        <w:rPr>
          <w:rFonts w:ascii="仿宋_GB2312" w:eastAsia="仿宋_GB2312" w:cs="仿宋_GB2312"/>
          <w:kern w:val="2"/>
          <w:sz w:val="32"/>
          <w:szCs w:val="32"/>
          <w:lang w:val="en-US" w:eastAsia="zh-CN" w:bidi="ar-SA"/>
        </w:rPr>
        <w:t>17</w:t>
      </w:r>
      <w:r>
        <w:rPr>
          <w:rFonts w:ascii="仿宋_GB2312" w:eastAsia="仿宋_GB2312" w:cs="仿宋_GB2312" w:hAnsi="Calibri" w:hint="eastAsia"/>
          <w:kern w:val="2"/>
          <w:sz w:val="32"/>
          <w:szCs w:val="32"/>
          <w:lang w:val="en-US" w:eastAsia="zh-CN" w:bidi="ar-SA"/>
        </w:rPr>
        <w:t>日</w:t>
      </w:r>
      <w:r>
        <w:rPr>
          <w:rFonts w:ascii="仿宋_GB2312" w:eastAsia="仿宋_GB2312" w:cs="仿宋_GB2312" w:hAnsi="Calibri"/>
          <w:kern w:val="2"/>
          <w:sz w:val="32"/>
          <w:szCs w:val="32"/>
          <w:lang w:val="en-US" w:eastAsia="zh-CN" w:bidi="ar-SA"/>
        </w:rPr>
        <w:t>在</w:t>
      </w:r>
      <w:r>
        <w:rPr>
          <w:rFonts w:ascii="仿宋_GB2312" w:eastAsia="仿宋_GB2312" w:cs="仿宋_GB2312" w:hAnsi="Calibri"/>
          <w:kern w:val="2"/>
          <w:sz w:val="32"/>
          <w:szCs w:val="32"/>
          <w:lang w:val="en-US" w:eastAsia="zh-CN" w:bidi="ar-SA"/>
        </w:rPr>
        <w:t>市政府网站</w:t>
      </w:r>
      <w:r>
        <w:rPr>
          <w:rFonts w:ascii="仿宋_GB2312" w:eastAsia="仿宋_GB2312" w:cs="仿宋_GB2312" w:hAnsi="Calibri"/>
          <w:kern w:val="2"/>
          <w:sz w:val="32"/>
          <w:szCs w:val="32"/>
          <w:lang w:val="en-US" w:eastAsia="zh-CN" w:bidi="ar-SA"/>
        </w:rPr>
        <w:t>公开征求意见。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outlineLvl w:val="9"/>
        <w:rPr>
          <w:rFonts w:ascii="黑体" w:eastAsia="黑体" w:cs="黑体" w:hAnsi="黑体"/>
          <w:kern w:val="0"/>
          <w:sz w:val="32"/>
          <w:szCs w:val="32"/>
          <w:lang w:val="en-US" w:eastAsia="zh-CN" w:bidi="ar-SA"/>
        </w:rPr>
      </w:pPr>
      <w:r>
        <w:rPr>
          <w:rFonts w:ascii="黑体" w:eastAsia="黑体" w:cs="黑体" w:hAnsi="黑体" w:hint="eastAsia"/>
          <w:kern w:val="0"/>
          <w:sz w:val="32"/>
          <w:szCs w:val="32"/>
          <w:lang w:val="en-US" w:eastAsia="zh-CN" w:bidi="ar-SA"/>
        </w:rPr>
        <w:t>三、主要内容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Chars="200" w:firstLine="640"/>
        <w:jc w:val="both"/>
        <w:textAlignment w:val="auto"/>
        <w:outlineLvl w:val="9"/>
        <w:rPr>
          <w:rFonts w:ascii="仿宋_GB2312" w:eastAsia="仿宋_GB2312" w:cs="仿宋_GB2312" w:hAnsi="Calibri" w:hint="eastAsia"/>
          <w:kern w:val="2"/>
          <w:sz w:val="32"/>
          <w:szCs w:val="32"/>
          <w:lang w:val="en-US" w:eastAsia="zh-CN" w:bidi="ar-SA"/>
        </w:rPr>
      </w:pPr>
      <w:r>
        <w:rPr>
          <w:rFonts w:ascii="仿宋_GB2312" w:eastAsia="仿宋_GB2312" w:cs="仿宋_GB2312" w:hAnsi="Calibri" w:hint="eastAsia"/>
          <w:kern w:val="2"/>
          <w:sz w:val="32"/>
          <w:szCs w:val="32"/>
          <w:lang w:val="en-US" w:eastAsia="zh-CN" w:bidi="ar-SA"/>
        </w:rPr>
        <w:t>主要分为</w:t>
      </w:r>
      <w:r>
        <w:rPr>
          <w:rFonts w:ascii="仿宋_GB2312" w:eastAsia="仿宋_GB2312" w:cs="仿宋_GB2312"/>
          <w:kern w:val="2"/>
          <w:sz w:val="32"/>
          <w:szCs w:val="32"/>
          <w:lang w:eastAsia="zh-CN" w:bidi="ar-SA"/>
        </w:rPr>
        <w:t>五</w:t>
      </w:r>
      <w:r>
        <w:rPr>
          <w:rFonts w:ascii="仿宋_GB2312" w:eastAsia="仿宋_GB2312" w:cs="仿宋_GB2312" w:hAnsi="Calibri" w:hint="eastAsia"/>
          <w:kern w:val="2"/>
          <w:sz w:val="32"/>
          <w:szCs w:val="32"/>
          <w:lang w:val="en-US" w:eastAsia="zh-CN" w:bidi="ar-SA"/>
        </w:rPr>
        <w:t>个方面内容：</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Chars="200" w:firstLine="640"/>
        <w:jc w:val="both"/>
        <w:textAlignment w:val="auto"/>
        <w:outlineLvl w:val="9"/>
        <w:rPr>
          <w:rFonts w:ascii="仿宋_GB2312" w:eastAsia="仿宋_GB2312" w:cs="仿宋_GB2312" w:hAnsi="Calibri" w:hint="eastAsia"/>
          <w:kern w:val="2"/>
          <w:sz w:val="32"/>
          <w:szCs w:val="32"/>
          <w:lang w:val="en-US" w:eastAsia="zh-CN" w:bidi="ar-SA"/>
        </w:rPr>
      </w:pPr>
      <w:r>
        <w:rPr>
          <w:rFonts w:ascii="楷体" w:eastAsia="楷体" w:cs="楷体" w:hAnsi="楷体" w:hint="eastAsia"/>
          <w:kern w:val="2"/>
          <w:sz w:val="32"/>
          <w:szCs w:val="32"/>
          <w:lang w:val="en-US" w:eastAsia="zh-CN" w:bidi="ar-SA"/>
        </w:rPr>
        <w:t>第一部分：缴费档次。</w:t>
      </w:r>
      <w:r>
        <w:rPr>
          <w:rFonts w:ascii="仿宋_GB2312" w:eastAsia="仿宋_GB2312" w:cs="仿宋_GB2312" w:hAnsi="Calibri" w:hint="eastAsia"/>
          <w:kern w:val="2"/>
          <w:sz w:val="32"/>
          <w:szCs w:val="32"/>
          <w:lang w:val="en-US" w:eastAsia="zh-CN" w:bidi="ar-SA"/>
        </w:rPr>
        <w:t>从2024年1月1日起，</w:t>
      </w:r>
      <w:r>
        <w:rPr>
          <w:rFonts w:ascii="仿宋_GB2312" w:eastAsia="仿宋_GB2312" w:cs="仿宋_GB2312" w:hAnsi="Calibri"/>
          <w:kern w:val="2"/>
          <w:sz w:val="32"/>
          <w:szCs w:val="32"/>
          <w:lang w:val="en-US" w:eastAsia="zh-CN" w:bidi="ar-SA"/>
        </w:rPr>
        <w:t>乐清</w:t>
      </w:r>
      <w:r>
        <w:rPr>
          <w:rFonts w:ascii="仿宋_GB2312" w:eastAsia="仿宋_GB2312" w:cs="仿宋_GB2312" w:hAnsi="仿宋_GB2312"/>
          <w:sz w:val="32"/>
          <w:szCs w:val="32"/>
          <w:lang w:val="en-US" w:eastAsia="zh-CN"/>
        </w:rPr>
        <w:t>市</w:t>
      </w:r>
      <w:r>
        <w:rPr>
          <w:rFonts w:ascii="仿宋_GB2312" w:eastAsia="仿宋_GB2312" w:cs="仿宋_GB2312" w:hAnsi="仿宋_GB2312" w:hint="eastAsia"/>
          <w:sz w:val="32"/>
          <w:szCs w:val="32"/>
          <w:lang w:val="en-US" w:eastAsia="zh-CN"/>
        </w:rPr>
        <w:t>城乡居民基本养老保险个人缴费档次调整为</w:t>
      </w:r>
      <w:r>
        <w:rPr>
          <w:rFonts w:ascii="仿宋_GB2312" w:eastAsia="仿宋_GB2312" w:cs="仿宋_GB2312" w:hAnsi="仿宋_GB2312"/>
          <w:sz w:val="32"/>
          <w:szCs w:val="32"/>
          <w:lang w:val="en-US" w:eastAsia="zh-CN"/>
        </w:rPr>
        <w:t>8</w:t>
      </w:r>
      <w:r>
        <w:rPr>
          <w:rFonts w:ascii="仿宋_GB2312" w:eastAsia="仿宋_GB2312" w:cs="仿宋_GB2312" w:hAnsi="仿宋_GB2312" w:hint="eastAsia"/>
          <w:sz w:val="32"/>
          <w:szCs w:val="32"/>
          <w:lang w:val="en-US" w:eastAsia="zh-CN"/>
        </w:rPr>
        <w:t>档，分别为：每年</w:t>
      </w:r>
      <w:r>
        <w:rPr>
          <w:rFonts w:ascii="仿宋_GB2312" w:eastAsia="仿宋_GB2312" w:cs="仿宋_GB2312" w:hAnsi="仿宋_GB2312"/>
          <w:sz w:val="32"/>
          <w:szCs w:val="32"/>
          <w:lang w:val="en-US" w:eastAsia="zh-CN"/>
        </w:rPr>
        <w:t>200元、</w:t>
      </w:r>
      <w:r>
        <w:rPr>
          <w:rFonts w:ascii="仿宋_GB2312" w:eastAsia="仿宋_GB2312" w:cs="仿宋_GB2312" w:hAnsi="仿宋_GB2312" w:hint="eastAsia"/>
          <w:sz w:val="32"/>
          <w:szCs w:val="32"/>
          <w:lang w:val="en-US" w:eastAsia="zh-CN"/>
        </w:rPr>
        <w:t>300元、500元、1000元、2000元、3000元、5000元、7000元，其中</w:t>
      </w:r>
      <w:r>
        <w:rPr>
          <w:rFonts w:ascii="仿宋_GB2312" w:eastAsia="仿宋_GB2312" w:cs="仿宋_GB2312" w:hAnsi="仿宋_GB2312"/>
          <w:sz w:val="32"/>
          <w:szCs w:val="32"/>
          <w:lang w:val="en-US" w:eastAsia="zh-CN"/>
        </w:rPr>
        <w:t>200元档次限</w:t>
      </w:r>
      <w:r>
        <w:rPr>
          <w:rFonts w:ascii="仿宋_GB2312" w:eastAsia="仿宋_GB2312" w:cs="仿宋_GB2312" w:hAnsi="仿宋_GB2312" w:hint="eastAsia"/>
          <w:sz w:val="32"/>
          <w:szCs w:val="32"/>
          <w:lang w:val="en-US" w:eastAsia="zh-CN"/>
        </w:rPr>
        <w:t>低保对象、特困人员、残疾人、低保边缘户等困难群体参保，其个人缴费按</w:t>
      </w:r>
      <w:r>
        <w:rPr>
          <w:rFonts w:ascii="仿宋_GB2312" w:eastAsia="仿宋_GB2312" w:cs="仿宋_GB2312" w:hAnsi="仿宋_GB2312"/>
          <w:sz w:val="32"/>
          <w:szCs w:val="32"/>
          <w:lang w:val="en-US" w:eastAsia="zh-CN"/>
        </w:rPr>
        <w:t>最低档次</w:t>
      </w:r>
      <w:r>
        <w:rPr>
          <w:rFonts w:ascii="仿宋_GB2312" w:eastAsia="仿宋_GB2312" w:cs="仿宋_GB2312" w:hAnsi="仿宋_GB2312" w:hint="eastAsia"/>
          <w:sz w:val="32"/>
          <w:szCs w:val="32"/>
          <w:lang w:val="en-US" w:eastAsia="zh-CN"/>
        </w:rPr>
        <w:t>缴费标准由财政全额代缴。</w:t>
      </w:r>
      <w:r>
        <w:rPr>
          <w:rFonts w:ascii="仿宋_GB2312" w:eastAsia="仿宋_GB2312" w:cs="仿宋_GB2312" w:hAnsi="Calibri" w:hint="eastAsia"/>
          <w:kern w:val="2"/>
          <w:sz w:val="32"/>
          <w:szCs w:val="32"/>
          <w:lang w:val="en-US" w:eastAsia="zh-CN" w:bidi="ar-SA"/>
        </w:rPr>
        <w:t>参保人应逐年缴费，累计缴费不足15年允许补缴的，补缴最高缴费档次不超过每年5000元。</w:t>
      </w:r>
    </w:p>
    <w:p>
      <w:pPr>
        <w:pStyle w:val="30"/>
        <w:keepNext w:val="0"/>
        <w:keepLines w:val="0"/>
        <w:pageBreakBefore w:val="0"/>
        <w:widowControl w:val="0"/>
        <w:suppressAutoHyphens/>
        <w:kinsoku/>
        <w:wordWrap/>
        <w:overflowPunct/>
        <w:topLinePunct w:val="0"/>
        <w:autoSpaceDE/>
        <w:autoSpaceDN/>
        <w:bidi w:val="0"/>
        <w:adjustRightInd/>
        <w:snapToGrid w:val="0"/>
        <w:spacing w:line="560" w:lineRule="exact"/>
        <w:ind w:firstLineChars="200" w:firstLine="640"/>
        <w:textAlignment w:val="auto"/>
        <w:rPr>
          <w:rFonts w:ascii="Times New Roman" w:eastAsia="仿宋_GB2312" w:cs="Times New Roman" w:hAnsi="Times New Roman" w:hint="eastAsia"/>
          <w:color w:val="auto"/>
          <w:kern w:val="2"/>
          <w:sz w:val="32"/>
          <w:szCs w:val="32"/>
          <w:lang w:val="en-US" w:eastAsia="zh-CN" w:bidi="ar-SA"/>
        </w:rPr>
      </w:pPr>
      <w:r>
        <w:rPr>
          <w:rFonts w:ascii="Times New Roman" w:eastAsia="仿宋_GB2312" w:cs="Times New Roman" w:hAnsi="Times New Roman"/>
          <w:color w:val="auto"/>
          <w:kern w:val="2"/>
          <w:sz w:val="32"/>
          <w:szCs w:val="32"/>
          <w:lang w:val="en-US" w:eastAsia="zh-CN" w:bidi="ar-SA"/>
        </w:rPr>
        <w:t>我市</w:t>
      </w:r>
      <w:r>
        <w:rPr>
          <w:rFonts w:ascii="Times New Roman" w:eastAsia="仿宋_GB2312" w:cs="Times New Roman" w:hAnsi="Times New Roman" w:hint="eastAsia"/>
          <w:color w:val="auto"/>
          <w:kern w:val="2"/>
          <w:sz w:val="32"/>
          <w:szCs w:val="32"/>
          <w:lang w:val="en-US" w:eastAsia="zh-CN" w:bidi="ar-SA"/>
        </w:rPr>
        <w:t>各参保人员可根据自身需要，按新的缴费档次向参保地税务部门申报缴纳2024年度城乡居民基本养老保险费。但对于之前已选择按原800元档次、原1500元档次或原2500元档次缴费的参保人员，如未申报变更缴费档次的，由税务部门和人社部门根据就高就近原则，分别将其暂按1000元、2000元、3000元档次核定2024年度城乡居民基本养老保险应缴金额。</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Chars="200" w:firstLine="640"/>
        <w:jc w:val="both"/>
        <w:textAlignment w:val="auto"/>
        <w:outlineLvl w:val="9"/>
        <w:rPr>
          <w:rFonts w:ascii="仿宋_GB2312" w:eastAsia="仿宋_GB2312" w:cs="仿宋_GB2312" w:hAnsi="Calibri"/>
          <w:kern w:val="2"/>
          <w:sz w:val="32"/>
          <w:szCs w:val="32"/>
          <w:lang w:val="en-US" w:eastAsia="zh-CN" w:bidi="ar-SA"/>
        </w:rPr>
      </w:pPr>
      <w:r>
        <w:rPr>
          <w:rFonts w:ascii="楷体" w:eastAsia="楷体" w:cs="楷体" w:hAnsi="楷体" w:hint="eastAsia"/>
          <w:kern w:val="2"/>
          <w:sz w:val="32"/>
          <w:szCs w:val="32"/>
          <w:lang w:val="en-US" w:eastAsia="zh-CN" w:bidi="ar-SA"/>
        </w:rPr>
        <w:t>第二部分：缴费补贴。</w:t>
      </w:r>
      <w:r>
        <w:rPr>
          <w:rFonts w:ascii="仿宋_GB2312" w:eastAsia="仿宋_GB2312" w:cs="仿宋_GB2312" w:hAnsi="仿宋_GB2312" w:hint="eastAsia"/>
          <w:sz w:val="32"/>
          <w:szCs w:val="32"/>
          <w:lang w:val="en-US" w:eastAsia="zh-CN"/>
        </w:rPr>
        <w:t>从2024年1月1日起，</w:t>
      </w:r>
      <w:r>
        <w:rPr>
          <w:rFonts w:ascii="仿宋_GB2312" w:eastAsia="仿宋_GB2312" w:cs="仿宋_GB2312" w:hAnsi="仿宋_GB2312"/>
          <w:sz w:val="32"/>
          <w:szCs w:val="32"/>
          <w:lang w:val="en-US" w:eastAsia="zh-CN"/>
        </w:rPr>
        <w:t>我市</w:t>
      </w:r>
      <w:r>
        <w:rPr>
          <w:rFonts w:ascii="仿宋_GB2312" w:eastAsia="仿宋_GB2312" w:cs="仿宋_GB2312" w:hAnsi="仿宋_GB2312" w:hint="eastAsia"/>
          <w:sz w:val="32"/>
          <w:szCs w:val="32"/>
          <w:lang w:val="en-US" w:eastAsia="zh-CN"/>
        </w:rPr>
        <w:t>城乡居民基本养老保险个人缴费档次政府补贴标准调整为：按每年</w:t>
      </w:r>
      <w:r>
        <w:rPr>
          <w:rFonts w:ascii="仿宋_GB2312" w:eastAsia="仿宋_GB2312" w:cs="仿宋_GB2312" w:hAnsi="仿宋_GB2312"/>
          <w:sz w:val="32"/>
          <w:szCs w:val="32"/>
          <w:lang w:val="en-US" w:eastAsia="zh-CN"/>
        </w:rPr>
        <w:t>2</w:t>
      </w:r>
      <w:r>
        <w:rPr>
          <w:rFonts w:ascii="仿宋_GB2312" w:eastAsia="仿宋_GB2312" w:cs="仿宋_GB2312" w:hAnsi="仿宋_GB2312" w:hint="eastAsia"/>
          <w:sz w:val="32"/>
          <w:szCs w:val="32"/>
          <w:lang w:val="en-US" w:eastAsia="zh-CN"/>
        </w:rPr>
        <w:t>00元档次缴费的，每人每年给予</w:t>
      </w:r>
      <w:r>
        <w:rPr>
          <w:rFonts w:ascii="仿宋_GB2312" w:eastAsia="仿宋_GB2312" w:cs="仿宋_GB2312" w:hAnsi="仿宋_GB2312"/>
          <w:sz w:val="32"/>
          <w:szCs w:val="32"/>
          <w:lang w:val="en-US" w:eastAsia="zh-CN"/>
        </w:rPr>
        <w:t>3</w:t>
      </w:r>
      <w:r>
        <w:rPr>
          <w:rFonts w:ascii="仿宋_GB2312" w:eastAsia="仿宋_GB2312" w:cs="仿宋_GB2312" w:hAnsi="仿宋_GB2312" w:hint="eastAsia"/>
          <w:sz w:val="32"/>
          <w:szCs w:val="32"/>
          <w:lang w:val="en-US" w:eastAsia="zh-CN"/>
        </w:rPr>
        <w:t>0元补贴；按每年300元档次缴费的，每人每年给予50元补贴；按每年500元档次缴费的，每人每年给予80元补贴；按每年1000元档次缴费的，每人每年给予120元补贴；按每年2000元档次缴费的，每人每年给予200元补贴；按每年3000元档次缴费的，每人每年给予300元补贴；按每年5000元档次缴费的，每人每年给予400元补贴；按每年7000元档次缴费的，每人每年给予500元补贴</w:t>
      </w:r>
      <w:r>
        <w:rPr>
          <w:rFonts w:ascii="仿宋_GB2312" w:eastAsia="仿宋_GB2312" w:cs="仿宋_GB2312" w:hAnsi="仿宋_GB2312"/>
          <w:sz w:val="32"/>
          <w:szCs w:val="32"/>
          <w:lang w:val="en-US" w:eastAsia="zh-CN"/>
        </w:rPr>
        <w:t>。</w:t>
      </w:r>
      <w:r>
        <w:rPr>
          <w:rFonts w:ascii="仿宋_GB2312" w:eastAsia="仿宋_GB2312" w:cs="仿宋_GB2312" w:hAnsi="仿宋_GB2312" w:hint="eastAsia"/>
          <w:sz w:val="32"/>
          <w:szCs w:val="32"/>
          <w:lang w:val="en-US" w:eastAsia="zh-CN"/>
        </w:rPr>
        <w:t>供</w:t>
      </w:r>
      <w:r>
        <w:rPr>
          <w:rFonts w:ascii="仿宋_GB2312" w:eastAsia="仿宋_GB2312" w:cs="仿宋_GB2312" w:hAnsi="仿宋_GB2312"/>
          <w:sz w:val="32"/>
          <w:szCs w:val="32"/>
          <w:lang w:val="en-US" w:eastAsia="zh-CN"/>
        </w:rPr>
        <w:t>我市</w:t>
      </w:r>
      <w:r>
        <w:rPr>
          <w:rFonts w:ascii="仿宋_GB2312" w:eastAsia="仿宋_GB2312" w:cs="仿宋_GB2312" w:hAnsi="仿宋_GB2312" w:hint="eastAsia"/>
          <w:sz w:val="32"/>
          <w:szCs w:val="32"/>
          <w:lang w:val="en-US" w:eastAsia="zh-CN"/>
        </w:rPr>
        <w:t>被征地农民选择的“增设档次”的缴费补贴调整为与上述最高缴费档次的补贴一致</w:t>
      </w:r>
      <w:r>
        <w:rPr>
          <w:rFonts w:ascii="仿宋_GB2312" w:eastAsia="仿宋_GB2312" w:cs="仿宋_GB2312" w:hAnsi="Calibri"/>
          <w:kern w:val="2"/>
          <w:sz w:val="32"/>
          <w:szCs w:val="32"/>
          <w:lang w:val="en-US" w:eastAsia="zh-CN" w:bidi="ar-SA"/>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Chars="200" w:firstLine="640"/>
        <w:jc w:val="both"/>
        <w:textAlignment w:val="auto"/>
        <w:outlineLvl w:val="9"/>
        <w:rPr>
          <w:rFonts w:ascii="仿宋_GB2312" w:eastAsia="仿宋_GB2312" w:cs="仿宋_GB2312" w:hAnsi="Calibri" w:hint="eastAsia"/>
          <w:kern w:val="2"/>
          <w:sz w:val="32"/>
          <w:szCs w:val="32"/>
          <w:lang w:val="en-US" w:eastAsia="zh-CN" w:bidi="ar-SA"/>
        </w:rPr>
      </w:pPr>
      <w:r>
        <w:rPr>
          <w:rFonts w:ascii="楷体" w:eastAsia="楷体" w:cs="楷体" w:hAnsi="楷体" w:hint="eastAsia"/>
          <w:kern w:val="2"/>
          <w:sz w:val="32"/>
          <w:szCs w:val="32"/>
          <w:lang w:val="en-US" w:eastAsia="zh-CN" w:bidi="ar-SA"/>
        </w:rPr>
        <w:t>第三部分：缴费方式。</w:t>
      </w:r>
      <w:r>
        <w:rPr>
          <w:rFonts w:ascii="仿宋_GB2312" w:eastAsia="仿宋_GB2312" w:cs="仿宋_GB2312" w:hAnsi="Calibri" w:hint="eastAsia"/>
          <w:kern w:val="2"/>
          <w:sz w:val="32"/>
          <w:szCs w:val="32"/>
          <w:lang w:val="en-US" w:eastAsia="zh-CN" w:bidi="ar-SA"/>
        </w:rPr>
        <w:t>在一个缴费年度内，参保人</w:t>
      </w:r>
      <w:r>
        <w:rPr>
          <w:rFonts w:ascii="仿宋_GB2312" w:eastAsia="仿宋_GB2312" w:cs="仿宋_GB2312" w:hAnsi="Calibri"/>
          <w:kern w:val="2"/>
          <w:sz w:val="32"/>
          <w:szCs w:val="32"/>
          <w:lang w:val="en-US" w:eastAsia="zh-CN" w:bidi="ar-SA"/>
        </w:rPr>
        <w:t>可以变更一次</w:t>
      </w:r>
      <w:r>
        <w:rPr>
          <w:rFonts w:ascii="仿宋_GB2312" w:eastAsia="仿宋_GB2312" w:cs="仿宋_GB2312" w:hAnsi="Calibri" w:hint="eastAsia"/>
          <w:kern w:val="2"/>
          <w:sz w:val="32"/>
          <w:szCs w:val="32"/>
          <w:lang w:val="en-US" w:eastAsia="zh-CN" w:bidi="ar-SA"/>
        </w:rPr>
        <w:t>当年度</w:t>
      </w:r>
      <w:r>
        <w:rPr>
          <w:rFonts w:ascii="仿宋_GB2312" w:eastAsia="仿宋_GB2312" w:cs="仿宋_GB2312" w:hAnsi="Calibri"/>
          <w:kern w:val="2"/>
          <w:sz w:val="32"/>
          <w:szCs w:val="32"/>
          <w:lang w:val="en-US" w:eastAsia="zh-CN" w:bidi="ar-SA"/>
        </w:rPr>
        <w:t>缴费档次</w:t>
      </w:r>
      <w:r>
        <w:rPr>
          <w:rFonts w:ascii="仿宋_GB2312" w:eastAsia="仿宋_GB2312" w:cs="仿宋_GB2312" w:hAnsi="Calibri" w:hint="eastAsia"/>
          <w:kern w:val="2"/>
          <w:sz w:val="32"/>
          <w:szCs w:val="32"/>
          <w:lang w:val="en-US" w:eastAsia="zh-CN" w:bidi="ar-SA"/>
        </w:rPr>
        <w:t>。鼓励参保人选择</w:t>
      </w:r>
      <w:r>
        <w:rPr>
          <w:rFonts w:ascii="仿宋_GB2312" w:eastAsia="仿宋_GB2312" w:cs="仿宋_GB2312" w:hAnsi="Calibri"/>
          <w:kern w:val="2"/>
          <w:sz w:val="32"/>
          <w:szCs w:val="32"/>
          <w:lang w:val="en-US" w:eastAsia="zh-CN" w:bidi="ar-SA"/>
        </w:rPr>
        <w:t>更高档次缴费</w:t>
      </w:r>
      <w:r>
        <w:rPr>
          <w:rFonts w:ascii="仿宋_GB2312" w:eastAsia="仿宋_GB2312" w:cs="仿宋_GB2312" w:hAnsi="Calibri" w:hint="eastAsia"/>
          <w:kern w:val="2"/>
          <w:sz w:val="32"/>
          <w:szCs w:val="32"/>
          <w:lang w:val="en-US" w:eastAsia="zh-CN" w:bidi="ar-SA"/>
        </w:rPr>
        <w:t>，档次变更的缴费补贴差额一并补足</w:t>
      </w:r>
      <w:r>
        <w:rPr>
          <w:rFonts w:ascii="仿宋_GB2312" w:eastAsia="仿宋_GB2312" w:cs="仿宋_GB2312" w:hAnsi="Calibri"/>
          <w:kern w:val="2"/>
          <w:sz w:val="32"/>
          <w:szCs w:val="32"/>
          <w:lang w:val="en-US" w:eastAsia="zh-CN" w:bidi="ar-SA"/>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Chars="200" w:firstLine="640"/>
        <w:jc w:val="both"/>
        <w:textAlignment w:val="auto"/>
        <w:outlineLvl w:val="9"/>
        <w:rPr>
          <w:rFonts w:ascii="仿宋_GB2312" w:eastAsia="仿宋_GB2312" w:cs="仿宋_GB2312" w:hAnsi="Calibri" w:hint="eastAsia"/>
          <w:kern w:val="2"/>
          <w:sz w:val="32"/>
          <w:szCs w:val="32"/>
          <w:lang w:val="en-US" w:eastAsia="zh-CN" w:bidi="ar-SA"/>
        </w:rPr>
      </w:pPr>
      <w:r>
        <w:rPr>
          <w:rFonts w:ascii="楷体" w:eastAsia="楷体" w:cs="楷体" w:hAnsi="楷体" w:hint="eastAsia"/>
          <w:kern w:val="2"/>
          <w:sz w:val="32"/>
          <w:szCs w:val="32"/>
          <w:lang w:val="en-US" w:eastAsia="zh-CN" w:bidi="ar-SA"/>
        </w:rPr>
        <w:t>第四部分：筹资试点。</w:t>
      </w:r>
      <w:r>
        <w:rPr>
          <w:rFonts w:ascii="仿宋_GB2312" w:eastAsia="仿宋_GB2312" w:cs="仿宋_GB2312" w:hAnsi="Calibri" w:hint="eastAsia"/>
          <w:kern w:val="2"/>
          <w:sz w:val="32"/>
          <w:szCs w:val="32"/>
          <w:lang w:val="en-US" w:eastAsia="zh-CN" w:bidi="ar-SA"/>
        </w:rPr>
        <w:t>鼓励有条件的地区探索开展村集体经济组织补助、公益慈善组织等资助参保人缴费试点，进一步拓展城乡居民基本养老保险筹资渠道，增加个人账户积累。</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Chars="200" w:firstLine="640"/>
        <w:jc w:val="both"/>
        <w:rPr>
          <w:rFonts w:ascii="仿宋_GB2312" w:eastAsia="仿宋_GB2312" w:cs="仿宋_GB2312" w:hAnsi="Calibri"/>
          <w:kern w:val="2"/>
          <w:sz w:val="32"/>
          <w:szCs w:val="32"/>
        </w:rPr>
      </w:pPr>
      <w:r>
        <w:rPr>
          <w:rFonts w:ascii="楷体" w:eastAsia="楷体" w:cs="楷体" w:hAnsi="楷体"/>
          <w:kern w:val="2"/>
          <w:sz w:val="32"/>
          <w:szCs w:val="32"/>
          <w:lang w:val="en-US" w:eastAsia="zh-CN" w:bidi="ar-SA"/>
        </w:rPr>
        <w:t>第五部分：工作要求。</w:t>
      </w:r>
      <w:r>
        <w:rPr>
          <w:rFonts w:ascii="仿宋_GB2312" w:eastAsia="仿宋_GB2312" w:cs="仿宋_GB2312" w:hAnsi="Calibri"/>
          <w:kern w:val="2"/>
          <w:sz w:val="32"/>
          <w:szCs w:val="32"/>
          <w:lang w:val="en-US" w:eastAsia="zh-CN" w:bidi="ar-SA"/>
        </w:rPr>
        <w:t>加强组织领导，强化部门协同，</w:t>
      </w:r>
      <w:r>
        <w:rPr>
          <w:rFonts w:ascii="仿宋_GB2312" w:eastAsia="仿宋_GB2312" w:cs="仿宋_GB2312" w:hAnsi="Times New Roman"/>
          <w:kern w:val="2"/>
          <w:sz w:val="32"/>
          <w:szCs w:val="32"/>
          <w:lang w:val="en-US" w:eastAsia="zh-CN" w:bidi="ar-SA"/>
        </w:rPr>
        <w:t>全面精准宣传城乡居民基本养老保险政策，</w:t>
      </w:r>
      <w:r>
        <w:rPr>
          <w:rFonts w:ascii="仿宋_GB2312" w:eastAsia="仿宋_GB2312" w:cs="仿宋_GB2312" w:hAnsi="Calibri"/>
          <w:kern w:val="2"/>
          <w:sz w:val="32"/>
          <w:szCs w:val="32"/>
          <w:lang w:val="en-US" w:eastAsia="zh-CN" w:bidi="ar-SA"/>
        </w:rPr>
        <w:t>扎实做好缴费档次、缴费补贴标准、困难群体代缴标准调整等各项工作。</w:t>
      </w:r>
    </w:p>
    <w:p>
      <w:pPr>
        <w:pStyle w:val="30"/>
        <w:rPr>
          <w:rFonts w:hint="eastAsia"/>
          <w:lang w:val="en-US" w:eastAsia="zh-CN"/>
        </w:rPr>
      </w:pPr>
    </w:p>
    <w:p>
      <w:pPr>
        <w:pStyle w:val="29"/>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outlineLvl w:val="9"/>
        <w:rPr>
          <w:rFonts w:ascii="Times New Roman" w:eastAsia="仿宋_GB2312" w:hAnsi="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Chars="900" w:firstLine="2880"/>
        <w:jc w:val="both"/>
        <w:textAlignment w:val="auto"/>
        <w:outlineLvl w:val="9"/>
        <w:rPr>
          <w:rFonts w:ascii="仿宋_GB2312" w:eastAsia="仿宋_GB2312" w:cs="仿宋_GB2312" w:hAnsi="仿宋_GB2312" w:hint="eastAsia"/>
          <w:color w:val="000000"/>
          <w:kern w:val="2"/>
          <w:sz w:val="32"/>
          <w:szCs w:val="32"/>
          <w:u w:val="none"/>
          <w:lang w:val="en-US" w:eastAsia="zh-CN" w:bidi="ar-SA"/>
        </w:rPr>
      </w:pPr>
      <w:r>
        <w:rPr>
          <w:rFonts w:ascii="仿宋_GB2312" w:eastAsia="仿宋_GB2312" w:cs="仿宋_GB2312" w:hAnsi="仿宋_GB2312"/>
          <w:color w:val="000000"/>
          <w:kern w:val="2"/>
          <w:sz w:val="32"/>
          <w:szCs w:val="32"/>
          <w:u w:val="none"/>
          <w:lang w:val="en-US" w:eastAsia="zh-CN" w:bidi="ar-SA"/>
        </w:rPr>
        <w:t>乐清</w:t>
      </w:r>
      <w:r>
        <w:rPr>
          <w:rFonts w:ascii="仿宋_GB2312" w:eastAsia="仿宋_GB2312" w:cs="仿宋_GB2312" w:hAnsi="仿宋_GB2312" w:hint="eastAsia"/>
          <w:color w:val="000000"/>
          <w:kern w:val="2"/>
          <w:sz w:val="32"/>
          <w:szCs w:val="32"/>
          <w:u w:val="none"/>
          <w:lang w:val="en-US" w:eastAsia="zh-CN" w:bidi="ar-SA"/>
        </w:rPr>
        <w:t>市人力资源和社会保障局</w:t>
      </w:r>
    </w:p>
    <w:p>
      <w:pPr>
        <w:keepNext w:val="0"/>
        <w:keepLines w:val="0"/>
        <w:pageBreakBefore w:val="0"/>
        <w:widowControl w:val="0"/>
        <w:kinsoku/>
        <w:wordWrap/>
        <w:overflowPunct/>
        <w:topLinePunct w:val="0"/>
        <w:autoSpaceDE/>
        <w:autoSpaceDN/>
        <w:bidi w:val="0"/>
        <w:spacing w:line="560" w:lineRule="exact"/>
        <w:ind w:firstLineChars="1100" w:firstLine="3520"/>
        <w:jc w:val="both"/>
        <w:textAlignment w:val="auto"/>
        <w:outlineLvl w:val="9"/>
        <w:rPr>
          <w:rFonts w:ascii="仿宋_GB2312" w:eastAsia="仿宋_GB2312" w:cs="仿宋_GB2312" w:hAnsi="仿宋_GB2312"/>
          <w:color w:val="000000"/>
          <w:kern w:val="2"/>
          <w:sz w:val="32"/>
          <w:szCs w:val="32"/>
          <w:u w:val="none"/>
          <w:lang w:val="en-US" w:eastAsia="zh-CN" w:bidi="ar-SA"/>
        </w:rPr>
      </w:pPr>
      <w:r>
        <w:rPr>
          <w:rFonts w:ascii="仿宋_GB2312" w:eastAsia="仿宋_GB2312" w:cs="仿宋_GB2312" w:hAnsi="仿宋_GB2312" w:hint="eastAsia"/>
          <w:color w:val="000000"/>
          <w:kern w:val="2"/>
          <w:sz w:val="32"/>
          <w:szCs w:val="32"/>
          <w:u w:val="none"/>
          <w:lang w:val="en-US" w:eastAsia="zh-CN" w:bidi="ar-SA"/>
        </w:rPr>
        <w:t>2024年</w:t>
      </w:r>
      <w:r>
        <w:rPr>
          <w:rFonts w:ascii="仿宋_GB2312" w:eastAsia="仿宋_GB2312" w:cs="仿宋_GB2312" w:hAnsi="仿宋_GB2312"/>
          <w:color w:val="000000"/>
          <w:kern w:val="2"/>
          <w:sz w:val="32"/>
          <w:szCs w:val="32"/>
          <w:u w:val="none"/>
          <w:lang w:val="en-US" w:eastAsia="zh-CN" w:bidi="ar-SA"/>
        </w:rPr>
        <w:t>4</w:t>
      </w:r>
      <w:r>
        <w:rPr>
          <w:rFonts w:ascii="仿宋_GB2312" w:eastAsia="仿宋_GB2312" w:cs="仿宋_GB2312" w:hAnsi="仿宋_GB2312" w:hint="eastAsia"/>
          <w:color w:val="000000"/>
          <w:kern w:val="2"/>
          <w:sz w:val="32"/>
          <w:szCs w:val="32"/>
          <w:u w:val="none"/>
          <w:lang w:val="en-US" w:eastAsia="zh-CN" w:bidi="ar-SA"/>
        </w:rPr>
        <w:t>月</w:t>
      </w:r>
      <w:r>
        <w:rPr>
          <w:rFonts w:ascii="仿宋_GB2312" w:eastAsia="仿宋_GB2312" w:cs="仿宋_GB2312" w:hAnsi="仿宋_GB2312"/>
          <w:color w:val="000000"/>
          <w:kern w:val="2"/>
          <w:sz w:val="32"/>
          <w:szCs w:val="32"/>
          <w:u w:val="none"/>
          <w:lang w:val="en-US" w:eastAsia="zh-CN" w:bidi="ar-SA"/>
        </w:rPr>
        <w:t>8</w:t>
      </w:r>
      <w:r>
        <w:rPr>
          <w:rFonts w:ascii="仿宋_GB2312" w:eastAsia="仿宋_GB2312" w:cs="仿宋_GB2312" w:hAnsi="仿宋_GB2312" w:hint="eastAsia"/>
          <w:color w:val="000000"/>
          <w:kern w:val="2"/>
          <w:sz w:val="32"/>
          <w:szCs w:val="32"/>
          <w:u w:val="none"/>
          <w:lang w:val="en-US" w:eastAsia="zh-CN" w:bidi="ar-SA"/>
        </w:rPr>
        <w:t>日</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宋体"/>
    <w:panose1 w:val="02010601030101010101"/>
    <w:charset w:val="00"/>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Calibri">
    <w:altName w:val="Arial"/>
    <w:panose1 w:val="020F0502020204030204"/>
    <w:charset w:val="00"/>
    <w:family w:val="swiss"/>
    <w:pitch w:val="variable"/>
    <w:sig w:usb0="00000000" w:usb1="00000000" w:usb2="00000001" w:usb3="00000000" w:csb0="0000019F" w:csb1="00000000"/>
  </w:font>
  <w:font w:name="楷体_GB2312">
    <w:altName w:val="楷体"/>
    <w:panose1 w:val="00000000000000000000"/>
    <w:charset w:val="00"/>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6">
    <w:name w:val="toc 7"/>
    <w:basedOn w:val="0"/>
    <w:autoRedefine/>
    <w:next w:val="0"/>
    <w:pPr>
      <w:ind w:left="2520"/>
    </w:pPr>
  </w:style>
  <w:style w:type="paragraph" w:styleId="29">
    <w:name w:val="Normal Indent"/>
    <w:basedOn w:val="0"/>
    <w:next w:val="24"/>
    <w:pPr>
      <w:widowControl w:val="0"/>
      <w:spacing w:line="240" w:lineRule="auto"/>
      <w:ind w:firstLineChars="200" w:firstLine="200"/>
      <w:jc w:val="both"/>
      <w:textAlignment w:val="auto"/>
    </w:pPr>
    <w:rPr>
      <w:rFonts w:ascii="Times New Roman" w:eastAsia="宋体" w:cs="Times New Roman" w:hAnsi="Times New Roman"/>
      <w:kern w:val="2"/>
      <w:sz w:val="21"/>
      <w:szCs w:val="24"/>
      <w:u w:val="none"/>
      <w:lang w:val="en-US" w:eastAsia="zh-CN" w:bidi="ar-SA"/>
    </w:rPr>
  </w:style>
  <w:style w:type="paragraph" w:styleId="30">
    <w:name w:val="footnote text"/>
    <w:basedOn w:val="0"/>
    <w:next w:val="20"/>
    <w:pPr>
      <w:widowControl w:val="0"/>
      <w:suppressAutoHyphens/>
      <w:bidi w:val="0"/>
      <w:snapToGrid w:val="0"/>
      <w:jc w:val="left"/>
    </w:pPr>
    <w:rPr>
      <w:rFonts w:ascii="Times New Roman" w:eastAsia="宋体" w:cs="Times New Roman" w:hAnsi="Times New Roman"/>
      <w:color w:val="auto"/>
      <w:kern w:val="2"/>
      <w:sz w:val="18"/>
      <w:szCs w:val="18"/>
      <w:lang w:val="en-US" w:eastAsia="zh-CN" w:bidi="ar-SA"/>
    </w:rPr>
  </w:style>
  <w:style w:type="paragraph" w:styleId="33">
    <w:name w:val="footer"/>
    <w:basedOn w:val="0"/>
    <w:next w:val="28"/>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customStyle="1" w:styleId="133">
    <w:name w:val="p0"/>
    <w:basedOn w:val="0"/>
    <w:pPr>
      <w:widowControl/>
      <w:jc w:val="both"/>
    </w:pPr>
    <w:rPr>
      <w:rFonts w:ascii="Calibri" w:eastAsia="宋体" w:cs="Times New Roman" w:hAnsi="Calibri"/>
      <w:kern w:val="0"/>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DA80B95-9CE6-4D1B-A973-B62E42BDE1C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Yozo_Office27021597764231179</Application>
  <Pages>3</Pages>
  <Words>0</Words>
  <Characters>1218</Characters>
  <Lines>0</Lines>
  <Paragraphs>20</Paragraphs>
  <CharactersWithSpaces>1624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2024-04-08T07:15:39Z</dcterms:created>
  <dcterms:modified xsi:type="dcterms:W3CDTF">2024-04-08T07:34:17Z</dcterms:modified>
</cp:coreProperties>
</file>