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0E30F">
      <w:pPr>
        <w:numPr>
          <w:ilvl w:val="0"/>
          <w:numId w:val="0"/>
        </w:numPr>
        <w:jc w:val="cente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岱山县2024年城镇基准地价更新草案解读</w:t>
      </w:r>
    </w:p>
    <w:p w14:paraId="5E2F95ED">
      <w:pPr>
        <w:numPr>
          <w:ilvl w:val="0"/>
          <w:numId w:val="0"/>
        </w:numPr>
        <w:ind w:firstLine="562"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一、政策出台背景</w:t>
      </w:r>
    </w:p>
    <w:p w14:paraId="253F6CBC">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按照《自然资源部办公厅关于做好2022年度自然资源评价评估工作的通知》（自然资办发〔2022〕13号）、《浙江省自然资源厅关于做好2022年度自然资源评价评估工作的通知》（浙自然资厅函〔2022〕897号）等文件要求，各地要根据城乡公示地价体系建设的相关要求，做好城乡公示地价体系建设，地方要按照要素市场化配置改革要求，建立城乡基准地价、标定地价与市场价格挂钩的动态调整机制，积极开展实践探索，完善政府公示地价制定、更新、发布、调整制度。</w:t>
      </w:r>
    </w:p>
    <w:p w14:paraId="77DA5F79">
      <w:pPr>
        <w:numPr>
          <w:ilvl w:val="0"/>
          <w:numId w:val="0"/>
        </w:numPr>
        <w:ind w:firstLine="562"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二、制定依据</w:t>
      </w:r>
    </w:p>
    <w:p w14:paraId="21FC87D9">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（一）《国土资源部办公厅关于实施&lt;城镇土地分等定级规程&gt;和&lt;城镇土地估价规程&gt;有关问题的通知》(国土资厅发[2015]12号)</w:t>
      </w:r>
    </w:p>
    <w:p w14:paraId="7A6B3AAB">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（二）《浙江省国土资源厅办公室转发国土资源部办公厅关于实施&lt;城镇土地分等定级规程&gt;和&lt;城镇土地估价规程&gt;有关问题的通知》(浙土资办[2015]40号)</w:t>
      </w:r>
    </w:p>
    <w:p w14:paraId="706F91E9">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kern w:val="2"/>
          <w:sz w:val="28"/>
          <w:szCs w:val="36"/>
          <w:lang w:val="en-US" w:eastAsia="zh-CN" w:bidi="ar-SA"/>
        </w:rPr>
        <w:t>（三）</w:t>
      </w:r>
      <w:r>
        <w:rPr>
          <w:rFonts w:hint="eastAsia" w:ascii="宋体" w:hAnsi="宋体" w:eastAsia="宋体" w:cs="宋体"/>
          <w:sz w:val="28"/>
          <w:szCs w:val="36"/>
          <w:lang w:val="en-US" w:eastAsia="zh-CN"/>
        </w:rPr>
        <w:t>《自然资源部办公厅关于做好2022年度自然资源评价评估工作的通知》（自然资办发〔2022〕13号）</w:t>
      </w:r>
    </w:p>
    <w:p w14:paraId="043BEF4A">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kern w:val="2"/>
          <w:sz w:val="28"/>
          <w:szCs w:val="36"/>
          <w:lang w:val="en-US" w:eastAsia="zh-CN" w:bidi="ar-SA"/>
        </w:rPr>
        <w:t>（四）</w:t>
      </w:r>
      <w:r>
        <w:rPr>
          <w:rFonts w:hint="eastAsia" w:ascii="宋体" w:hAnsi="宋体" w:eastAsia="宋体" w:cs="宋体"/>
          <w:sz w:val="28"/>
          <w:szCs w:val="36"/>
          <w:lang w:val="en-US" w:eastAsia="zh-CN"/>
        </w:rPr>
        <w:t>《浙江省自然资源厅关于做好2022年度自然资源评价评估工作的通知》（浙自然资厅函〔2022〕897号）</w:t>
      </w:r>
    </w:p>
    <w:p w14:paraId="30930AA6">
      <w:pPr>
        <w:numPr>
          <w:ilvl w:val="0"/>
          <w:numId w:val="0"/>
        </w:numPr>
        <w:ind w:firstLine="562" w:firstLineChars="200"/>
        <w:rPr>
          <w:rFonts w:hint="eastAsia" w:ascii="宋体" w:hAnsi="宋体" w:eastAsia="宋体" w:cs="宋体"/>
          <w:b/>
          <w:bCs/>
          <w:sz w:val="28"/>
          <w:szCs w:val="36"/>
          <w:lang w:val="en-US" w:eastAsia="zh-CN"/>
        </w:rPr>
      </w:pPr>
      <w:r>
        <w:rPr>
          <w:rFonts w:hint="eastAsia" w:ascii="宋体" w:hAnsi="宋体" w:eastAsia="宋体" w:cs="宋体"/>
          <w:b/>
          <w:bCs/>
          <w:kern w:val="2"/>
          <w:sz w:val="28"/>
          <w:szCs w:val="36"/>
          <w:lang w:val="en-US" w:eastAsia="zh-CN" w:bidi="ar-SA"/>
        </w:rPr>
        <w:t>二、</w:t>
      </w:r>
      <w:r>
        <w:rPr>
          <w:rFonts w:hint="eastAsia" w:ascii="宋体" w:hAnsi="宋体" w:eastAsia="宋体" w:cs="宋体"/>
          <w:b/>
          <w:bCs/>
          <w:sz w:val="28"/>
          <w:szCs w:val="36"/>
          <w:lang w:val="en-US" w:eastAsia="zh-CN"/>
        </w:rPr>
        <w:t>适用范围</w:t>
      </w:r>
    </w:p>
    <w:p w14:paraId="3819A0BB">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岱山县行政区范围内的所有国有建设用地，即高亭镇、东沙镇、岱西镇、岱东镇、长涂镇、秀山乡和衢山镇等7个乡镇范围内的所有国有建设用地。</w:t>
      </w:r>
    </w:p>
    <w:p w14:paraId="051145D0">
      <w:pPr>
        <w:numPr>
          <w:ilvl w:val="0"/>
          <w:numId w:val="0"/>
        </w:numPr>
        <w:ind w:firstLine="562"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三、主要内容</w:t>
      </w:r>
    </w:p>
    <w:p w14:paraId="54A46FC1">
      <w:pPr>
        <w:numPr>
          <w:ilvl w:val="0"/>
          <w:numId w:val="0"/>
        </w:numPr>
        <w:ind w:firstLine="560" w:firstLineChars="200"/>
        <w:rPr>
          <w:rFonts w:hint="eastAsia" w:ascii="宋体" w:hAnsi="宋体" w:eastAsia="宋体" w:cs="宋体"/>
          <w:sz w:val="28"/>
          <w:szCs w:val="36"/>
          <w:lang w:val="en-US" w:eastAsia="zh-CN"/>
        </w:rPr>
      </w:pPr>
      <w:bookmarkStart w:id="0" w:name="_Toc27856"/>
      <w:bookmarkStart w:id="1" w:name="_Toc3168"/>
      <w:bookmarkStart w:id="2" w:name="_Toc30370"/>
      <w:bookmarkStart w:id="3" w:name="_Toc276641661"/>
      <w:bookmarkStart w:id="4" w:name="_Toc29622"/>
      <w:r>
        <w:rPr>
          <w:rFonts w:hint="eastAsia" w:ascii="宋体" w:hAnsi="宋体" w:eastAsia="宋体" w:cs="宋体"/>
          <w:sz w:val="28"/>
          <w:szCs w:val="36"/>
          <w:lang w:val="en-US" w:eastAsia="zh-CN"/>
        </w:rPr>
        <w:t>（一）更新范围</w:t>
      </w:r>
      <w:bookmarkEnd w:id="0"/>
      <w:bookmarkEnd w:id="1"/>
      <w:bookmarkEnd w:id="2"/>
      <w:bookmarkEnd w:id="3"/>
      <w:bookmarkEnd w:id="4"/>
      <w:bookmarkStart w:id="5" w:name="_Toc19835"/>
      <w:bookmarkStart w:id="6" w:name="_Toc276641662"/>
      <w:bookmarkStart w:id="7" w:name="_Toc15665"/>
      <w:bookmarkStart w:id="8" w:name="_Toc2499"/>
      <w:r>
        <w:rPr>
          <w:rFonts w:hint="eastAsia" w:ascii="宋体" w:hAnsi="宋体" w:eastAsia="宋体" w:cs="宋体"/>
          <w:sz w:val="28"/>
          <w:szCs w:val="36"/>
          <w:lang w:val="en-US" w:eastAsia="zh-CN"/>
        </w:rPr>
        <w:t>和更新期日</w:t>
      </w:r>
    </w:p>
    <w:p w14:paraId="7344F179">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本次评估范围为岱山县行政区划内的全域陆地，与上轮相比没有变化。更新期日为2024年6月1日。</w:t>
      </w:r>
    </w:p>
    <w:p w14:paraId="74F98724">
      <w:pPr>
        <w:numPr>
          <w:ilvl w:val="0"/>
          <w:numId w:val="0"/>
        </w:numPr>
        <w:ind w:firstLine="560" w:firstLineChars="200"/>
        <w:rPr>
          <w:rFonts w:hint="eastAsia" w:ascii="宋体" w:hAnsi="宋体" w:eastAsia="宋体" w:cs="宋体"/>
          <w:sz w:val="28"/>
          <w:szCs w:val="36"/>
          <w:lang w:val="en-US" w:eastAsia="zh-CN"/>
        </w:rPr>
      </w:pPr>
      <w:bookmarkStart w:id="9" w:name="_Toc32591"/>
      <w:r>
        <w:rPr>
          <w:rFonts w:hint="eastAsia" w:ascii="宋体" w:hAnsi="宋体" w:eastAsia="宋体" w:cs="宋体"/>
          <w:sz w:val="28"/>
          <w:szCs w:val="36"/>
          <w:lang w:val="en-US" w:eastAsia="zh-CN"/>
        </w:rPr>
        <w:t>（二）关于基准地价内涵及基准条件界定的变化</w:t>
      </w:r>
      <w:bookmarkEnd w:id="5"/>
      <w:bookmarkEnd w:id="6"/>
      <w:bookmarkEnd w:id="7"/>
      <w:bookmarkEnd w:id="8"/>
      <w:bookmarkEnd w:id="9"/>
    </w:p>
    <w:p w14:paraId="13690BFB">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根据国家有关规定及《关于进一步规范浙江省基准地价更新管理的实施意见》（浙土资办〔2014〕107号）的要求，结合岱山县土地市场的实际，本轮城镇基准地价更新确定的地价内涵与原基准地价保持一致。基准地价“基准条件”界定中，工矿用地、仓储用地基准容积率由1.0改为1.5。</w:t>
      </w:r>
    </w:p>
    <w:p w14:paraId="04EFCCC0">
      <w:pPr>
        <w:numPr>
          <w:ilvl w:val="0"/>
          <w:numId w:val="0"/>
        </w:numPr>
        <w:ind w:firstLine="560" w:firstLineChars="200"/>
        <w:rPr>
          <w:rFonts w:hint="eastAsia" w:ascii="宋体" w:hAnsi="宋体" w:eastAsia="宋体" w:cs="宋体"/>
          <w:sz w:val="28"/>
          <w:szCs w:val="36"/>
          <w:lang w:val="en-US" w:eastAsia="zh-CN"/>
        </w:rPr>
      </w:pPr>
      <w:bookmarkStart w:id="10" w:name="_Toc6837"/>
      <w:bookmarkStart w:id="11" w:name="_Toc16878"/>
      <w:r>
        <w:rPr>
          <w:rFonts w:hint="eastAsia" w:ascii="宋体" w:hAnsi="宋体" w:eastAsia="宋体" w:cs="宋体"/>
          <w:sz w:val="28"/>
          <w:szCs w:val="36"/>
          <w:lang w:val="en-US" w:eastAsia="zh-CN"/>
        </w:rPr>
        <w:t>（三）关于基准地价体系的变化</w:t>
      </w:r>
      <w:bookmarkEnd w:id="10"/>
      <w:bookmarkEnd w:id="11"/>
    </w:p>
    <w:p w14:paraId="467E4F61">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按照《国土空间调查、规划、用途管制用地用海分类指南》（2023年11月22日印发）土地分类要求，将上轮的商住工三大类体系扩增为七类体系：商服、居住、工矿、仓储、公共管理与公共服务、交通运输、公用设施用地级别价体系，并根据该分类要求做了各类用途的细分价格体系；对应的修正体系也进一步细化；新增了国有建设用地租赁制基准年租金标准体系。</w:t>
      </w:r>
    </w:p>
    <w:p w14:paraId="3A3F4E02">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（四）关于土地级别变化情况分析</w:t>
      </w:r>
    </w:p>
    <w:p w14:paraId="01DF98E4">
      <w:pPr>
        <w:numPr>
          <w:ilvl w:val="0"/>
          <w:numId w:val="0"/>
        </w:numPr>
        <w:ind w:firstLine="560" w:firstLineChars="200"/>
        <w:rPr>
          <w:rFonts w:hint="eastAsia" w:ascii="宋体" w:hAnsi="宋体" w:eastAsia="宋体" w:cs="宋体"/>
          <w:sz w:val="28"/>
          <w:szCs w:val="36"/>
          <w:lang w:val="en-US" w:eastAsia="zh-CN"/>
        </w:rPr>
      </w:pPr>
      <w:bookmarkStart w:id="12" w:name="_Toc15459"/>
      <w:r>
        <w:rPr>
          <w:rFonts w:hint="eastAsia" w:ascii="宋体" w:hAnsi="宋体" w:eastAsia="宋体" w:cs="宋体"/>
          <w:sz w:val="28"/>
          <w:szCs w:val="36"/>
          <w:lang w:val="en-US" w:eastAsia="zh-CN"/>
        </w:rPr>
        <w:t>1、本岛级别范围变化情况</w:t>
      </w:r>
      <w:bookmarkEnd w:id="12"/>
    </w:p>
    <w:p w14:paraId="32340345">
      <w:pPr>
        <w:numPr>
          <w:ilvl w:val="0"/>
          <w:numId w:val="0"/>
        </w:numPr>
        <w:ind w:firstLine="560" w:firstLineChars="200"/>
        <w:rPr>
          <w:rFonts w:hint="eastAsia" w:ascii="宋体" w:hAnsi="宋体" w:eastAsia="宋体" w:cs="宋体"/>
          <w:sz w:val="28"/>
          <w:szCs w:val="36"/>
          <w:lang w:val="en-US" w:eastAsia="zh-CN"/>
        </w:rPr>
      </w:pPr>
      <w:bookmarkStart w:id="13" w:name="_Toc22023"/>
      <w:r>
        <w:rPr>
          <w:rFonts w:hint="eastAsia" w:ascii="宋体" w:hAnsi="宋体" w:eastAsia="宋体" w:cs="宋体"/>
          <w:sz w:val="28"/>
          <w:szCs w:val="36"/>
          <w:lang w:val="en-US" w:eastAsia="zh-CN"/>
        </w:rPr>
        <w:t>整体无变化，局部有调整。其中将钓海路、长剑大道、星河路、鱼山大道所围合区域商服级别提升为1级地；因东沙工业区规划范围调整扩大，东沙商服、居住、工矿仓储级别范围也同步调整扩大。</w:t>
      </w:r>
    </w:p>
    <w:p w14:paraId="274314B5">
      <w:pPr>
        <w:numPr>
          <w:ilvl w:val="0"/>
          <w:numId w:val="0"/>
        </w:numPr>
        <w:ind w:firstLine="560" w:firstLineChars="200"/>
        <w:rPr>
          <w:rFonts w:hint="eastAsia" w:ascii="宋体" w:hAnsi="宋体" w:eastAsia="宋体" w:cs="宋体"/>
          <w:sz w:val="28"/>
          <w:szCs w:val="36"/>
          <w:lang w:val="en-US" w:eastAsia="zh-CN"/>
        </w:rPr>
      </w:pPr>
      <w:bookmarkStart w:id="14" w:name="_Toc7123"/>
      <w:r>
        <w:rPr>
          <w:rFonts w:hint="eastAsia" w:ascii="宋体" w:hAnsi="宋体" w:eastAsia="宋体" w:cs="宋体"/>
          <w:sz w:val="28"/>
          <w:szCs w:val="36"/>
          <w:lang w:val="en-US" w:eastAsia="zh-CN"/>
        </w:rPr>
        <w:t>2、其他乡镇级别范围变化情况</w:t>
      </w:r>
      <w:bookmarkEnd w:id="13"/>
      <w:bookmarkEnd w:id="14"/>
    </w:p>
    <w:p w14:paraId="56261EF2">
      <w:pPr>
        <w:numPr>
          <w:ilvl w:val="0"/>
          <w:numId w:val="0"/>
        </w:numPr>
        <w:ind w:firstLine="560" w:firstLineChars="200"/>
        <w:rPr>
          <w:rFonts w:hint="eastAsia" w:ascii="宋体" w:hAnsi="宋体" w:eastAsia="宋体" w:cs="宋体"/>
          <w:sz w:val="28"/>
          <w:szCs w:val="36"/>
          <w:lang w:val="en-US" w:eastAsia="zh-CN"/>
        </w:rPr>
      </w:pPr>
      <w:bookmarkStart w:id="15" w:name="_Toc20395"/>
      <w:bookmarkStart w:id="16" w:name="_Toc27627"/>
      <w:bookmarkStart w:id="17" w:name="_Toc259268725"/>
      <w:bookmarkStart w:id="18" w:name="_Toc18962"/>
      <w:bookmarkStart w:id="19" w:name="_Toc260825571"/>
      <w:bookmarkStart w:id="20" w:name="_Toc276641665"/>
      <w:r>
        <w:rPr>
          <w:rFonts w:hint="eastAsia" w:ascii="宋体" w:hAnsi="宋体" w:eastAsia="宋体" w:cs="宋体"/>
          <w:sz w:val="28"/>
          <w:szCs w:val="36"/>
          <w:lang w:val="en-US" w:eastAsia="zh-CN"/>
        </w:rPr>
        <w:t>商服、居住：整体无变化，局部有调整，衢山镇1级范围稍有扩大，具体位于游泳池及周边地块区域；长涂镇1级范围稍有缩小，具体位于小长涂东北片区域，近期没有开发规划；秀山乡1级范围稍有扩大，具体位于秀山三礁小学地块区域。</w:t>
      </w:r>
    </w:p>
    <w:p w14:paraId="2BF4733C">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工矿、仓储：衢山镇中心渔港原3级地上调为2级，原2级地（小衢山岛、黄泽山岛、鼠浪湖岛和六条溪规划自贸区范围）调成3级但价格不变，南部工业区按开发边界相连合并为4级；秀山乡红岩新中耀地块1级区域有所增大；长涂镇工矿、仓储用地级别范围无变化。</w:t>
      </w:r>
    </w:p>
    <w:bookmarkEnd w:id="15"/>
    <w:p w14:paraId="6B8CCB5E">
      <w:pPr>
        <w:numPr>
          <w:ilvl w:val="0"/>
          <w:numId w:val="0"/>
        </w:numPr>
        <w:ind w:firstLine="560" w:firstLineChars="200"/>
        <w:rPr>
          <w:rFonts w:hint="eastAsia" w:ascii="宋体" w:hAnsi="宋体" w:eastAsia="宋体" w:cs="宋体"/>
          <w:sz w:val="28"/>
          <w:szCs w:val="36"/>
          <w:lang w:val="en-US" w:eastAsia="zh-CN"/>
        </w:rPr>
      </w:pPr>
      <w:bookmarkStart w:id="21" w:name="_Toc4274"/>
      <w:bookmarkStart w:id="22" w:name="_Toc27903"/>
      <w:r>
        <w:rPr>
          <w:rFonts w:hint="eastAsia" w:ascii="宋体" w:hAnsi="宋体" w:eastAsia="宋体" w:cs="宋体"/>
          <w:sz w:val="28"/>
          <w:szCs w:val="36"/>
          <w:lang w:val="en-US" w:eastAsia="zh-CN"/>
        </w:rPr>
        <w:t>（五</w:t>
      </w:r>
      <w:bookmarkStart w:id="23" w:name="_GoBack"/>
      <w:bookmarkEnd w:id="23"/>
      <w:r>
        <w:rPr>
          <w:rFonts w:hint="eastAsia" w:ascii="宋体" w:hAnsi="宋体" w:eastAsia="宋体" w:cs="宋体"/>
          <w:sz w:val="28"/>
          <w:szCs w:val="36"/>
          <w:lang w:val="en-US" w:eastAsia="zh-CN"/>
        </w:rPr>
        <w:t>）关于地价水平变化情况分析</w:t>
      </w:r>
      <w:bookmarkEnd w:id="16"/>
      <w:bookmarkEnd w:id="17"/>
      <w:bookmarkEnd w:id="18"/>
      <w:bookmarkEnd w:id="19"/>
      <w:bookmarkEnd w:id="20"/>
      <w:bookmarkEnd w:id="21"/>
      <w:bookmarkEnd w:id="22"/>
    </w:p>
    <w:p w14:paraId="63CC0D81">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从基准地价水平变化看，本轮城镇基准地价更新各用途基准地价与上轮相比较有一定变化。</w:t>
      </w:r>
    </w:p>
    <w:p w14:paraId="754A0088">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商服用地级别数量没有变化。商服用地价格整体仅有微涨，除本岛5级以外，涨幅均在2%以内。本岛商服5级上调幅度较大，主要是综合考虑平衡级别价差规律所致，但仍控制在20%以内。</w:t>
      </w:r>
    </w:p>
    <w:p w14:paraId="43585A26">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居住用地级别数量也没有变化。居住用地价格有所下降，下降幅度在5%左右，主要是2020-2022年疫情的影响、整体经济环境不佳、居住房地产热度基本退去等多种因素导致，但本岛居住5级上调幅度较大，主要是综合考虑平衡级别价差规律所致，但仍控制在20%以内。</w:t>
      </w:r>
    </w:p>
    <w:p w14:paraId="22376A27">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工矿、仓储用地级别数量也没有变化，大多数级别价格均无变化，变化部分为：本岛2级价格下调7.5%；衢山中心渔港原3级地上调为2级；衢山3级地为原2级（小衢山岛、黄泽山岛、鼠浪湖岛和六条溪规划自贸区范围），价格无调整。</w:t>
      </w:r>
    </w:p>
    <w:p w14:paraId="2DB21B2A">
      <w:pPr>
        <w:numPr>
          <w:ilvl w:val="0"/>
          <w:numId w:val="0"/>
        </w:numPr>
        <w:ind w:firstLine="562"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四、实际应用</w:t>
      </w:r>
    </w:p>
    <w:p w14:paraId="1280CD1A">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城镇</w:t>
      </w:r>
      <w:r>
        <w:rPr>
          <w:rFonts w:hint="default" w:ascii="宋体" w:hAnsi="宋体" w:eastAsia="宋体" w:cs="宋体"/>
          <w:sz w:val="28"/>
          <w:szCs w:val="36"/>
          <w:lang w:val="en-US" w:eastAsia="zh-CN"/>
        </w:rPr>
        <w:t>基准地价作为政府指导性价格，是政府管理和宏观调控土地市场的基本手段，也是日常宗地地价评估的重要依据。本次更新得到的基准地价成果具有显示和指导作用，能反映土地在利用过程中所能产生的各类经济利益，同时也以价格标准显示城市土地质量的优越程度，能为政府运用价格手段宏观调控土地市场，制定土地使用权出让金提供依据。</w:t>
      </w:r>
    </w:p>
    <w:p w14:paraId="4BB66867">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同时，为便于政府统一管理，岱山县自然资源和规划局对岱山县内的已建成房屋涉及的城镇住宅用地制定划拨土地补缴地价款的实施标准。本次住宅国有划拨用地补缴地价款实施标准测算范围覆盖岱山县高亭镇、衢山镇所辖的陆地部分。适用于岱山县域内原属国有划拨性质的个人商品房、房改房、公有住房（含集资建房）、经济适用房、拆迁安置套房等各类套房、个人私宅（包括平房、联排房、单家独院式房屋等）涉及房地产转让的应补办土地出让手续的情况。</w:t>
      </w:r>
    </w:p>
    <w:p w14:paraId="776D2B3B">
      <w:pPr>
        <w:numPr>
          <w:ilvl w:val="0"/>
          <w:numId w:val="0"/>
        </w:numPr>
        <w:ind w:firstLine="562" w:firstLineChars="200"/>
        <w:rPr>
          <w:rFonts w:hint="eastAsia" w:ascii="宋体" w:hAnsi="宋体" w:eastAsia="宋体" w:cs="宋体"/>
          <w:b/>
          <w:bCs/>
          <w:sz w:val="28"/>
          <w:szCs w:val="36"/>
          <w:lang w:val="en-US" w:eastAsia="zh-CN"/>
        </w:rPr>
      </w:pPr>
      <w:r>
        <w:rPr>
          <w:rFonts w:hint="eastAsia" w:ascii="宋体" w:hAnsi="宋体" w:eastAsia="宋体" w:cs="宋体"/>
          <w:b/>
          <w:bCs/>
          <w:kern w:val="2"/>
          <w:sz w:val="28"/>
          <w:szCs w:val="36"/>
          <w:lang w:val="en-US" w:eastAsia="zh-CN" w:bidi="ar-SA"/>
        </w:rPr>
        <w:t>五、</w:t>
      </w:r>
      <w:r>
        <w:rPr>
          <w:rFonts w:hint="eastAsia" w:ascii="宋体" w:hAnsi="宋体" w:eastAsia="宋体" w:cs="宋体"/>
          <w:b/>
          <w:bCs/>
          <w:sz w:val="28"/>
          <w:szCs w:val="36"/>
          <w:lang w:val="en-US" w:eastAsia="zh-CN"/>
        </w:rPr>
        <w:t>解读机关和联系方式</w:t>
      </w:r>
    </w:p>
    <w:p w14:paraId="6A145731">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解读机关:岱山县自然资源和规划局</w:t>
      </w:r>
    </w:p>
    <w:p w14:paraId="2D976F4E">
      <w:pPr>
        <w:numPr>
          <w:ilvl w:val="0"/>
          <w:numId w:val="0"/>
        </w:num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联系方式:0580-4479660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OGI1N2QwMTFiMDM0ZjU0OTU5NjJiZDMwNmUyNTMifQ=="/>
  </w:docVars>
  <w:rsids>
    <w:rsidRoot w:val="00000000"/>
    <w:rsid w:val="031736A3"/>
    <w:rsid w:val="06A74829"/>
    <w:rsid w:val="0BA14792"/>
    <w:rsid w:val="0F655282"/>
    <w:rsid w:val="16B014D8"/>
    <w:rsid w:val="25DA4E00"/>
    <w:rsid w:val="275329E7"/>
    <w:rsid w:val="2B5841C1"/>
    <w:rsid w:val="35082F60"/>
    <w:rsid w:val="3B9F54F4"/>
    <w:rsid w:val="3E6622F9"/>
    <w:rsid w:val="4444110A"/>
    <w:rsid w:val="457508AB"/>
    <w:rsid w:val="4832529F"/>
    <w:rsid w:val="48517561"/>
    <w:rsid w:val="4EF206CB"/>
    <w:rsid w:val="576F511B"/>
    <w:rsid w:val="672D1356"/>
    <w:rsid w:val="6D54204C"/>
    <w:rsid w:val="72E43211"/>
    <w:rsid w:val="73555EBD"/>
    <w:rsid w:val="73D018EE"/>
    <w:rsid w:val="7C88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pPr>
    <w:rPr>
      <w:rFonts w:ascii="Times New Roman" w:hAnsi="Times New Roman"/>
      <w:sz w:val="21"/>
      <w:szCs w:val="22"/>
    </w:rPr>
  </w:style>
  <w:style w:type="paragraph" w:styleId="3">
    <w:name w:val="Body Text"/>
    <w:basedOn w:val="1"/>
    <w:qFormat/>
    <w:uiPriority w:val="0"/>
    <w:pPr>
      <w:jc w:val="center"/>
    </w:pPr>
    <w:rPr>
      <w:rFonts w:ascii="宋体" w:hAnsi="宋体"/>
      <w:sz w:val="18"/>
      <w:szCs w:val="24"/>
    </w:rPr>
  </w:style>
  <w:style w:type="character" w:customStyle="1" w:styleId="6">
    <w:name w:val="font51"/>
    <w:basedOn w:val="5"/>
    <w:qFormat/>
    <w:uiPriority w:val="0"/>
    <w:rPr>
      <w:rFonts w:ascii="仿宋_GB2312" w:eastAsia="仿宋_GB2312" w:cs="仿宋_GB2312"/>
      <w:b/>
      <w:color w:val="000000"/>
      <w:sz w:val="21"/>
      <w:szCs w:val="21"/>
      <w:u w:val="none"/>
    </w:rPr>
  </w:style>
  <w:style w:type="character" w:customStyle="1" w:styleId="7">
    <w:name w:val="font01"/>
    <w:basedOn w:val="5"/>
    <w:qFormat/>
    <w:uiPriority w:val="0"/>
    <w:rPr>
      <w:rFonts w:hint="eastAsia" w:ascii="仿宋_GB2312" w:eastAsia="仿宋_GB2312" w:cs="仿宋_GB2312"/>
      <w:color w:val="000000"/>
      <w:sz w:val="21"/>
      <w:szCs w:val="21"/>
      <w:u w:val="none"/>
    </w:rPr>
  </w:style>
  <w:style w:type="character" w:customStyle="1" w:styleId="8">
    <w:name w:val="font11"/>
    <w:qFormat/>
    <w:uiPriority w:val="0"/>
    <w:rPr>
      <w:rFonts w:ascii="仿宋_GB2312" w:eastAsia="仿宋_GB2312" w:cs="仿宋_GB2312"/>
      <w:color w:val="000000"/>
      <w:sz w:val="21"/>
      <w:szCs w:val="21"/>
      <w:u w:val="none"/>
    </w:rPr>
  </w:style>
  <w:style w:type="paragraph" w:customStyle="1" w:styleId="9">
    <w:name w:val="正文一般"/>
    <w:basedOn w:val="1"/>
    <w:qFormat/>
    <w:uiPriority w:val="0"/>
    <w:pPr>
      <w:spacing w:line="480" w:lineRule="exact"/>
      <w:ind w:firstLine="540"/>
    </w:pPr>
    <w:rPr>
      <w:rFonts w:ascii="Times New Roman" w:hAnsi="Times New Roman" w:eastAsia="仿宋_GB2312" w:cs="Times New Roman"/>
      <w:sz w:val="24"/>
      <w:szCs w:val="24"/>
    </w:rPr>
  </w:style>
  <w:style w:type="paragraph" w:customStyle="1" w:styleId="10">
    <w:name w:val="表头"/>
    <w:basedOn w:val="11"/>
    <w:qFormat/>
    <w:uiPriority w:val="0"/>
    <w:pPr>
      <w:spacing w:line="400" w:lineRule="exact"/>
      <w:jc w:val="center"/>
    </w:pPr>
    <w:rPr>
      <w:rFonts w:ascii="Times New Roman" w:hAnsi="Times New Roman" w:eastAsia="仿宋_GB2312"/>
      <w:b/>
      <w:sz w:val="24"/>
      <w:szCs w:val="24"/>
    </w:rPr>
  </w:style>
  <w:style w:type="paragraph" w:customStyle="1" w:styleId="11">
    <w:name w:val="文"/>
    <w:basedOn w:val="1"/>
    <w:qFormat/>
    <w:uiPriority w:val="0"/>
    <w:pPr>
      <w:adjustRightInd w:val="0"/>
      <w:snapToGrid w:val="0"/>
      <w:spacing w:line="480" w:lineRule="exact"/>
      <w:ind w:firstLine="560" w:firstLineChars="200"/>
      <w:textAlignment w:val="baseline"/>
    </w:pPr>
    <w:rPr>
      <w:rFonts w:ascii="仿宋_GB2312" w:eastAsia="仿宋_GB2312"/>
      <w:color w:val="000000"/>
      <w:sz w:val="28"/>
    </w:rPr>
  </w:style>
  <w:style w:type="paragraph" w:customStyle="1" w:styleId="12">
    <w:name w:val="正文 + 宋体"/>
    <w:basedOn w:val="1"/>
    <w:qFormat/>
    <w:uiPriority w:val="0"/>
    <w:pPr>
      <w:spacing w:line="360" w:lineRule="auto"/>
      <w:ind w:firstLine="480" w:firstLineChars="200"/>
    </w:pPr>
    <w:rPr>
      <w:rFonts w:ascii="宋体" w:hAnsi="宋体" w:eastAsia="仿宋_GB2312"/>
      <w:color w:val="333333"/>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2077</Words>
  <Characters>2179</Characters>
  <Lines>0</Lines>
  <Paragraphs>0</Paragraphs>
  <TotalTime>10</TotalTime>
  <ScaleCrop>false</ScaleCrop>
  <LinksUpToDate>false</LinksUpToDate>
  <CharactersWithSpaces>2179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2024-11-04T02:00:00Z</dcterms:created>
  <dc:creator>lenovo</dc:creator>
  <cp:lastModifiedBy>Administrator</cp:lastModifiedBy>
  <dcterms:modified xsi:type="dcterms:W3CDTF">2024-11-11T06:31:10Z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4461423011AD4E3DB3D9F1C3D0C54DFB_12</vt:lpwstr>
  </property>
</Properties>
</file>