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方正小标宋简体" w:hAnsi="方正小标宋简体" w:eastAsia="方正小标宋简体" w:cs="方正小标宋简体"/>
          <w:color w:val="000000"/>
          <w:kern w:val="2"/>
          <w:sz w:val="44"/>
          <w:szCs w:val="44"/>
          <w:lang w:val="en-US" w:eastAsia="zh-CN"/>
        </w:rPr>
      </w:pPr>
      <w:r>
        <w:rPr>
          <w:rFonts w:hint="eastAsia" w:ascii="方正小标宋简体" w:hAnsi="方正小标宋简体" w:eastAsia="方正小标宋简体" w:cs="方正小标宋简体"/>
          <w:color w:val="000000"/>
          <w:kern w:val="2"/>
          <w:sz w:val="44"/>
          <w:szCs w:val="44"/>
          <w:lang w:val="en-US" w:eastAsia="zh-CN"/>
        </w:rPr>
        <w:t>关于规范城市基础设施配套费有关事项的通知</w:t>
      </w:r>
    </w:p>
    <w:p>
      <w:pPr>
        <w:pStyle w:val="5"/>
        <w:rPr>
          <w:rFonts w:hint="default"/>
        </w:rPr>
      </w:pPr>
    </w:p>
    <w:p>
      <w:pPr>
        <w:keepNext w:val="0"/>
        <w:keepLines w:val="0"/>
        <w:pageBreakBefore w:val="0"/>
        <w:kinsoku/>
        <w:wordWrap/>
        <w:overflowPunct/>
        <w:topLinePunct w:val="0"/>
        <w:autoSpaceDE/>
        <w:autoSpaceDN/>
        <w:bidi w:val="0"/>
        <w:adjustRightInd w:val="0"/>
        <w:snapToGrid/>
        <w:spacing w:after="0" w:line="560" w:lineRule="exact"/>
        <w:textAlignment w:val="auto"/>
        <w:rPr>
          <w:rFonts w:hint="eastAsia" w:ascii="Times New Roman" w:hAnsi="Times New Roman" w:eastAsia="仿宋_GB2312" w:cs="Times New Roman"/>
          <w:color w:val="000000"/>
          <w:kern w:val="2"/>
          <w:sz w:val="32"/>
          <w:szCs w:val="32"/>
          <w:lang w:val="en-US" w:eastAsia="zh-CN"/>
        </w:rPr>
      </w:pPr>
      <w:bookmarkStart w:id="0" w:name="_GoBack"/>
      <w:r>
        <w:rPr>
          <w:rFonts w:hint="eastAsia" w:ascii="仿宋_GB2312" w:eastAsia="仿宋_GB2312"/>
          <w:color w:val="000000"/>
          <w:sz w:val="32"/>
          <w:szCs w:val="32"/>
        </w:rPr>
        <w:t>各镇乡人民政府，各街道办事处，市政府相关部门：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为进一步规范全市城市基础设施配套费的征收管理，根据《浙江省政府非税收入管理条例》、《财政部国土资源部中国人民银行关于加强土地成交价款管理规范资金缴库行为的通知》（财综〔2009〕89号）、《财政部关于印发〈政府性基金管理暂行办法》的通知》（财综〔2010〕80号）、《浙江省财政厅 浙江省住房和城乡建设厅关于规范城市基础设施配套费有关事项的通知》（浙财综〔2024〕9号）和《财政部 税务总局关于贯彻实施契税法若干事项执行口径的公告》（财政部 税务总局公告2021年第23号）等规定，以及结合历史文件及制度渊源，现就规范我市城市基础设施配套费有关事项通知如下：</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项目性质</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城市基础设施配套费是城市人民政府有关部门征收用于城市基础设施建设的专项资金，属于政府性基金。</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征收范围及对象</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城市基础设施配套费征收对象为我市城镇开发边界内取得土地使用权（包括出让方式及非出让方式）以及其他在城镇开发边界外取得国有土地使用权进行建设的各类工程项目的建设单位和个人。</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征收部门</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城市基础设施配套费由住房城乡建设行政主管部门负责具体征收工作。</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征收方式</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城市基础设施配套费计算方式为：城市基础设施配套费=建设项目地上建筑面积</w:t>
      </w:r>
      <w:r>
        <w:rPr>
          <w:rFonts w:hint="default" w:ascii="Times New Roman" w:hAnsi="Times New Roman" w:eastAsia="仿宋_GB2312" w:cs="Times New Roman"/>
          <w:color w:val="000000"/>
          <w:kern w:val="2"/>
          <w:sz w:val="32"/>
          <w:szCs w:val="32"/>
          <w:lang w:val="en-US" w:eastAsia="zh-CN"/>
        </w:rPr>
        <w:t>×</w:t>
      </w:r>
      <w:r>
        <w:rPr>
          <w:rFonts w:hint="eastAsia" w:ascii="Times New Roman" w:hAnsi="Times New Roman" w:eastAsia="仿宋_GB2312" w:cs="Times New Roman"/>
          <w:color w:val="000000"/>
          <w:kern w:val="2"/>
          <w:sz w:val="32"/>
          <w:szCs w:val="32"/>
          <w:lang w:val="en-US" w:eastAsia="zh-CN"/>
        </w:rPr>
        <w:t>收费标准+地下建筑面积（人防面积除外）</w:t>
      </w:r>
      <w:r>
        <w:rPr>
          <w:rFonts w:hint="default" w:ascii="Times New Roman" w:hAnsi="Times New Roman" w:eastAsia="仿宋_GB2312" w:cs="Times New Roman"/>
          <w:color w:val="000000"/>
          <w:kern w:val="2"/>
          <w:sz w:val="32"/>
          <w:szCs w:val="32"/>
          <w:lang w:val="en-US" w:eastAsia="zh-CN"/>
        </w:rPr>
        <w:t>×</w:t>
      </w:r>
      <w:r>
        <w:rPr>
          <w:rFonts w:hint="eastAsia" w:ascii="Times New Roman" w:hAnsi="Times New Roman" w:eastAsia="仿宋_GB2312" w:cs="Times New Roman"/>
          <w:color w:val="000000"/>
          <w:kern w:val="2"/>
          <w:sz w:val="32"/>
          <w:szCs w:val="32"/>
          <w:lang w:val="en-US" w:eastAsia="zh-CN"/>
        </w:rPr>
        <w:t>收费标准，建筑面积以《建设工程规划许可证》核定的建筑面积为准；扩建、改建、拆复建项目及旧城改造拆建项目按新增面积征收。</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建设单位或个人应当在开工前缴清城市基础设施配套费；分期核发建设工程规划许可证的可分期缴纳。建设工程竣工规划核实时，建筑面积发生变化、规划功能用途变更的，按现行标准予以补交或按原标准退还配套费差额。</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638" w:leftChars="290" w:firstLine="0" w:firstLineChars="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缴纳城市基础设施配套费可实行告知承诺制。</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60" w:lineRule="exact"/>
        <w:ind w:left="0" w:leftChars="0" w:firstLine="640" w:firstLineChars="200"/>
        <w:jc w:val="both"/>
        <w:textAlignment w:val="auto"/>
        <w:rPr>
          <w:rFonts w:hint="default"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征收标准</w:t>
      </w:r>
    </w:p>
    <w:p>
      <w:pPr>
        <w:keepNext w:val="0"/>
        <w:keepLines w:val="0"/>
        <w:pageBreakBefore w:val="0"/>
        <w:kinsoku/>
        <w:wordWrap/>
        <w:overflowPunct/>
        <w:topLinePunct w:val="0"/>
        <w:autoSpaceDE/>
        <w:autoSpaceDN/>
        <w:bidi w:val="0"/>
        <w:adjustRightInd w:val="0"/>
        <w:snapToGrid/>
        <w:spacing w:after="0"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根据我市历史沿革和征收实际，城市基础设施配套费征收标准，我市</w:t>
      </w:r>
      <w:r>
        <w:rPr>
          <w:rFonts w:hint="eastAsia" w:ascii="仿宋_GB2312" w:eastAsia="仿宋_GB2312"/>
          <w:color w:val="000000"/>
          <w:spacing w:val="-4"/>
          <w:sz w:val="32"/>
          <w:szCs w:val="32"/>
        </w:rPr>
        <w:t>具体征收标准为</w:t>
      </w:r>
      <w:r>
        <w:rPr>
          <w:rFonts w:hint="eastAsia" w:ascii="仿宋_GB2312" w:eastAsia="仿宋_GB2312"/>
          <w:color w:val="000000"/>
          <w:sz w:val="32"/>
          <w:szCs w:val="32"/>
        </w:rPr>
        <w:t>：住宅55元/平方米；非住宅100元/平方米</w:t>
      </w:r>
      <w:r>
        <w:rPr>
          <w:rFonts w:hint="eastAsia" w:ascii="仿宋_GB2312" w:eastAsia="仿宋_GB2312"/>
          <w:color w:val="000000"/>
          <w:sz w:val="32"/>
          <w:szCs w:val="32"/>
          <w:lang w:eastAsia="zh-CN"/>
        </w:rPr>
        <w:t>。</w:t>
      </w:r>
    </w:p>
    <w:p>
      <w:pPr>
        <w:keepNext w:val="0"/>
        <w:keepLines w:val="0"/>
        <w:pageBreakBefore w:val="0"/>
        <w:kinsoku/>
        <w:wordWrap/>
        <w:overflowPunct/>
        <w:topLinePunct w:val="0"/>
        <w:autoSpaceDE/>
        <w:autoSpaceDN/>
        <w:bidi w:val="0"/>
        <w:adjustRightInd w:val="0"/>
        <w:snapToGrid/>
        <w:spacing w:after="0"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对以出让方式取得土地使用权缴纳城市基础设施配套费的单位和个人，应按照《财政部 税务总局关于贯彻实施契税法若干事项执行口径的公告》（财政部 税务总局公告2021年第23号）规定申报缴纳契税。</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减免程序</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城市基础设施配套费的减免权限按照政府性基金有关规定执行。国家制定的城市基础设施配套费减免政策（详见附件1），各级各部门要逐项落实到位，明确免缴口径、认定方法、减免办理程序，不得以任何借口拒绝和变更执行。</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符合国家规定的减免条件的，由</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缴款义务人向征收单位提出书面申请及证明材料，填报《诸暨市城市基础设施配套费减免审批表》（详见附件2），并报项目的行业主管单位出具审核意见。</w:t>
      </w:r>
      <w:r>
        <w:rPr>
          <w:rFonts w:hint="eastAsia" w:ascii="Times New Roman" w:hAnsi="Times New Roman" w:eastAsia="仿宋_GB2312" w:cs="Times New Roman"/>
          <w:color w:val="000000"/>
          <w:kern w:val="2"/>
          <w:sz w:val="32"/>
          <w:szCs w:val="32"/>
          <w:lang w:val="en-US" w:eastAsia="zh-CN"/>
        </w:rPr>
        <w:t>需各相关行业主管部门提供减免认定或信息的，应积极协同配合，确保优惠政策落实到位。经批准执行城市基础设施配套费减免政策的建设项目，改变原批准用途的，按现行标准补缴城市基础设施配套费。</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执收单位根据审核意见审批后报市财政局备案。</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预算管理</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城市基础设施配套费要严格按照“收支两条线”纳入政府性基金预算管理，实行专款专用。征收部门按照浙江省政府非税收入收缴有关规定及时足额上缴同级国库，填列政府收支分类科目第103类01款56项“城市基础设施配套费收入”。不得与土地成交价款混库。</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票据管理</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征收部门在征收城市基础设施配套费时，应当按照规定开具财政票据；不按规定开具财政票据的，公民、法人和其他组织有权拒绝缴纳。</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资金用途</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根据财政部《政府收支分类科目》规定，城市基础设施配套费主要用于城市道路、桥涵、公共交通、道路照明、供排水、燃气、供热等公共设施维护、建设和管理，道路清扫、垃圾清运与处理、污水处理、园林绿化、城市公有房屋维修改造、城市防洪设施建设和维护等支出。</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支出时填列政府收支分类科目第212类13款“城市基础设施配套费支出”所对应的支出科目。</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信息共享</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各级有关部门应建立信息共享机制，加强城市基础设施配套费征收管理数字化改革，在职能范围内向征收部门共享城市基础设施配套费征收和减免的有关信息，共同做好城市基础设施配套费征缴业务衔接。</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监督管理</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各级相关监管部门应加强对城市基础设施配套费收支情况的监督检查，对未及时足额缴纳城市基础设施配套费和擅自设立收费项目、提高收费标准、扩大收费范围,擅自减免、截留、挤占、挪用城市基础设施配套费的，按《中华人民共和国预算法》《财政违法行为处罚处分条例》《政府性基金管理暂行办法》《浙江省政府非税收入管理条例》等规定予以处理。</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其他规定</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本通知自2024年6月12日起实施（以《建设工程规划许可证》核发日期为界限）。</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《关于印发&lt;诸暨市城市基础设施配套费征收管理办法&gt;的通知》（</w:t>
      </w:r>
      <w:r>
        <w:rPr>
          <w:rFonts w:hint="eastAsia" w:ascii="仿宋_GB2312" w:eastAsia="仿宋_GB2312"/>
          <w:sz w:val="32"/>
          <w:szCs w:val="32"/>
        </w:rPr>
        <w:t>诸政办发〔2021〕55号</w:t>
      </w:r>
      <w:r>
        <w:rPr>
          <w:rFonts w:hint="eastAsia" w:ascii="Times New Roman" w:hAnsi="Times New Roman" w:eastAsia="仿宋_GB2312" w:cs="Times New Roman"/>
          <w:color w:val="000000"/>
          <w:kern w:val="2"/>
          <w:sz w:val="32"/>
          <w:szCs w:val="32"/>
          <w:lang w:val="en-US" w:eastAsia="zh-CN"/>
        </w:rPr>
        <w:t>）等文件同步废止。国家另有规定或新出相关规定的，从其规定。</w:t>
      </w:r>
    </w:p>
    <w:p>
      <w:pPr>
        <w:pStyle w:val="4"/>
        <w:keepNext w:val="0"/>
        <w:keepLines w:val="0"/>
        <w:pageBreakBefore w:val="0"/>
        <w:kinsoku/>
        <w:wordWrap/>
        <w:overflowPunct/>
        <w:topLinePunct w:val="0"/>
        <w:autoSpaceDE/>
        <w:autoSpaceDN/>
        <w:bidi w:val="0"/>
        <w:adjustRightInd w:val="0"/>
        <w:snapToGrid/>
        <w:spacing w:line="560" w:lineRule="exact"/>
        <w:textAlignment w:val="auto"/>
        <w:rPr>
          <w:rFonts w:hint="eastAsia" w:ascii="Times New Roman" w:hAnsi="Times New Roman" w:eastAsia="仿宋_GB2312" w:cs="Times New Roman"/>
          <w:color w:val="000000"/>
          <w:kern w:val="2"/>
          <w:sz w:val="32"/>
          <w:szCs w:val="32"/>
          <w:lang w:val="en-US" w:eastAsia="zh-CN"/>
        </w:rPr>
      </w:pPr>
    </w:p>
    <w:p>
      <w:pPr>
        <w:pStyle w:val="5"/>
        <w:keepNext w:val="0"/>
        <w:keepLines w:val="0"/>
        <w:pageBreakBefore w:val="0"/>
        <w:kinsoku/>
        <w:wordWrap/>
        <w:overflowPunct/>
        <w:topLinePunct w:val="0"/>
        <w:autoSpaceDE/>
        <w:autoSpaceDN/>
        <w:bidi w:val="0"/>
        <w:adjustRightInd w:val="0"/>
        <w:snapToGrid/>
        <w:spacing w:line="560" w:lineRule="exact"/>
        <w:textAlignment w:val="auto"/>
        <w:rPr>
          <w:rFonts w:hint="eastAsia"/>
          <w:lang w:val="en-US" w:eastAsia="zh-CN"/>
        </w:rPr>
      </w:pPr>
    </w:p>
    <w:p>
      <w:pPr>
        <w:pStyle w:val="14"/>
        <w:keepNext w:val="0"/>
        <w:keepLines w:val="0"/>
        <w:pageBreakBefore w:val="0"/>
        <w:kinsoku/>
        <w:wordWrap/>
        <w:overflowPunct/>
        <w:topLinePunct w:val="0"/>
        <w:autoSpaceDE/>
        <w:autoSpaceDN/>
        <w:bidi w:val="0"/>
        <w:adjustRightInd w:val="0"/>
        <w:snapToGrid/>
        <w:spacing w:after="0" w:line="560" w:lineRule="exact"/>
        <w:textAlignment w:val="auto"/>
        <w:rPr>
          <w:rFonts w:hint="eastAsia" w:ascii="Times New Roman" w:hAnsi="Times New Roman" w:eastAsia="仿宋_GB2312" w:cs="Times New Roman"/>
          <w:color w:val="000000"/>
          <w:kern w:val="2"/>
          <w:sz w:val="32"/>
          <w:szCs w:val="32"/>
          <w:lang w:val="en-US" w:eastAsia="zh-CN"/>
        </w:rPr>
      </w:pPr>
    </w:p>
    <w:p>
      <w:pPr>
        <w:pStyle w:val="14"/>
        <w:keepNext w:val="0"/>
        <w:keepLines w:val="0"/>
        <w:pageBreakBefore w:val="0"/>
        <w:kinsoku/>
        <w:wordWrap/>
        <w:overflowPunct/>
        <w:topLinePunct w:val="0"/>
        <w:autoSpaceDE/>
        <w:autoSpaceDN/>
        <w:bidi w:val="0"/>
        <w:adjustRightInd w:val="0"/>
        <w:snapToGrid/>
        <w:spacing w:after="0"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附件：1.国家规定的城市基础设施配套费减免政策</w:t>
      </w:r>
    </w:p>
    <w:p>
      <w:pPr>
        <w:pStyle w:val="14"/>
        <w:keepNext w:val="0"/>
        <w:keepLines w:val="0"/>
        <w:pageBreakBefore w:val="0"/>
        <w:kinsoku/>
        <w:wordWrap/>
        <w:overflowPunct/>
        <w:topLinePunct w:val="0"/>
        <w:autoSpaceDE/>
        <w:autoSpaceDN/>
        <w:bidi w:val="0"/>
        <w:adjustRightInd w:val="0"/>
        <w:snapToGrid/>
        <w:spacing w:after="0" w:line="560" w:lineRule="exact"/>
        <w:ind w:firstLine="1600" w:firstLineChars="500"/>
        <w:textAlignment w:val="auto"/>
        <w:rPr>
          <w:rFonts w:hint="default"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诸暨市城市基础设施配套费减免审批表</w:t>
      </w:r>
      <w:bookmarkEnd w:id="0"/>
    </w:p>
    <w:p>
      <w:pPr>
        <w:pStyle w:val="14"/>
        <w:keepNext w:val="0"/>
        <w:keepLines w:val="0"/>
        <w:pageBreakBefore w:val="0"/>
        <w:kinsoku/>
        <w:wordWrap/>
        <w:overflowPunct/>
        <w:topLinePunct w:val="0"/>
        <w:autoSpaceDE/>
        <w:autoSpaceDN/>
        <w:bidi w:val="0"/>
        <w:adjustRightInd w:val="0"/>
        <w:snapToGrid w:val="0"/>
        <w:spacing w:after="0" w:line="560" w:lineRule="exact"/>
        <w:ind w:firstLine="1600" w:firstLineChars="500"/>
        <w:textAlignment w:val="auto"/>
        <w:rPr>
          <w:rFonts w:hint="default" w:ascii="Times New Roman" w:hAnsi="Times New Roman" w:eastAsia="仿宋_GB2312" w:cs="Times New Roman"/>
          <w:color w:val="000000"/>
          <w:kern w:val="2"/>
          <w:sz w:val="32"/>
          <w:szCs w:val="32"/>
          <w:lang w:val="en-US" w:eastAsia="zh-CN"/>
        </w:rPr>
      </w:pPr>
    </w:p>
    <w:p>
      <w:pPr>
        <w:pStyle w:val="14"/>
        <w:keepNext w:val="0"/>
        <w:keepLines w:val="0"/>
        <w:pageBreakBefore w:val="0"/>
        <w:kinsoku/>
        <w:wordWrap/>
        <w:overflowPunct/>
        <w:topLinePunct w:val="0"/>
        <w:autoSpaceDE/>
        <w:autoSpaceDN/>
        <w:bidi w:val="0"/>
        <w:adjustRightInd w:val="0"/>
        <w:snapToGrid/>
        <w:spacing w:after="0" w:line="560" w:lineRule="exact"/>
        <w:ind w:firstLine="1600" w:firstLineChars="500"/>
        <w:textAlignment w:val="auto"/>
        <w:rPr>
          <w:rFonts w:hint="default" w:ascii="Times New Roman" w:hAnsi="Times New Roman" w:eastAsia="仿宋_GB2312" w:cs="Times New Roman"/>
          <w:color w:val="000000"/>
          <w:kern w:val="2"/>
          <w:sz w:val="32"/>
          <w:szCs w:val="32"/>
          <w:lang w:val="en-US" w:eastAsia="zh-CN"/>
        </w:rPr>
      </w:pPr>
    </w:p>
    <w:p>
      <w:pPr>
        <w:pStyle w:val="14"/>
        <w:keepNext w:val="0"/>
        <w:keepLines w:val="0"/>
        <w:pageBreakBefore w:val="0"/>
        <w:kinsoku/>
        <w:wordWrap/>
        <w:overflowPunct/>
        <w:topLinePunct w:val="0"/>
        <w:autoSpaceDE/>
        <w:autoSpaceDN/>
        <w:bidi w:val="0"/>
        <w:adjustRightInd w:val="0"/>
        <w:snapToGrid/>
        <w:spacing w:after="0" w:line="560" w:lineRule="exact"/>
        <w:ind w:firstLine="1600" w:firstLineChars="500"/>
        <w:textAlignment w:val="auto"/>
        <w:rPr>
          <w:rFonts w:hint="default" w:ascii="Times New Roman" w:hAnsi="Times New Roman" w:eastAsia="仿宋_GB2312" w:cs="Times New Roman"/>
          <w:color w:val="000000"/>
          <w:kern w:val="2"/>
          <w:sz w:val="32"/>
          <w:szCs w:val="32"/>
          <w:lang w:val="en-US" w:eastAsia="zh-CN"/>
        </w:rPr>
        <w:sectPr>
          <w:footerReference r:id="rId5" w:type="default"/>
          <w:pgSz w:w="11906" w:h="16838"/>
          <w:pgMar w:top="2098" w:right="1474" w:bottom="1984" w:left="1587" w:header="708" w:footer="708" w:gutter="0"/>
          <w:pgNumType w:fmt="decimal"/>
          <w:cols w:space="708" w:num="1"/>
          <w:docGrid w:linePitch="360" w:charSpace="0"/>
        </w:sectPr>
      </w:pP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jc w:val="both"/>
        <w:rPr>
          <w:rFonts w:hint="default"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附件1</w:t>
      </w:r>
    </w:p>
    <w:p>
      <w:pPr>
        <w:keepNext w:val="0"/>
        <w:keepLines w:val="0"/>
        <w:pageBreakBefore w:val="0"/>
        <w:widowControl/>
        <w:kinsoku/>
        <w:wordWrap/>
        <w:overflowPunct/>
        <w:topLinePunct w:val="0"/>
        <w:autoSpaceDE/>
        <w:autoSpaceDN/>
        <w:bidi w:val="0"/>
        <w:adjustRightInd w:val="0"/>
        <w:snapToGrid/>
        <w:spacing w:after="0" w:line="560" w:lineRule="exact"/>
        <w:jc w:val="center"/>
        <w:textAlignment w:val="auto"/>
        <w:rPr>
          <w:rFonts w:hint="eastAsia" w:ascii="Times New Roman" w:hAnsi="Times New Roman" w:eastAsia="方正小标宋简体" w:cs="Times New Roman"/>
          <w:b w:val="0"/>
          <w:bCs/>
          <w:sz w:val="44"/>
          <w:szCs w:val="44"/>
          <w:lang w:val="en-US" w:eastAsia="zh-CN"/>
        </w:rPr>
      </w:pPr>
      <w:r>
        <w:rPr>
          <w:rFonts w:hint="eastAsia" w:ascii="Times New Roman" w:hAnsi="Times New Roman" w:eastAsia="方正小标宋简体" w:cs="Times New Roman"/>
          <w:b w:val="0"/>
          <w:bCs/>
          <w:sz w:val="44"/>
          <w:szCs w:val="44"/>
          <w:lang w:val="en-US" w:eastAsia="zh-CN"/>
        </w:rPr>
        <w:t>国家规定的城市基础设施配套费减免政策</w:t>
      </w:r>
    </w:p>
    <w:tbl>
      <w:tblPr>
        <w:tblStyle w:val="11"/>
        <w:tblpPr w:leftFromText="180" w:rightFromText="180" w:vertAnchor="text" w:horzAnchor="page" w:tblpXSpec="center" w:tblpY="251"/>
        <w:tblOverlap w:val="never"/>
        <w:tblW w:w="13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1175"/>
        <w:gridCol w:w="2837"/>
        <w:gridCol w:w="6413"/>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270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黑体" w:hAnsi="黑体" w:eastAsia="黑体" w:cs="黑体"/>
                <w:color w:val="000000"/>
                <w:kern w:val="2"/>
                <w:sz w:val="28"/>
                <w:szCs w:val="28"/>
                <w:vertAlign w:val="baseline"/>
                <w:lang w:val="en-US" w:eastAsia="zh-CN"/>
              </w:rPr>
            </w:pPr>
            <w:r>
              <w:rPr>
                <w:rFonts w:hint="eastAsia" w:ascii="黑体" w:hAnsi="黑体" w:eastAsia="黑体" w:cs="黑体"/>
                <w:color w:val="000000"/>
                <w:kern w:val="2"/>
                <w:sz w:val="28"/>
                <w:szCs w:val="28"/>
                <w:vertAlign w:val="baseline"/>
                <w:lang w:val="en-US" w:eastAsia="zh-CN"/>
              </w:rPr>
              <w:t>项目名称</w:t>
            </w:r>
          </w:p>
        </w:tc>
        <w:tc>
          <w:tcPr>
            <w:tcW w:w="1175"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color w:val="000000"/>
                <w:kern w:val="2"/>
                <w:sz w:val="28"/>
                <w:szCs w:val="28"/>
                <w:vertAlign w:val="baseline"/>
                <w:lang w:val="en-US" w:eastAsia="zh-CN"/>
              </w:rPr>
            </w:pPr>
            <w:r>
              <w:rPr>
                <w:rFonts w:hint="eastAsia" w:ascii="黑体" w:hAnsi="黑体" w:eastAsia="黑体" w:cs="黑体"/>
                <w:color w:val="000000"/>
                <w:kern w:val="2"/>
                <w:sz w:val="28"/>
                <w:szCs w:val="28"/>
                <w:vertAlign w:val="baseline"/>
                <w:lang w:val="en-US" w:eastAsia="zh-CN"/>
              </w:rPr>
              <w:t>减免</w:t>
            </w:r>
          </w:p>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黑体" w:hAnsi="黑体" w:eastAsia="黑体" w:cs="黑体"/>
                <w:color w:val="000000"/>
                <w:kern w:val="2"/>
                <w:sz w:val="28"/>
                <w:szCs w:val="28"/>
                <w:vertAlign w:val="baseline"/>
                <w:lang w:val="en-US" w:eastAsia="zh-CN"/>
              </w:rPr>
            </w:pPr>
            <w:r>
              <w:rPr>
                <w:rFonts w:hint="eastAsia" w:ascii="黑体" w:hAnsi="黑体" w:eastAsia="黑体" w:cs="黑体"/>
                <w:color w:val="000000"/>
                <w:kern w:val="2"/>
                <w:sz w:val="28"/>
                <w:szCs w:val="28"/>
                <w:vertAlign w:val="baseline"/>
                <w:lang w:val="en-US" w:eastAsia="zh-CN"/>
              </w:rPr>
              <w:t>方式</w:t>
            </w:r>
          </w:p>
        </w:tc>
        <w:tc>
          <w:tcPr>
            <w:tcW w:w="283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黑体" w:hAnsi="黑体" w:eastAsia="黑体" w:cs="黑体"/>
                <w:color w:val="000000"/>
                <w:kern w:val="2"/>
                <w:sz w:val="28"/>
                <w:szCs w:val="28"/>
                <w:vertAlign w:val="baseline"/>
                <w:lang w:val="en-US" w:eastAsia="zh-CN"/>
              </w:rPr>
            </w:pPr>
            <w:r>
              <w:rPr>
                <w:rFonts w:hint="eastAsia" w:ascii="黑体" w:hAnsi="黑体" w:eastAsia="黑体" w:cs="黑体"/>
                <w:color w:val="000000"/>
                <w:kern w:val="2"/>
                <w:sz w:val="28"/>
                <w:szCs w:val="28"/>
                <w:vertAlign w:val="baseline"/>
                <w:lang w:val="en-US" w:eastAsia="zh-CN"/>
              </w:rPr>
              <w:t>文件依据</w:t>
            </w:r>
          </w:p>
        </w:tc>
        <w:tc>
          <w:tcPr>
            <w:tcW w:w="6432" w:type="dxa"/>
            <w:gridSpan w:val="2"/>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黑体" w:hAnsi="黑体" w:eastAsia="黑体" w:cs="黑体"/>
                <w:color w:val="000000"/>
                <w:kern w:val="2"/>
                <w:sz w:val="28"/>
                <w:szCs w:val="28"/>
                <w:vertAlign w:val="baseline"/>
                <w:lang w:val="en-US" w:eastAsia="zh-CN"/>
              </w:rPr>
            </w:pPr>
            <w:r>
              <w:rPr>
                <w:rFonts w:hint="eastAsia" w:ascii="黑体" w:hAnsi="黑体" w:eastAsia="黑体" w:cs="黑体"/>
                <w:color w:val="000000"/>
                <w:kern w:val="2"/>
                <w:sz w:val="28"/>
                <w:szCs w:val="28"/>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70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廉租住房和经济适用房建设、户区改造、旧住宅区整治项目</w:t>
            </w:r>
          </w:p>
        </w:tc>
        <w:tc>
          <w:tcPr>
            <w:tcW w:w="1175"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免征</w:t>
            </w:r>
          </w:p>
        </w:tc>
        <w:tc>
          <w:tcPr>
            <w:tcW w:w="283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国发</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2007</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24号</w:t>
            </w:r>
          </w:p>
        </w:tc>
        <w:tc>
          <w:tcPr>
            <w:tcW w:w="6432" w:type="dxa"/>
            <w:gridSpan w:val="2"/>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i w:val="0"/>
                <w:caps w:val="0"/>
                <w:color w:val="000000"/>
                <w:spacing w:val="0"/>
                <w:sz w:val="28"/>
                <w:szCs w:val="28"/>
                <w:shd w:val="clear" w:color="auto" w:fill="auto"/>
                <w:lang w:val="en-US" w:eastAsia="zh-CN" w:bidi="ar-SA"/>
              </w:rPr>
              <w:t>“（</w:t>
            </w:r>
            <w:r>
              <w:rPr>
                <w:rFonts w:hint="default" w:ascii="Times New Roman" w:hAnsi="Times New Roman" w:eastAsia="仿宋_GB2312" w:cs="Times New Roman"/>
                <w:i w:val="0"/>
                <w:caps w:val="0"/>
                <w:color w:val="000000"/>
                <w:spacing w:val="0"/>
                <w:sz w:val="28"/>
                <w:szCs w:val="28"/>
                <w:shd w:val="clear" w:color="auto" w:fill="auto"/>
                <w:lang w:val="en-US" w:eastAsia="zh-CN" w:bidi="ar-SA"/>
              </w:rPr>
              <w:t>十六</w:t>
            </w:r>
            <w:r>
              <w:rPr>
                <w:rFonts w:hint="eastAsia" w:ascii="Times New Roman" w:hAnsi="Times New Roman" w:eastAsia="仿宋_GB2312" w:cs="Times New Roman"/>
                <w:i w:val="0"/>
                <w:caps w:val="0"/>
                <w:color w:val="000000"/>
                <w:spacing w:val="0"/>
                <w:sz w:val="28"/>
                <w:szCs w:val="28"/>
                <w:shd w:val="clear" w:color="auto" w:fill="auto"/>
                <w:lang w:val="en-US" w:eastAsia="zh-CN" w:bidi="ar-SA"/>
              </w:rPr>
              <w:t>）</w:t>
            </w:r>
            <w:r>
              <w:rPr>
                <w:rFonts w:hint="default" w:ascii="Times New Roman" w:hAnsi="Times New Roman" w:eastAsia="仿宋_GB2312" w:cs="Times New Roman"/>
                <w:i w:val="0"/>
                <w:caps w:val="0"/>
                <w:color w:val="000000"/>
                <w:spacing w:val="0"/>
                <w:sz w:val="28"/>
                <w:szCs w:val="28"/>
                <w:shd w:val="clear" w:color="auto" w:fill="auto"/>
                <w:lang w:val="en-US" w:eastAsia="zh-CN" w:bidi="ar-SA"/>
              </w:rPr>
              <w:t>一是廉租住房和经济适用住房建设、棚户区改造、旧住宅区整治一律免收城市基础设施配套费等各种行政事业性收费和政府性基金。</w:t>
            </w:r>
            <w:r>
              <w:rPr>
                <w:rFonts w:hint="eastAsia" w:ascii="Times New Roman" w:hAnsi="Times New Roman" w:eastAsia="仿宋_GB2312" w:cs="Times New Roman"/>
                <w:i w:val="0"/>
                <w:caps w:val="0"/>
                <w:color w:val="000000"/>
                <w:spacing w:val="0"/>
                <w:sz w:val="28"/>
                <w:szCs w:val="28"/>
                <w:shd w:val="clear" w:color="auto" w:fill="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270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廉租住房、公共租赁住房、经济适用房住房和棚户区改造安置住房</w:t>
            </w:r>
          </w:p>
        </w:tc>
        <w:tc>
          <w:tcPr>
            <w:tcW w:w="1175"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免征</w:t>
            </w:r>
          </w:p>
        </w:tc>
        <w:tc>
          <w:tcPr>
            <w:tcW w:w="283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w:t>
            </w:r>
            <w:r>
              <w:rPr>
                <w:rFonts w:hint="eastAsia" w:ascii="Times New Roman" w:hAnsi="Times New Roman" w:eastAsia="仿宋_GB2312" w:cs="Times New Roman"/>
                <w:color w:val="000000"/>
                <w:kern w:val="2"/>
                <w:sz w:val="28"/>
                <w:szCs w:val="28"/>
                <w:lang w:val="en-US" w:eastAsia="zh-CN" w:bidi="ar-SA"/>
              </w:rPr>
              <w:t>办</w:t>
            </w:r>
            <w:r>
              <w:rPr>
                <w:rFonts w:hint="default" w:ascii="Times New Roman" w:hAnsi="Times New Roman" w:eastAsia="仿宋_GB2312" w:cs="Times New Roman"/>
                <w:color w:val="000000"/>
                <w:kern w:val="2"/>
                <w:sz w:val="28"/>
                <w:szCs w:val="28"/>
                <w:lang w:val="en-US" w:eastAsia="zh-CN" w:bidi="ar-SA"/>
              </w:rPr>
              <w:t>发</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w:t>
            </w:r>
            <w:r>
              <w:rPr>
                <w:rFonts w:hint="eastAsia" w:ascii="Times New Roman" w:hAnsi="Times New Roman" w:eastAsia="仿宋_GB2312" w:cs="Times New Roman"/>
                <w:color w:val="000000"/>
                <w:kern w:val="2"/>
                <w:sz w:val="28"/>
                <w:szCs w:val="28"/>
                <w:lang w:val="en-US" w:eastAsia="zh-CN" w:bidi="ar-SA"/>
              </w:rPr>
              <w:t>11</w:t>
            </w:r>
            <w:r>
              <w:rPr>
                <w:rFonts w:hint="eastAsia" w:ascii="Times New Roman" w:hAnsi="Times New Roman" w:eastAsia="仿宋_GB2312" w:cs="Times New Roman"/>
                <w:color w:val="000000"/>
                <w:kern w:val="2"/>
                <w:sz w:val="28"/>
                <w:szCs w:val="28"/>
                <w:lang w:val="en-US" w:eastAsia="zh-CN"/>
              </w:rPr>
              <w:t>〕</w:t>
            </w:r>
            <w:r>
              <w:rPr>
                <w:rFonts w:hint="eastAsia" w:ascii="Times New Roman" w:hAnsi="Times New Roman" w:eastAsia="仿宋_GB2312" w:cs="Times New Roman"/>
                <w:color w:val="000000"/>
                <w:kern w:val="2"/>
                <w:sz w:val="28"/>
                <w:szCs w:val="28"/>
                <w:lang w:val="en-US" w:eastAsia="zh-CN" w:bidi="ar-SA"/>
              </w:rPr>
              <w:t>45</w:t>
            </w:r>
            <w:r>
              <w:rPr>
                <w:rFonts w:hint="default" w:ascii="Times New Roman" w:hAnsi="Times New Roman" w:eastAsia="仿宋_GB2312" w:cs="Times New Roman"/>
                <w:color w:val="000000"/>
                <w:kern w:val="2"/>
                <w:sz w:val="28"/>
                <w:szCs w:val="28"/>
                <w:lang w:val="en-US" w:eastAsia="zh-CN" w:bidi="ar-SA"/>
              </w:rPr>
              <w:t>号</w:t>
            </w:r>
          </w:p>
        </w:tc>
        <w:tc>
          <w:tcPr>
            <w:tcW w:w="6432" w:type="dxa"/>
            <w:gridSpan w:val="2"/>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五</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落实税费减免政策，对廉租住房、公共租赁住房、经济适用住房和棚户区改造安置住房，要切实落实现行建设、买卖、经营等环节税收优惠政策，免收城市基础设施配套费等各种行政事业性收费和政府性基金</w:t>
            </w:r>
            <w:r>
              <w:rPr>
                <w:rFonts w:hint="eastAsia" w:ascii="Times New Roman" w:hAnsi="Times New Roman"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270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军队后勤保障社会化需要配套改造的项目</w:t>
            </w:r>
          </w:p>
        </w:tc>
        <w:tc>
          <w:tcPr>
            <w:tcW w:w="1175"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免征</w:t>
            </w:r>
          </w:p>
        </w:tc>
        <w:tc>
          <w:tcPr>
            <w:tcW w:w="283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国发</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w:t>
            </w:r>
            <w:r>
              <w:rPr>
                <w:rFonts w:hint="eastAsia" w:ascii="Times New Roman" w:hAnsi="Times New Roman" w:eastAsia="仿宋_GB2312" w:cs="Times New Roman"/>
                <w:color w:val="000000"/>
                <w:kern w:val="2"/>
                <w:sz w:val="28"/>
                <w:szCs w:val="28"/>
                <w:lang w:val="en-US" w:eastAsia="zh-CN" w:bidi="ar-SA"/>
              </w:rPr>
              <w:t>02</w:t>
            </w:r>
            <w:r>
              <w:rPr>
                <w:rFonts w:hint="eastAsia" w:ascii="Times New Roman" w:hAnsi="Times New Roman" w:eastAsia="仿宋_GB2312" w:cs="Times New Roman"/>
                <w:color w:val="000000"/>
                <w:kern w:val="2"/>
                <w:sz w:val="28"/>
                <w:szCs w:val="28"/>
                <w:lang w:val="en-US" w:eastAsia="zh-CN"/>
              </w:rPr>
              <w:t>〕</w:t>
            </w:r>
            <w:r>
              <w:rPr>
                <w:rFonts w:hint="eastAsia" w:ascii="Times New Roman" w:hAnsi="Times New Roman" w:eastAsia="仿宋_GB2312" w:cs="Times New Roman"/>
                <w:color w:val="000000"/>
                <w:kern w:val="2"/>
                <w:sz w:val="28"/>
                <w:szCs w:val="28"/>
                <w:lang w:val="en-US" w:eastAsia="zh-CN" w:bidi="ar-SA"/>
              </w:rPr>
              <w:t>20</w:t>
            </w:r>
            <w:r>
              <w:rPr>
                <w:rFonts w:hint="default" w:ascii="Times New Roman" w:hAnsi="Times New Roman" w:eastAsia="仿宋_GB2312" w:cs="Times New Roman"/>
                <w:color w:val="000000"/>
                <w:kern w:val="2"/>
                <w:sz w:val="28"/>
                <w:szCs w:val="28"/>
                <w:lang w:val="en-US" w:eastAsia="zh-CN" w:bidi="ar-SA"/>
              </w:rPr>
              <w:t>号</w:t>
            </w:r>
          </w:p>
        </w:tc>
        <w:tc>
          <w:tcPr>
            <w:tcW w:w="6432" w:type="dxa"/>
            <w:gridSpan w:val="2"/>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一、关于营房保障</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二</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对军队后勤保障社会化需要配套改造的项目，免征城市基础设施配套费</w:t>
            </w:r>
            <w:r>
              <w:rPr>
                <w:rFonts w:hint="eastAsia" w:ascii="Times New Roman" w:hAnsi="Times New Roman"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270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城镇和农村、公立和民办、教育系统和非教育系统的所有中小学校(含幼儿园)校舍建设项目</w:t>
            </w:r>
          </w:p>
        </w:tc>
        <w:tc>
          <w:tcPr>
            <w:tcW w:w="1175"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免征</w:t>
            </w:r>
          </w:p>
        </w:tc>
        <w:tc>
          <w:tcPr>
            <w:tcW w:w="283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w:t>
            </w:r>
            <w:r>
              <w:rPr>
                <w:rFonts w:hint="eastAsia" w:ascii="Times New Roman" w:hAnsi="Times New Roman" w:eastAsia="仿宋_GB2312" w:cs="Times New Roman"/>
                <w:color w:val="000000"/>
                <w:kern w:val="2"/>
                <w:sz w:val="28"/>
                <w:szCs w:val="28"/>
                <w:lang w:val="en-US" w:eastAsia="zh-CN" w:bidi="ar-SA"/>
              </w:rPr>
              <w:t>办</w:t>
            </w:r>
            <w:r>
              <w:rPr>
                <w:rFonts w:hint="default" w:ascii="Times New Roman" w:hAnsi="Times New Roman" w:eastAsia="仿宋_GB2312" w:cs="Times New Roman"/>
                <w:color w:val="000000"/>
                <w:kern w:val="2"/>
                <w:sz w:val="28"/>
                <w:szCs w:val="28"/>
                <w:lang w:val="en-US" w:eastAsia="zh-CN" w:bidi="ar-SA"/>
              </w:rPr>
              <w:t>发</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w:t>
            </w:r>
            <w:r>
              <w:rPr>
                <w:rFonts w:hint="eastAsia" w:ascii="Times New Roman" w:hAnsi="Times New Roman" w:eastAsia="仿宋_GB2312" w:cs="Times New Roman"/>
                <w:color w:val="000000"/>
                <w:kern w:val="2"/>
                <w:sz w:val="28"/>
                <w:szCs w:val="28"/>
                <w:lang w:val="en-US" w:eastAsia="zh-CN" w:bidi="ar-SA"/>
              </w:rPr>
              <w:t>13</w:t>
            </w:r>
            <w:r>
              <w:rPr>
                <w:rFonts w:hint="eastAsia" w:ascii="Times New Roman" w:hAnsi="Times New Roman" w:eastAsia="仿宋_GB2312" w:cs="Times New Roman"/>
                <w:color w:val="000000"/>
                <w:kern w:val="2"/>
                <w:sz w:val="28"/>
                <w:szCs w:val="28"/>
                <w:lang w:val="en-US" w:eastAsia="zh-CN"/>
              </w:rPr>
              <w:t>〕</w:t>
            </w:r>
            <w:r>
              <w:rPr>
                <w:rFonts w:hint="eastAsia" w:ascii="Times New Roman" w:hAnsi="Times New Roman" w:eastAsia="仿宋_GB2312" w:cs="Times New Roman"/>
                <w:color w:val="000000"/>
                <w:kern w:val="2"/>
                <w:sz w:val="28"/>
                <w:szCs w:val="28"/>
                <w:lang w:val="en-US" w:eastAsia="zh-CN" w:bidi="ar-SA"/>
              </w:rPr>
              <w:t>103</w:t>
            </w:r>
            <w:r>
              <w:rPr>
                <w:rFonts w:hint="default" w:ascii="Times New Roman" w:hAnsi="Times New Roman" w:eastAsia="仿宋_GB2312" w:cs="Times New Roman"/>
                <w:color w:val="000000"/>
                <w:kern w:val="2"/>
                <w:sz w:val="28"/>
                <w:szCs w:val="28"/>
                <w:lang w:val="en-US" w:eastAsia="zh-CN" w:bidi="ar-SA"/>
              </w:rPr>
              <w:t>号</w:t>
            </w:r>
          </w:p>
        </w:tc>
        <w:tc>
          <w:tcPr>
            <w:tcW w:w="6432" w:type="dxa"/>
            <w:gridSpan w:val="2"/>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“二、</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一</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覆盖范围</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全国城镇和农村、公立和民办、教育系统和非教育系统的所有中小学(含幼儿</w:t>
            </w:r>
            <w:r>
              <w:rPr>
                <w:rFonts w:hint="eastAsia" w:ascii="Times New Roman" w:hAnsi="Times New Roman" w:eastAsia="仿宋_GB2312" w:cs="Times New Roman"/>
                <w:color w:val="000000"/>
                <w:kern w:val="2"/>
                <w:sz w:val="28"/>
                <w:szCs w:val="28"/>
                <w:lang w:val="en-US" w:eastAsia="zh-CN" w:bidi="ar-SA"/>
              </w:rPr>
              <w:t>园）”“（</w:t>
            </w:r>
            <w:r>
              <w:rPr>
                <w:rFonts w:hint="default" w:ascii="Times New Roman" w:hAnsi="Times New Roman" w:eastAsia="仿宋_GB2312" w:cs="Times New Roman"/>
                <w:color w:val="000000"/>
                <w:kern w:val="2"/>
                <w:sz w:val="28"/>
                <w:szCs w:val="28"/>
                <w:lang w:val="en-US" w:eastAsia="zh-CN" w:bidi="ar-SA"/>
              </w:rPr>
              <w:t>三</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落实扶持鼓励政策，校舍建设项目涉及的行政事业性收费和政府性基金，应予以免收。</w:t>
            </w:r>
            <w:r>
              <w:rPr>
                <w:rFonts w:hint="eastAsia" w:ascii="Times New Roman" w:hAnsi="Times New Roman"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70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易地扶贫搬迁项</w:t>
            </w:r>
          </w:p>
        </w:tc>
        <w:tc>
          <w:tcPr>
            <w:tcW w:w="117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免征</w:t>
            </w:r>
          </w:p>
        </w:tc>
        <w:tc>
          <w:tcPr>
            <w:tcW w:w="283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财税</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w:t>
            </w:r>
            <w:r>
              <w:rPr>
                <w:rFonts w:hint="eastAsia" w:ascii="Times New Roman" w:hAnsi="Times New Roman" w:eastAsia="仿宋_GB2312" w:cs="Times New Roman"/>
                <w:color w:val="000000"/>
                <w:kern w:val="2"/>
                <w:sz w:val="28"/>
                <w:szCs w:val="28"/>
                <w:lang w:val="en-US" w:eastAsia="zh-CN" w:bidi="ar-SA"/>
              </w:rPr>
              <w:t>19</w:t>
            </w:r>
            <w:r>
              <w:rPr>
                <w:rFonts w:hint="eastAsia" w:ascii="Times New Roman" w:hAnsi="Times New Roman" w:eastAsia="仿宋_GB2312" w:cs="Times New Roman"/>
                <w:color w:val="000000"/>
                <w:kern w:val="2"/>
                <w:sz w:val="28"/>
                <w:szCs w:val="28"/>
                <w:lang w:val="en-US" w:eastAsia="zh-CN"/>
              </w:rPr>
              <w:t>〕</w:t>
            </w:r>
            <w:r>
              <w:rPr>
                <w:rFonts w:hint="eastAsia" w:ascii="Times New Roman" w:hAnsi="Times New Roman" w:eastAsia="仿宋_GB2312" w:cs="Times New Roman"/>
                <w:color w:val="000000"/>
                <w:kern w:val="2"/>
                <w:sz w:val="28"/>
                <w:szCs w:val="28"/>
                <w:lang w:val="en-US" w:eastAsia="zh-CN" w:bidi="ar-SA"/>
              </w:rPr>
              <w:t>53</w:t>
            </w:r>
            <w:r>
              <w:rPr>
                <w:rFonts w:hint="default" w:ascii="Times New Roman" w:hAnsi="Times New Roman" w:eastAsia="仿宋_GB2312" w:cs="Times New Roman"/>
                <w:color w:val="000000"/>
                <w:kern w:val="2"/>
                <w:sz w:val="28"/>
                <w:szCs w:val="28"/>
                <w:lang w:val="en-US" w:eastAsia="zh-CN" w:bidi="ar-SA"/>
              </w:rPr>
              <w:t>号</w:t>
            </w:r>
          </w:p>
        </w:tc>
        <w:tc>
          <w:tcPr>
            <w:tcW w:w="6432" w:type="dxa"/>
            <w:gridSpan w:val="2"/>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一</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对易地扶贫搬迁项目免征城市基础设施配套费、不动产登记费。</w:t>
            </w:r>
            <w:r>
              <w:rPr>
                <w:rFonts w:hint="eastAsia" w:ascii="Times New Roman" w:hAnsi="Times New Roman"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70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用于提供社区养老、托育、家政服务的建设项目</w:t>
            </w:r>
          </w:p>
        </w:tc>
        <w:tc>
          <w:tcPr>
            <w:tcW w:w="117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免征</w:t>
            </w:r>
          </w:p>
        </w:tc>
        <w:tc>
          <w:tcPr>
            <w:tcW w:w="283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财政部等6部门2019年第76号公告</w:t>
            </w:r>
          </w:p>
        </w:tc>
        <w:tc>
          <w:tcPr>
            <w:tcW w:w="6432" w:type="dxa"/>
            <w:gridSpan w:val="2"/>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用于提供社区养老、托育、家政服务的建设项目,免征城市基础设施配套费</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自2019年6月1日起执行至2025年12月31日</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w:t>
            </w:r>
            <w:r>
              <w:rPr>
                <w:rFonts w:hint="eastAsia" w:ascii="Times New Roman" w:hAnsi="Times New Roman"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保障性租赁住房项目</w:t>
            </w:r>
          </w:p>
        </w:tc>
        <w:tc>
          <w:tcPr>
            <w:tcW w:w="117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免征</w:t>
            </w:r>
          </w:p>
        </w:tc>
        <w:tc>
          <w:tcPr>
            <w:tcW w:w="283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w:t>
            </w:r>
            <w:r>
              <w:rPr>
                <w:rFonts w:hint="eastAsia" w:ascii="Times New Roman" w:hAnsi="Times New Roman" w:eastAsia="仿宋_GB2312" w:cs="Times New Roman"/>
                <w:color w:val="000000"/>
                <w:kern w:val="2"/>
                <w:sz w:val="28"/>
                <w:szCs w:val="28"/>
                <w:lang w:val="en-US" w:eastAsia="zh-CN" w:bidi="ar-SA"/>
              </w:rPr>
              <w:t>办</w:t>
            </w:r>
            <w:r>
              <w:rPr>
                <w:rFonts w:hint="default" w:ascii="Times New Roman" w:hAnsi="Times New Roman" w:eastAsia="仿宋_GB2312" w:cs="Times New Roman"/>
                <w:color w:val="000000"/>
                <w:kern w:val="2"/>
                <w:sz w:val="28"/>
                <w:szCs w:val="28"/>
                <w:lang w:val="en-US" w:eastAsia="zh-CN" w:bidi="ar-SA"/>
              </w:rPr>
              <w:t>发</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w:t>
            </w:r>
            <w:r>
              <w:rPr>
                <w:rFonts w:hint="eastAsia" w:ascii="Times New Roman" w:hAnsi="Times New Roman" w:eastAsia="仿宋_GB2312" w:cs="Times New Roman"/>
                <w:color w:val="000000"/>
                <w:kern w:val="2"/>
                <w:sz w:val="28"/>
                <w:szCs w:val="28"/>
                <w:lang w:val="en-US" w:eastAsia="zh-CN" w:bidi="ar-SA"/>
              </w:rPr>
              <w:t>21</w:t>
            </w:r>
            <w:r>
              <w:rPr>
                <w:rFonts w:hint="eastAsia" w:ascii="Times New Roman" w:hAnsi="Times New Roman" w:eastAsia="仿宋_GB2312" w:cs="Times New Roman"/>
                <w:color w:val="000000"/>
                <w:kern w:val="2"/>
                <w:sz w:val="28"/>
                <w:szCs w:val="28"/>
                <w:lang w:val="en-US" w:eastAsia="zh-CN"/>
              </w:rPr>
              <w:t>〕</w:t>
            </w:r>
            <w:r>
              <w:rPr>
                <w:rFonts w:hint="eastAsia" w:ascii="Times New Roman" w:hAnsi="Times New Roman" w:eastAsia="仿宋_GB2312" w:cs="Times New Roman"/>
                <w:color w:val="000000"/>
                <w:kern w:val="2"/>
                <w:sz w:val="28"/>
                <w:szCs w:val="28"/>
                <w:lang w:val="en-US" w:eastAsia="zh-CN" w:bidi="ar-SA"/>
              </w:rPr>
              <w:t>22</w:t>
            </w:r>
            <w:r>
              <w:rPr>
                <w:rFonts w:hint="default" w:ascii="Times New Roman" w:hAnsi="Times New Roman" w:eastAsia="仿宋_GB2312" w:cs="Times New Roman"/>
                <w:color w:val="000000"/>
                <w:kern w:val="2"/>
                <w:sz w:val="28"/>
                <w:szCs w:val="28"/>
                <w:lang w:val="en-US" w:eastAsia="zh-CN" w:bidi="ar-SA"/>
              </w:rPr>
              <w:t>号</w:t>
            </w:r>
          </w:p>
        </w:tc>
        <w:tc>
          <w:tcPr>
            <w:tcW w:w="6432" w:type="dxa"/>
            <w:gridSpan w:val="2"/>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四</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降低税费负担。对保障性租赁住房项目免收城市基础设施配套费。”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70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保障性住房</w:t>
            </w:r>
          </w:p>
        </w:tc>
        <w:tc>
          <w:tcPr>
            <w:tcW w:w="117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免征</w:t>
            </w:r>
          </w:p>
        </w:tc>
        <w:tc>
          <w:tcPr>
            <w:tcW w:w="283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国发</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w:t>
            </w:r>
            <w:r>
              <w:rPr>
                <w:rFonts w:hint="eastAsia" w:ascii="Times New Roman" w:hAnsi="Times New Roman" w:eastAsia="仿宋_GB2312" w:cs="Times New Roman"/>
                <w:color w:val="000000"/>
                <w:kern w:val="2"/>
                <w:sz w:val="28"/>
                <w:szCs w:val="28"/>
                <w:lang w:val="en-US" w:eastAsia="zh-CN" w:bidi="ar-SA"/>
              </w:rPr>
              <w:t>23</w:t>
            </w:r>
            <w:r>
              <w:rPr>
                <w:rFonts w:hint="eastAsia" w:ascii="Times New Roman" w:hAnsi="Times New Roman" w:eastAsia="仿宋_GB2312" w:cs="Times New Roman"/>
                <w:color w:val="000000"/>
                <w:kern w:val="2"/>
                <w:sz w:val="28"/>
                <w:szCs w:val="28"/>
                <w:lang w:val="en-US" w:eastAsia="zh-CN"/>
              </w:rPr>
              <w:t>〕</w:t>
            </w:r>
            <w:r>
              <w:rPr>
                <w:rFonts w:hint="eastAsia" w:ascii="Times New Roman" w:hAnsi="Times New Roman" w:eastAsia="仿宋_GB2312" w:cs="Times New Roman"/>
                <w:color w:val="000000"/>
                <w:kern w:val="2"/>
                <w:sz w:val="28"/>
                <w:szCs w:val="28"/>
                <w:lang w:val="en-US" w:eastAsia="zh-CN" w:bidi="ar-SA"/>
              </w:rPr>
              <w:t>14</w:t>
            </w:r>
            <w:r>
              <w:rPr>
                <w:rFonts w:hint="default" w:ascii="Times New Roman" w:hAnsi="Times New Roman" w:eastAsia="仿宋_GB2312" w:cs="Times New Roman"/>
                <w:color w:val="000000"/>
                <w:kern w:val="2"/>
                <w:sz w:val="28"/>
                <w:szCs w:val="28"/>
                <w:lang w:val="en-US" w:eastAsia="zh-CN" w:bidi="ar-SA"/>
              </w:rPr>
              <w:t>号</w:t>
            </w:r>
          </w:p>
        </w:tc>
        <w:tc>
          <w:tcPr>
            <w:tcW w:w="6432" w:type="dxa"/>
            <w:gridSpan w:val="2"/>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三、支持政策。符合条件的保障性住房项目适用经济适用住房有关税费支持政策。</w:t>
            </w:r>
            <w:r>
              <w:rPr>
                <w:rFonts w:hint="eastAsia" w:ascii="Times New Roman" w:hAnsi="Times New Roman"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70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城中村改造项目</w:t>
            </w:r>
          </w:p>
        </w:tc>
        <w:tc>
          <w:tcPr>
            <w:tcW w:w="1175"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免征</w:t>
            </w:r>
          </w:p>
        </w:tc>
        <w:tc>
          <w:tcPr>
            <w:tcW w:w="2837" w:type="dxa"/>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w:t>
            </w:r>
            <w:r>
              <w:rPr>
                <w:rFonts w:hint="eastAsia" w:ascii="Times New Roman" w:hAnsi="Times New Roman" w:eastAsia="仿宋_GB2312" w:cs="Times New Roman"/>
                <w:color w:val="000000"/>
                <w:kern w:val="2"/>
                <w:sz w:val="28"/>
                <w:szCs w:val="28"/>
                <w:lang w:val="en-US" w:eastAsia="zh-CN" w:bidi="ar-SA"/>
              </w:rPr>
              <w:t>办</w:t>
            </w:r>
            <w:r>
              <w:rPr>
                <w:rFonts w:hint="default" w:ascii="Times New Roman" w:hAnsi="Times New Roman" w:eastAsia="仿宋_GB2312" w:cs="Times New Roman"/>
                <w:color w:val="000000"/>
                <w:kern w:val="2"/>
                <w:sz w:val="28"/>
                <w:szCs w:val="28"/>
                <w:lang w:val="en-US" w:eastAsia="zh-CN" w:bidi="ar-SA"/>
              </w:rPr>
              <w:t>发</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w:t>
            </w:r>
            <w:r>
              <w:rPr>
                <w:rFonts w:hint="eastAsia" w:ascii="Times New Roman" w:hAnsi="Times New Roman" w:eastAsia="仿宋_GB2312" w:cs="Times New Roman"/>
                <w:color w:val="000000"/>
                <w:kern w:val="2"/>
                <w:sz w:val="28"/>
                <w:szCs w:val="28"/>
                <w:lang w:val="en-US" w:eastAsia="zh-CN" w:bidi="ar-SA"/>
              </w:rPr>
              <w:t>23</w:t>
            </w:r>
            <w:r>
              <w:rPr>
                <w:rFonts w:hint="eastAsia" w:ascii="Times New Roman" w:hAnsi="Times New Roman" w:eastAsia="仿宋_GB2312" w:cs="Times New Roman"/>
                <w:color w:val="000000"/>
                <w:kern w:val="2"/>
                <w:sz w:val="28"/>
                <w:szCs w:val="28"/>
                <w:lang w:val="en-US" w:eastAsia="zh-CN"/>
              </w:rPr>
              <w:t>〕</w:t>
            </w:r>
            <w:r>
              <w:rPr>
                <w:rFonts w:hint="eastAsia" w:ascii="Times New Roman" w:hAnsi="Times New Roman" w:eastAsia="仿宋_GB2312" w:cs="Times New Roman"/>
                <w:color w:val="000000"/>
                <w:kern w:val="2"/>
                <w:sz w:val="28"/>
                <w:szCs w:val="28"/>
                <w:lang w:val="en-US" w:eastAsia="zh-CN" w:bidi="ar-SA"/>
              </w:rPr>
              <w:t>25</w:t>
            </w:r>
            <w:r>
              <w:rPr>
                <w:rFonts w:hint="default" w:ascii="Times New Roman" w:hAnsi="Times New Roman" w:eastAsia="仿宋_GB2312" w:cs="Times New Roman"/>
                <w:color w:val="000000"/>
                <w:kern w:val="2"/>
                <w:sz w:val="28"/>
                <w:szCs w:val="28"/>
                <w:lang w:val="en-US" w:eastAsia="zh-CN" w:bidi="ar-SA"/>
              </w:rPr>
              <w:t>号</w:t>
            </w:r>
          </w:p>
        </w:tc>
        <w:tc>
          <w:tcPr>
            <w:tcW w:w="6432" w:type="dxa"/>
            <w:gridSpan w:val="2"/>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三、支持政策。符合条件的城中村改造项目适用现行棚户区改造有关税费支持政策。</w:t>
            </w:r>
            <w:r>
              <w:rPr>
                <w:rFonts w:hint="eastAsia" w:ascii="Times New Roman" w:hAnsi="Times New Roman"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10" w:hRule="atLeast"/>
          <w:jc w:val="center"/>
        </w:trPr>
        <w:tc>
          <w:tcPr>
            <w:tcW w:w="13132" w:type="dxa"/>
            <w:gridSpan w:val="4"/>
            <w:vAlign w:val="center"/>
          </w:tcPr>
          <w:p>
            <w:pPr>
              <w:pStyle w:val="14"/>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国家对减免城市基础设施配套费的其他规定或有新规定的，从其规定。</w:t>
            </w:r>
          </w:p>
        </w:tc>
      </w:tr>
    </w:tbl>
    <w:p>
      <w:pPr>
        <w:pStyle w:val="14"/>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lang w:val="en-US" w:eastAsia="zh-CN"/>
        </w:rPr>
      </w:pPr>
      <w:r>
        <w:rPr>
          <w:rFonts w:hint="default" w:ascii="Times New Roman" w:hAnsi="Times New Roman" w:eastAsia="仿宋_GB2312" w:cs="Times New Roman"/>
          <w:color w:val="000000"/>
          <w:kern w:val="2"/>
          <w:sz w:val="28"/>
          <w:szCs w:val="28"/>
          <w:lang w:val="en-US" w:eastAsia="zh-CN" w:bidi="ar-SA"/>
        </w:rPr>
        <w:t>备注</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此表仅是对国家相关文件规定的摘录。国家出台的减免政策最终解释权</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由中央相关职能部门负责解释</w:t>
      </w:r>
      <w:r>
        <w:rPr>
          <w:rFonts w:hint="eastAsia" w:ascii="Times New Roman" w:hAnsi="Times New Roman" w:eastAsia="仿宋_GB2312" w:cs="Times New Roman"/>
          <w:color w:val="000000"/>
          <w:kern w:val="2"/>
          <w:sz w:val="28"/>
          <w:szCs w:val="28"/>
          <w:lang w:val="en-US" w:eastAsia="zh-CN" w:bidi="ar-SA"/>
        </w:rPr>
        <w:t>。</w:t>
      </w:r>
    </w:p>
    <w:p>
      <w:pPr>
        <w:pStyle w:val="14"/>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Times New Roman" w:hAnsi="Times New Roman" w:eastAsia="仿宋_GB2312" w:cs="Times New Roman"/>
          <w:color w:val="000000"/>
          <w:kern w:val="2"/>
          <w:sz w:val="28"/>
          <w:szCs w:val="28"/>
          <w:lang w:val="en-US" w:eastAsia="zh-CN" w:bidi="ar-SA"/>
        </w:rPr>
        <w:sectPr>
          <w:pgSz w:w="16838" w:h="11906" w:orient="landscape"/>
          <w:pgMar w:top="1587" w:right="2098" w:bottom="1474" w:left="1984" w:header="708" w:footer="708" w:gutter="0"/>
          <w:pgNumType w:fmt="decimal"/>
          <w:cols w:space="708" w:num="1"/>
          <w:docGrid w:linePitch="360" w:charSpace="0"/>
        </w:sectPr>
      </w:pP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jc w:val="both"/>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rPr>
        <w:t>诸暨市城市基础设施配套费减免审批表</w:t>
      </w:r>
    </w:p>
    <w:p>
      <w:pPr>
        <w:keepNext w:val="0"/>
        <w:keepLines w:val="0"/>
        <w:pageBreakBefore w:val="0"/>
        <w:kinsoku/>
        <w:wordWrap/>
        <w:overflowPunct/>
        <w:topLinePunct w:val="0"/>
        <w:autoSpaceDE/>
        <w:autoSpaceDN/>
        <w:bidi w:val="0"/>
        <w:snapToGrid/>
        <w:spacing w:after="0" w:line="560" w:lineRule="exact"/>
        <w:ind w:right="880"/>
        <w:jc w:val="right"/>
        <w:rPr>
          <w:rFonts w:hint="eastAsia" w:ascii="仿宋_GB2312" w:hAnsi="仿宋_GB2312" w:eastAsia="仿宋_GB2312" w:cs="仿宋_GB2312"/>
          <w:sz w:val="24"/>
        </w:rPr>
      </w:pPr>
      <w:r>
        <w:rPr>
          <w:rFonts w:hint="eastAsia" w:ascii="仿宋_GB2312" w:hAnsi="仿宋_GB2312" w:eastAsia="仿宋_GB2312" w:cs="仿宋_GB2312"/>
          <w:sz w:val="24"/>
        </w:rPr>
        <w:t>填报时间：</w:t>
      </w:r>
    </w:p>
    <w:tbl>
      <w:tblPr>
        <w:tblStyle w:val="1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2469"/>
        <w:gridCol w:w="1889"/>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申请单位</w:t>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(盖章）</w:t>
            </w:r>
          </w:p>
        </w:tc>
        <w:tc>
          <w:tcPr>
            <w:tcW w:w="2469"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p>
        </w:tc>
        <w:tc>
          <w:tcPr>
            <w:tcW w:w="1889"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项</w:t>
            </w:r>
            <w:r>
              <w:rPr>
                <w:rFonts w:hint="eastAsia" w:ascii="仿宋_GB2312" w:hAnsi="仿宋_GB2312" w:eastAsia="仿宋_GB2312" w:cs="仿宋_GB2312"/>
                <w:spacing w:val="-6"/>
                <w:w w:val="90"/>
                <w:sz w:val="24"/>
              </w:rPr>
              <w:t>目名称</w:t>
            </w:r>
          </w:p>
        </w:tc>
        <w:tc>
          <w:tcPr>
            <w:tcW w:w="2527"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2469"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p>
        </w:tc>
        <w:tc>
          <w:tcPr>
            <w:tcW w:w="1889"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w w:val="80"/>
                <w:sz w:val="24"/>
              </w:rPr>
            </w:pPr>
            <w:r>
              <w:rPr>
                <w:rFonts w:hint="eastAsia" w:ascii="仿宋_GB2312" w:hAnsi="仿宋_GB2312" w:eastAsia="仿宋_GB2312" w:cs="仿宋_GB2312"/>
                <w:sz w:val="24"/>
              </w:rPr>
              <w:t>电话</w:t>
            </w:r>
          </w:p>
        </w:tc>
        <w:tc>
          <w:tcPr>
            <w:tcW w:w="2527"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供地方式</w:t>
            </w:r>
          </w:p>
        </w:tc>
        <w:tc>
          <w:tcPr>
            <w:tcW w:w="2469"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p>
        </w:tc>
        <w:tc>
          <w:tcPr>
            <w:tcW w:w="1889"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pacing w:val="-6"/>
                <w:w w:val="90"/>
                <w:sz w:val="24"/>
              </w:rPr>
              <w:t>规划许可证号</w:t>
            </w:r>
          </w:p>
        </w:tc>
        <w:tc>
          <w:tcPr>
            <w:tcW w:w="2527"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出让</w:t>
            </w:r>
            <w:r>
              <w:rPr>
                <w:rFonts w:hint="eastAsia" w:ascii="仿宋_GB2312" w:hAnsi="仿宋_GB2312" w:eastAsia="仿宋_GB2312" w:cs="仿宋_GB2312"/>
                <w:sz w:val="24"/>
                <w:lang w:val="en-US" w:eastAsia="zh-CN"/>
              </w:rPr>
              <w:t>公告</w:t>
            </w:r>
            <w:r>
              <w:rPr>
                <w:rFonts w:hint="eastAsia" w:ascii="仿宋_GB2312" w:hAnsi="仿宋_GB2312" w:eastAsia="仿宋_GB2312" w:cs="仿宋_GB2312"/>
                <w:sz w:val="24"/>
              </w:rPr>
              <w:t>时间</w:t>
            </w:r>
          </w:p>
        </w:tc>
        <w:tc>
          <w:tcPr>
            <w:tcW w:w="6885" w:type="dxa"/>
            <w:gridSpan w:val="3"/>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8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总建筑面积m</w:t>
            </w:r>
            <w:r>
              <w:rPr>
                <w:rFonts w:hint="eastAsia" w:ascii="仿宋_GB2312" w:hAnsi="仿宋_GB2312" w:eastAsia="仿宋_GB2312" w:cs="仿宋_GB2312"/>
                <w:sz w:val="24"/>
                <w:vertAlign w:val="superscript"/>
              </w:rPr>
              <w:t>2</w:t>
            </w:r>
          </w:p>
        </w:tc>
        <w:tc>
          <w:tcPr>
            <w:tcW w:w="6885" w:type="dxa"/>
            <w:gridSpan w:val="3"/>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8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住宅面积m</w:t>
            </w:r>
            <w:r>
              <w:rPr>
                <w:rFonts w:hint="eastAsia" w:ascii="仿宋_GB2312" w:hAnsi="仿宋_GB2312" w:eastAsia="仿宋_GB2312" w:cs="仿宋_GB2312"/>
                <w:sz w:val="24"/>
                <w:vertAlign w:val="superscript"/>
              </w:rPr>
              <w:t>2</w:t>
            </w:r>
          </w:p>
        </w:tc>
        <w:tc>
          <w:tcPr>
            <w:tcW w:w="2469"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p>
        </w:tc>
        <w:tc>
          <w:tcPr>
            <w:tcW w:w="1889"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非住宅面积m</w:t>
            </w:r>
            <w:r>
              <w:rPr>
                <w:rFonts w:hint="eastAsia" w:ascii="仿宋_GB2312" w:hAnsi="仿宋_GB2312" w:eastAsia="仿宋_GB2312" w:cs="仿宋_GB2312"/>
                <w:sz w:val="24"/>
                <w:vertAlign w:val="superscript"/>
              </w:rPr>
              <w:t>2</w:t>
            </w:r>
          </w:p>
        </w:tc>
        <w:tc>
          <w:tcPr>
            <w:tcW w:w="2527"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8738" w:type="dxa"/>
            <w:gridSpan w:val="4"/>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应征收金额（住宅部分（</w:t>
            </w:r>
            <w:r>
              <w:rPr>
                <w:rFonts w:hint="eastAsia" w:ascii="仿宋_GB2312" w:hAnsi="仿宋_GB2312" w:eastAsia="仿宋_GB2312" w:cs="仿宋_GB2312"/>
                <w:sz w:val="24"/>
                <w:lang w:val="en-US" w:eastAsia="zh-CN"/>
              </w:rPr>
              <w:t>55</w:t>
            </w:r>
            <w:r>
              <w:rPr>
                <w:rFonts w:hint="eastAsia" w:ascii="仿宋_GB2312" w:hAnsi="仿宋_GB2312" w:eastAsia="仿宋_GB2312" w:cs="仿宋_GB2312"/>
                <w:sz w:val="24"/>
              </w:rPr>
              <w:t>元/m</w:t>
            </w:r>
            <w:r>
              <w:rPr>
                <w:rFonts w:hint="eastAsia" w:ascii="仿宋_GB2312" w:hAnsi="仿宋_GB2312" w:eastAsia="仿宋_GB2312" w:cs="仿宋_GB2312"/>
                <w:sz w:val="24"/>
                <w:vertAlign w:val="superscript"/>
              </w:rPr>
              <w:t>2</w:t>
            </w:r>
            <w:r>
              <w:rPr>
                <w:rFonts w:hint="eastAsia" w:ascii="仿宋_GB2312" w:hAnsi="仿宋_GB2312" w:eastAsia="仿宋_GB2312" w:cs="仿宋_GB2312"/>
                <w:sz w:val="24"/>
              </w:rPr>
              <w:t>，非住宅部分（1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0元/m</w:t>
            </w:r>
            <w:r>
              <w:rPr>
                <w:rFonts w:hint="eastAsia" w:ascii="仿宋_GB2312" w:hAnsi="仿宋_GB2312" w:eastAsia="仿宋_GB2312" w:cs="仿宋_GB2312"/>
                <w:sz w:val="24"/>
                <w:vertAlign w:val="superscript"/>
              </w:rPr>
              <w:t>2</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18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要求减免金额</w:t>
            </w:r>
          </w:p>
        </w:tc>
        <w:tc>
          <w:tcPr>
            <w:tcW w:w="6885" w:type="dxa"/>
            <w:gridSpan w:val="3"/>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18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申请理由</w:t>
            </w:r>
          </w:p>
        </w:tc>
        <w:tc>
          <w:tcPr>
            <w:tcW w:w="6885" w:type="dxa"/>
            <w:gridSpan w:val="3"/>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jc w:val="center"/>
        </w:trPr>
        <w:tc>
          <w:tcPr>
            <w:tcW w:w="18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ind w:left="0" w:leftChars="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行</w:t>
            </w:r>
            <w:r>
              <w:rPr>
                <w:rFonts w:hint="eastAsia" w:ascii="仿宋_GB2312" w:hAnsi="仿宋_GB2312" w:eastAsia="仿宋_GB2312" w:cs="仿宋_GB2312"/>
                <w:sz w:val="24"/>
                <w:lang w:eastAsia="zh-CN"/>
              </w:rPr>
              <w:t>业主管</w:t>
            </w:r>
          </w:p>
          <w:p>
            <w:pPr>
              <w:keepNext w:val="0"/>
              <w:keepLines w:val="0"/>
              <w:pageBreakBefore w:val="0"/>
              <w:widowControl/>
              <w:kinsoku/>
              <w:wordWrap/>
              <w:overflowPunct/>
              <w:topLinePunct w:val="0"/>
              <w:autoSpaceDE/>
              <w:autoSpaceDN/>
              <w:bidi w:val="0"/>
              <w:adjustRightInd/>
              <w:snapToGrid w:val="0"/>
              <w:spacing w:after="0" w:line="240" w:lineRule="auto"/>
              <w:ind w:left="0" w:left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单位审核</w:t>
            </w:r>
            <w:r>
              <w:rPr>
                <w:rFonts w:hint="eastAsia" w:ascii="仿宋_GB2312" w:hAnsi="仿宋_GB2312" w:eastAsia="仿宋_GB2312" w:cs="仿宋_GB2312"/>
                <w:sz w:val="24"/>
              </w:rPr>
              <w:t>意见</w:t>
            </w:r>
          </w:p>
          <w:p>
            <w:pPr>
              <w:keepNext w:val="0"/>
              <w:keepLines w:val="0"/>
              <w:pageBreakBefore w:val="0"/>
              <w:widowControl/>
              <w:kinsoku/>
              <w:wordWrap/>
              <w:overflowPunct/>
              <w:topLinePunct w:val="0"/>
              <w:autoSpaceDE/>
              <w:autoSpaceDN/>
              <w:bidi w:val="0"/>
              <w:adjustRightInd/>
              <w:snapToGrid w:val="0"/>
              <w:spacing w:after="0" w:line="240" w:lineRule="auto"/>
              <w:ind w:left="0" w:leftChars="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（加盖公章）</w:t>
            </w:r>
          </w:p>
        </w:tc>
        <w:tc>
          <w:tcPr>
            <w:tcW w:w="6885" w:type="dxa"/>
            <w:gridSpan w:val="3"/>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经办人：          </w:t>
            </w:r>
            <w:r>
              <w:rPr>
                <w:rFonts w:hint="eastAsia" w:ascii="仿宋_GB2312" w:hAnsi="仿宋_GB2312" w:eastAsia="仿宋_GB2312" w:cs="仿宋_GB2312"/>
                <w:sz w:val="24"/>
                <w:lang w:eastAsia="zh-CN"/>
              </w:rPr>
              <w:t>单位</w:t>
            </w:r>
            <w:r>
              <w:rPr>
                <w:rFonts w:hint="eastAsia" w:ascii="仿宋_GB2312" w:hAnsi="仿宋_GB2312" w:eastAsia="仿宋_GB2312" w:cs="仿宋_GB2312"/>
                <w:sz w:val="24"/>
              </w:rPr>
              <w:t xml:space="preserve">负责人： </w:t>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exact"/>
          <w:jc w:val="center"/>
        </w:trPr>
        <w:tc>
          <w:tcPr>
            <w:tcW w:w="1853" w:type="dxa"/>
            <w:vAlign w:val="center"/>
          </w:tcPr>
          <w:p>
            <w:pPr>
              <w:pStyle w:val="8"/>
              <w:keepNext w:val="0"/>
              <w:keepLines w:val="0"/>
              <w:pageBreakBefore w:val="0"/>
              <w:widowControl/>
              <w:kinsoku/>
              <w:wordWrap/>
              <w:overflowPunct/>
              <w:topLinePunct w:val="0"/>
              <w:autoSpaceDE/>
              <w:autoSpaceDN/>
              <w:bidi w:val="0"/>
              <w:adjustRightInd/>
              <w:snapToGrid w:val="0"/>
              <w:spacing w:after="0" w:line="240" w:lineRule="auto"/>
              <w:ind w:left="480" w:leftChars="0"/>
              <w:jc w:val="center"/>
              <w:textAlignment w:val="auto"/>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执收单位</w:t>
            </w:r>
          </w:p>
          <w:p>
            <w:pPr>
              <w:pStyle w:val="8"/>
              <w:keepNext w:val="0"/>
              <w:keepLines w:val="0"/>
              <w:pageBreakBefore w:val="0"/>
              <w:widowControl/>
              <w:kinsoku/>
              <w:wordWrap/>
              <w:overflowPunct/>
              <w:topLinePunct w:val="0"/>
              <w:autoSpaceDE/>
              <w:autoSpaceDN/>
              <w:bidi w:val="0"/>
              <w:adjustRightInd/>
              <w:snapToGrid w:val="0"/>
              <w:spacing w:after="0" w:line="240" w:lineRule="auto"/>
              <w:ind w:left="480" w:leftChars="0"/>
              <w:jc w:val="center"/>
              <w:textAlignment w:val="auto"/>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审批意见</w:t>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（加盖公章）</w:t>
            </w:r>
          </w:p>
        </w:tc>
        <w:tc>
          <w:tcPr>
            <w:tcW w:w="6885" w:type="dxa"/>
            <w:gridSpan w:val="3"/>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jc w:val="left"/>
        <w:textAlignment w:val="baseline"/>
        <w:rPr>
          <w:rFonts w:hint="eastAsia" w:ascii="仿宋_GB2312" w:hAnsi="仿宋_GB2312" w:eastAsia="仿宋_GB2312" w:cs="仿宋_GB2312"/>
          <w:i w:val="0"/>
          <w:caps w:val="0"/>
          <w:color w:val="333333"/>
          <w:spacing w:val="15"/>
          <w:sz w:val="24"/>
          <w:szCs w:val="24"/>
          <w:vertAlign w:val="baseline"/>
          <w:lang w:eastAsia="zh-CN"/>
        </w:rPr>
      </w:pPr>
      <w:r>
        <w:rPr>
          <w:rFonts w:hint="eastAsia" w:ascii="仿宋_GB2312" w:hAnsi="仿宋_GB2312" w:eastAsia="仿宋_GB2312" w:cs="仿宋_GB2312"/>
          <w:i w:val="0"/>
          <w:caps w:val="0"/>
          <w:color w:val="333333"/>
          <w:spacing w:val="15"/>
          <w:sz w:val="24"/>
          <w:szCs w:val="24"/>
          <w:vertAlign w:val="baseline"/>
        </w:rPr>
        <w:t>说明:本表一式两份,费用收讫完毕后一份市住建局留存、一份</w:t>
      </w:r>
      <w:r>
        <w:rPr>
          <w:rFonts w:hint="eastAsia" w:ascii="仿宋_GB2312" w:hAnsi="仿宋_GB2312" w:eastAsia="仿宋_GB2312" w:cs="仿宋_GB2312"/>
          <w:i w:val="0"/>
          <w:caps w:val="0"/>
          <w:color w:val="333333"/>
          <w:spacing w:val="15"/>
          <w:sz w:val="24"/>
          <w:szCs w:val="24"/>
          <w:vertAlign w:val="baseline"/>
          <w:lang w:val="en-US" w:eastAsia="zh-CN"/>
        </w:rPr>
        <w:t>财政局备案</w:t>
      </w:r>
      <w:r>
        <w:rPr>
          <w:rFonts w:hint="eastAsia" w:ascii="仿宋_GB2312" w:hAnsi="仿宋_GB2312" w:eastAsia="仿宋_GB2312" w:cs="仿宋_GB2312"/>
          <w:i w:val="0"/>
          <w:caps w:val="0"/>
          <w:color w:val="333333"/>
          <w:spacing w:val="15"/>
          <w:sz w:val="24"/>
          <w:szCs w:val="24"/>
          <w:vertAlign w:val="baseline"/>
          <w:lang w:eastAsia="zh-CN"/>
        </w:rPr>
        <w:t>。</w:t>
      </w:r>
    </w:p>
    <w:p>
      <w:pPr>
        <w:pStyle w:val="14"/>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p>
    <w:sectPr>
      <w:footerReference r:id="rId6" w:type="default"/>
      <w:pgSz w:w="11906" w:h="16838"/>
      <w:pgMar w:top="2098" w:right="1474" w:bottom="1984" w:left="1587"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Theme="minorEastAsia" w:hAnsiTheme="minorEastAsia" w:eastAsiaTheme="minorEastAsia" w:cstheme="minorEastAsia"/>
                              <w:sz w:val="28"/>
                              <w:szCs w:val="28"/>
                            </w:rPr>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lCCcgBAACZ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NJQgn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Theme="minorEastAsia" w:hAnsiTheme="minorEastAsia" w:eastAsiaTheme="minorEastAsia" w:cstheme="minorEastAsia"/>
                              <w:sz w:val="28"/>
                              <w:szCs w:val="28"/>
                            </w:rPr>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760BC"/>
    <w:multiLevelType w:val="singleLevel"/>
    <w:tmpl w:val="199760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16F66AF"/>
    <w:rsid w:val="0195414A"/>
    <w:rsid w:val="049110F9"/>
    <w:rsid w:val="07F17746"/>
    <w:rsid w:val="13D90C2A"/>
    <w:rsid w:val="16354BE2"/>
    <w:rsid w:val="19826E2E"/>
    <w:rsid w:val="1AA13ABF"/>
    <w:rsid w:val="1D740FDF"/>
    <w:rsid w:val="1F15650D"/>
    <w:rsid w:val="214C7431"/>
    <w:rsid w:val="2196087F"/>
    <w:rsid w:val="2491335A"/>
    <w:rsid w:val="25C61809"/>
    <w:rsid w:val="26704220"/>
    <w:rsid w:val="27102AA5"/>
    <w:rsid w:val="27467AF3"/>
    <w:rsid w:val="2B2A53BE"/>
    <w:rsid w:val="2C6E1AFE"/>
    <w:rsid w:val="3AA06D7A"/>
    <w:rsid w:val="3AAE4F1E"/>
    <w:rsid w:val="3B91241B"/>
    <w:rsid w:val="3F0E16A2"/>
    <w:rsid w:val="4232579D"/>
    <w:rsid w:val="427A2489"/>
    <w:rsid w:val="42FA200D"/>
    <w:rsid w:val="48847404"/>
    <w:rsid w:val="48E14BF9"/>
    <w:rsid w:val="4A986FA9"/>
    <w:rsid w:val="519154A5"/>
    <w:rsid w:val="52671F54"/>
    <w:rsid w:val="535913E2"/>
    <w:rsid w:val="54C10DD8"/>
    <w:rsid w:val="5AD86B1A"/>
    <w:rsid w:val="62CC6143"/>
    <w:rsid w:val="647405C4"/>
    <w:rsid w:val="64824460"/>
    <w:rsid w:val="68DD0117"/>
    <w:rsid w:val="695732E1"/>
    <w:rsid w:val="6ED830C0"/>
    <w:rsid w:val="6EE0647E"/>
    <w:rsid w:val="6FE34C8A"/>
    <w:rsid w:val="713E527C"/>
    <w:rsid w:val="7512151E"/>
    <w:rsid w:val="772D1161"/>
    <w:rsid w:val="7B8700B2"/>
    <w:rsid w:val="7C77505F"/>
    <w:rsid w:val="7CBF1172"/>
    <w:rsid w:val="7E99294E"/>
    <w:rsid w:val="7EB6351D"/>
    <w:rsid w:val="7FF35C0E"/>
    <w:rsid w:val="BDFD529D"/>
    <w:rsid w:val="C4FE238E"/>
    <w:rsid w:val="CFEF568E"/>
    <w:rsid w:val="DF7FD81B"/>
    <w:rsid w:val="F1A8714A"/>
    <w:rsid w:val="F9BA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figures"/>
    <w:basedOn w:val="1"/>
    <w:next w:val="1"/>
    <w:unhideWhenUsed/>
    <w:uiPriority w:val="99"/>
    <w:pPr>
      <w:ind w:left="400" w:leftChars="200" w:hanging="200" w:hangingChars="200"/>
    </w:pPr>
  </w:style>
  <w:style w:type="paragraph" w:styleId="9">
    <w:name w:val="Normal (Web)"/>
    <w:basedOn w:val="1"/>
    <w:unhideWhenUsed/>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YuYang</cp:lastModifiedBy>
  <cp:lastPrinted>2024-05-27T08:30:00Z</cp:lastPrinted>
  <dcterms:modified xsi:type="dcterms:W3CDTF">2024-06-12T08:46:38Z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F390FCC1CB8149C39E01AA83BA9E6756</vt:lpwstr>
  </property>
</Properties>
</file>