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DBB528">
      <w:pPr>
        <w:keepNext w:val="0"/>
        <w:keepLines w:val="0"/>
        <w:pageBreakBefore w:val="0"/>
        <w:widowControl w:val="0"/>
        <w:kinsoku/>
        <w:wordWrap/>
        <w:overflowPunct/>
        <w:topLinePunct w:val="0"/>
        <w:autoSpaceDE/>
        <w:autoSpaceDN/>
        <w:bidi w:val="0"/>
        <w:adjustRightInd w:val="0"/>
        <w:snapToGrid w:val="0"/>
        <w:spacing w:line="640" w:lineRule="exact"/>
        <w:jc w:val="center"/>
        <w:textAlignment w:val="auto"/>
        <w:rPr>
          <w:rFonts w:hint="default" w:ascii="Times New Roman" w:hAnsi="Times New Roman" w:eastAsia="方正小标宋简体" w:cs="Times New Roman"/>
          <w:color w:val="000000"/>
          <w:sz w:val="32"/>
          <w:szCs w:val="32"/>
          <w:lang w:val="en-US" w:eastAsia="zh-CN"/>
        </w:rPr>
      </w:pPr>
      <w:r>
        <w:rPr>
          <w:rFonts w:hint="eastAsia" w:eastAsia="方正小标宋简体" w:cs="Times New Roman"/>
          <w:color w:val="000000"/>
          <w:sz w:val="32"/>
          <w:szCs w:val="32"/>
          <w:lang w:val="en-US" w:eastAsia="zh-CN"/>
        </w:rPr>
        <w:t>路桥区塑料吸管</w:t>
      </w:r>
      <w:r>
        <w:rPr>
          <w:rFonts w:hint="default" w:ascii="Times New Roman" w:hAnsi="Times New Roman" w:eastAsia="方正小标宋简体" w:cs="Times New Roman"/>
          <w:color w:val="000000"/>
          <w:sz w:val="32"/>
          <w:szCs w:val="32"/>
          <w:lang w:val="en-US" w:eastAsia="zh-CN"/>
        </w:rPr>
        <w:t>产品质量监督抽查实施细则</w:t>
      </w:r>
    </w:p>
    <w:p w14:paraId="5E1FB014">
      <w:pPr>
        <w:keepNext w:val="0"/>
        <w:keepLines w:val="0"/>
        <w:pageBreakBefore w:val="0"/>
        <w:widowControl w:val="0"/>
        <w:kinsoku/>
        <w:wordWrap/>
        <w:overflowPunct/>
        <w:topLinePunct w:val="0"/>
        <w:autoSpaceDE/>
        <w:autoSpaceDN/>
        <w:bidi w:val="0"/>
        <w:adjustRightInd w:val="0"/>
        <w:snapToGrid w:val="0"/>
        <w:spacing w:line="640" w:lineRule="exact"/>
        <w:jc w:val="center"/>
        <w:textAlignment w:val="auto"/>
        <w:rPr>
          <w:rFonts w:hint="default" w:ascii="Times New Roman" w:hAnsi="Times New Roman" w:eastAsia="方正小标宋简体" w:cs="Times New Roman"/>
          <w:color w:val="000000"/>
          <w:sz w:val="32"/>
          <w:szCs w:val="32"/>
          <w:lang w:val="en-US" w:eastAsia="zh-CN"/>
        </w:rPr>
      </w:pPr>
      <w:r>
        <w:rPr>
          <w:rFonts w:hint="default" w:ascii="Times New Roman" w:hAnsi="Times New Roman" w:eastAsia="方正小标宋简体" w:cs="Times New Roman"/>
          <w:color w:val="000000"/>
          <w:sz w:val="32"/>
          <w:szCs w:val="32"/>
          <w:lang w:val="en-US" w:eastAsia="zh-CN"/>
        </w:rPr>
        <w:t>（202</w:t>
      </w:r>
      <w:r>
        <w:rPr>
          <w:rFonts w:hint="eastAsia" w:eastAsia="方正小标宋简体" w:cs="Times New Roman"/>
          <w:color w:val="000000"/>
          <w:sz w:val="32"/>
          <w:szCs w:val="32"/>
          <w:lang w:val="en-US" w:eastAsia="zh-CN"/>
        </w:rPr>
        <w:t>5</w:t>
      </w:r>
      <w:r>
        <w:rPr>
          <w:rFonts w:hint="default" w:ascii="Times New Roman" w:hAnsi="Times New Roman" w:eastAsia="方正小标宋简体" w:cs="Times New Roman"/>
          <w:color w:val="000000"/>
          <w:sz w:val="32"/>
          <w:szCs w:val="32"/>
          <w:lang w:val="en-US" w:eastAsia="zh-CN"/>
        </w:rPr>
        <w:t>年版）</w:t>
      </w:r>
    </w:p>
    <w:p w14:paraId="23C09386">
      <w:pPr>
        <w:keepNext w:val="0"/>
        <w:keepLines w:val="0"/>
        <w:pageBreakBefore w:val="0"/>
        <w:widowControl w:val="0"/>
        <w:kinsoku/>
        <w:wordWrap/>
        <w:overflowPunct/>
        <w:topLinePunct w:val="0"/>
        <w:autoSpaceDE/>
        <w:autoSpaceDN/>
        <w:bidi w:val="0"/>
        <w:adjustRightInd w:val="0"/>
        <w:snapToGrid w:val="0"/>
        <w:spacing w:line="640" w:lineRule="exact"/>
        <w:jc w:val="center"/>
        <w:textAlignment w:val="auto"/>
        <w:rPr>
          <w:rFonts w:hint="default" w:ascii="Times New Roman" w:hAnsi="Times New Roman" w:eastAsia="方正小标宋简体" w:cs="Times New Roman"/>
          <w:color w:val="000000"/>
          <w:sz w:val="32"/>
          <w:szCs w:val="32"/>
          <w:lang w:val="en-US" w:eastAsia="zh-CN"/>
        </w:rPr>
      </w:pPr>
    </w:p>
    <w:p w14:paraId="18052B1B">
      <w:pPr>
        <w:adjustRightInd w:val="0"/>
        <w:snapToGrid w:val="0"/>
        <w:spacing w:line="440" w:lineRule="exact"/>
        <w:outlineLvl w:val="1"/>
        <w:rPr>
          <w:rFonts w:hint="default" w:ascii="Times New Roman" w:hAnsi="Times New Roman" w:eastAsia="黑体" w:cs="Times New Roman"/>
          <w:sz w:val="21"/>
          <w:szCs w:val="21"/>
        </w:rPr>
      </w:pPr>
      <w:r>
        <w:rPr>
          <w:rFonts w:hint="default" w:ascii="Times New Roman" w:hAnsi="Times New Roman" w:eastAsia="黑体" w:cs="Times New Roman"/>
          <w:sz w:val="21"/>
          <w:szCs w:val="21"/>
        </w:rPr>
        <w:t>1 抽样方法</w:t>
      </w:r>
    </w:p>
    <w:p w14:paraId="03A3219D">
      <w:pPr>
        <w:adjustRightInd w:val="0"/>
        <w:snapToGrid w:val="0"/>
        <w:spacing w:line="440" w:lineRule="exact"/>
        <w:ind w:firstLine="420" w:firstLineChars="200"/>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以随机抽样的方式在被抽样生产者、销售者的待销产品中抽取。</w:t>
      </w:r>
    </w:p>
    <w:p w14:paraId="308B9512">
      <w:pPr>
        <w:adjustRightInd w:val="0"/>
        <w:snapToGrid w:val="0"/>
        <w:spacing w:line="440" w:lineRule="exact"/>
        <w:ind w:firstLine="420" w:firstLineChars="200"/>
        <w:rPr>
          <w:rFonts w:hint="default" w:ascii="Times New Roman" w:hAnsi="Times New Roman" w:eastAsia="宋体" w:cs="Times New Roman"/>
          <w:b w:val="0"/>
          <w:bCs w:val="0"/>
          <w:color w:val="000000"/>
          <w:sz w:val="21"/>
          <w:szCs w:val="21"/>
          <w:lang w:eastAsia="zh-CN"/>
        </w:rPr>
      </w:pPr>
      <w:r>
        <w:rPr>
          <w:rFonts w:hint="default" w:ascii="Times New Roman" w:hAnsi="Times New Roman" w:eastAsia="宋体" w:cs="Times New Roman"/>
          <w:b w:val="0"/>
          <w:bCs w:val="0"/>
          <w:sz w:val="21"/>
          <w:szCs w:val="21"/>
        </w:rPr>
        <w:t>随机数一般可使用随机数表等方法产生。</w:t>
      </w:r>
      <w:r>
        <w:rPr>
          <w:rFonts w:hint="eastAsia" w:ascii="宋体" w:hAnsi="宋体" w:cs="宋体"/>
          <w:color w:val="000000"/>
          <w:szCs w:val="21"/>
        </w:rPr>
        <w:t>为避免抽样时破坏原包装，可按采样数折算所需的最少包装数抽取样品，</w:t>
      </w:r>
      <w:r>
        <w:rPr>
          <w:rFonts w:hint="default" w:ascii="Times New Roman" w:hAnsi="Times New Roman" w:eastAsia="宋体" w:cs="Times New Roman"/>
          <w:b w:val="0"/>
          <w:bCs w:val="0"/>
          <w:color w:val="000000"/>
          <w:sz w:val="21"/>
          <w:szCs w:val="21"/>
        </w:rPr>
        <w:t>在满足检测用量的情况下，可以适当减少抽样量</w:t>
      </w:r>
      <w:r>
        <w:rPr>
          <w:rFonts w:hint="default" w:ascii="Times New Roman" w:hAnsi="Times New Roman" w:eastAsia="宋体" w:cs="Times New Roman"/>
          <w:b w:val="0"/>
          <w:bCs w:val="0"/>
          <w:color w:val="000000"/>
          <w:sz w:val="21"/>
          <w:szCs w:val="21"/>
          <w:lang w:eastAsia="zh-CN"/>
        </w:rPr>
        <w:t>。</w:t>
      </w:r>
    </w:p>
    <w:p w14:paraId="1E022662">
      <w:pPr>
        <w:snapToGrid w:val="0"/>
        <w:spacing w:line="440" w:lineRule="exact"/>
        <w:ind w:firstLine="420" w:firstLineChars="200"/>
        <w:jc w:val="center"/>
        <w:rPr>
          <w:rFonts w:hint="default" w:ascii="Times New Roman" w:hAnsi="Times New Roman" w:eastAsia="宋体" w:cs="Times New Roman"/>
          <w:b w:val="0"/>
          <w:bCs w:val="0"/>
          <w:color w:val="000000"/>
          <w:sz w:val="21"/>
          <w:szCs w:val="21"/>
        </w:rPr>
      </w:pPr>
      <w:r>
        <w:rPr>
          <w:rFonts w:hint="default" w:ascii="Times New Roman" w:hAnsi="Times New Roman" w:eastAsia="宋体" w:cs="Times New Roman"/>
          <w:b w:val="0"/>
          <w:bCs w:val="0"/>
          <w:color w:val="000000"/>
          <w:sz w:val="21"/>
          <w:szCs w:val="21"/>
        </w:rPr>
        <w:t>表1 抽取样品数量</w:t>
      </w:r>
    </w:p>
    <w:tbl>
      <w:tblPr>
        <w:tblStyle w:val="13"/>
        <w:tblW w:w="492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3"/>
        <w:gridCol w:w="3185"/>
        <w:gridCol w:w="1274"/>
        <w:gridCol w:w="1783"/>
        <w:gridCol w:w="1784"/>
      </w:tblGrid>
      <w:tr w14:paraId="5E9C0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82" w:hRule="atLeast"/>
          <w:tblHeader/>
          <w:jc w:val="center"/>
        </w:trPr>
        <w:tc>
          <w:tcPr>
            <w:tcW w:w="555" w:type="pct"/>
            <w:noWrap w:val="0"/>
            <w:vAlign w:val="center"/>
          </w:tcPr>
          <w:p w14:paraId="29B2A4C4">
            <w:pPr>
              <w:snapToGrid w:val="0"/>
              <w:jc w:val="center"/>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序号</w:t>
            </w:r>
          </w:p>
        </w:tc>
        <w:tc>
          <w:tcPr>
            <w:tcW w:w="1763" w:type="pct"/>
            <w:noWrap w:val="0"/>
            <w:vAlign w:val="center"/>
          </w:tcPr>
          <w:p w14:paraId="3BBDB0CD">
            <w:pPr>
              <w:snapToGrid w:val="0"/>
              <w:jc w:val="center"/>
              <w:rPr>
                <w:rFonts w:hint="default" w:ascii="Times New Roman" w:hAnsi="Times New Roman" w:eastAsia="宋体" w:cs="Times New Roman"/>
                <w:b w:val="0"/>
                <w:bCs w:val="0"/>
                <w:color w:val="000000"/>
                <w:sz w:val="21"/>
                <w:szCs w:val="21"/>
              </w:rPr>
            </w:pPr>
            <w:r>
              <w:rPr>
                <w:rFonts w:hint="default" w:ascii="Times New Roman" w:hAnsi="Times New Roman" w:eastAsia="宋体" w:cs="Times New Roman"/>
                <w:b w:val="0"/>
                <w:bCs w:val="0"/>
                <w:sz w:val="21"/>
                <w:szCs w:val="21"/>
              </w:rPr>
              <w:t>产品种类</w:t>
            </w:r>
          </w:p>
        </w:tc>
        <w:tc>
          <w:tcPr>
            <w:tcW w:w="705" w:type="pct"/>
            <w:noWrap w:val="0"/>
            <w:vAlign w:val="center"/>
          </w:tcPr>
          <w:p w14:paraId="0B5A4260">
            <w:pPr>
              <w:snapToGrid w:val="0"/>
              <w:jc w:val="center"/>
              <w:rPr>
                <w:rFonts w:hint="default" w:ascii="Times New Roman" w:hAnsi="Times New Roman" w:eastAsia="宋体" w:cs="Times New Roman"/>
                <w:b w:val="0"/>
                <w:bCs w:val="0"/>
                <w:color w:val="000000"/>
                <w:sz w:val="21"/>
                <w:szCs w:val="21"/>
              </w:rPr>
            </w:pPr>
            <w:r>
              <w:rPr>
                <w:rFonts w:hint="default" w:ascii="Times New Roman" w:hAnsi="Times New Roman" w:eastAsia="宋体" w:cs="Times New Roman"/>
                <w:b w:val="0"/>
                <w:bCs w:val="0"/>
                <w:color w:val="000000"/>
                <w:sz w:val="21"/>
                <w:szCs w:val="21"/>
              </w:rPr>
              <w:t xml:space="preserve">抽样数量 </w:t>
            </w:r>
          </w:p>
        </w:tc>
        <w:tc>
          <w:tcPr>
            <w:tcW w:w="987" w:type="pct"/>
            <w:noWrap w:val="0"/>
            <w:vAlign w:val="center"/>
          </w:tcPr>
          <w:p w14:paraId="703209C9">
            <w:pPr>
              <w:snapToGrid w:val="0"/>
              <w:jc w:val="center"/>
              <w:rPr>
                <w:rFonts w:hint="default" w:ascii="Times New Roman" w:hAnsi="Times New Roman" w:eastAsia="宋体" w:cs="Times New Roman"/>
                <w:b w:val="0"/>
                <w:bCs w:val="0"/>
                <w:color w:val="000000"/>
                <w:sz w:val="21"/>
                <w:szCs w:val="21"/>
              </w:rPr>
            </w:pPr>
            <w:r>
              <w:rPr>
                <w:rFonts w:hint="default" w:ascii="Times New Roman" w:hAnsi="Times New Roman" w:eastAsia="宋体" w:cs="Times New Roman"/>
                <w:b w:val="0"/>
                <w:bCs w:val="0"/>
                <w:color w:val="000000"/>
                <w:sz w:val="21"/>
                <w:szCs w:val="21"/>
              </w:rPr>
              <w:t xml:space="preserve">检验样品数量 </w:t>
            </w:r>
          </w:p>
        </w:tc>
        <w:tc>
          <w:tcPr>
            <w:tcW w:w="987" w:type="pct"/>
            <w:noWrap w:val="0"/>
            <w:vAlign w:val="center"/>
          </w:tcPr>
          <w:p w14:paraId="43078B11">
            <w:pPr>
              <w:snapToGrid w:val="0"/>
              <w:jc w:val="center"/>
              <w:rPr>
                <w:rFonts w:hint="default" w:ascii="Times New Roman" w:hAnsi="Times New Roman" w:eastAsia="宋体" w:cs="Times New Roman"/>
                <w:b w:val="0"/>
                <w:bCs w:val="0"/>
                <w:color w:val="000000"/>
                <w:sz w:val="21"/>
                <w:szCs w:val="21"/>
              </w:rPr>
            </w:pPr>
            <w:r>
              <w:rPr>
                <w:rFonts w:hint="default" w:ascii="Times New Roman" w:hAnsi="Times New Roman" w:eastAsia="宋体" w:cs="Times New Roman"/>
                <w:b w:val="0"/>
                <w:bCs w:val="0"/>
                <w:color w:val="000000"/>
                <w:sz w:val="21"/>
                <w:szCs w:val="21"/>
              </w:rPr>
              <w:t xml:space="preserve">备用样品数量 </w:t>
            </w:r>
          </w:p>
        </w:tc>
      </w:tr>
      <w:tr w14:paraId="26CDB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blHeader/>
          <w:jc w:val="center"/>
        </w:trPr>
        <w:tc>
          <w:tcPr>
            <w:tcW w:w="555" w:type="pct"/>
            <w:noWrap w:val="0"/>
            <w:vAlign w:val="center"/>
          </w:tcPr>
          <w:p w14:paraId="5AEFBC90">
            <w:pPr>
              <w:snapToGrid w:val="0"/>
              <w:jc w:val="center"/>
              <w:rPr>
                <w:rFonts w:hint="eastAsia" w:ascii="Times New Roman" w:hAnsi="Times New Roman" w:eastAsia="宋体" w:cs="Times New Roman"/>
                <w:b w:val="0"/>
                <w:bCs w:val="0"/>
                <w:sz w:val="21"/>
                <w:szCs w:val="21"/>
                <w:lang w:val="en-US" w:eastAsia="zh-CN"/>
              </w:rPr>
            </w:pPr>
            <w:r>
              <w:rPr>
                <w:rFonts w:hint="eastAsia" w:cs="Times New Roman"/>
                <w:b w:val="0"/>
                <w:bCs w:val="0"/>
                <w:sz w:val="21"/>
                <w:szCs w:val="21"/>
                <w:lang w:val="en-US" w:eastAsia="zh-CN"/>
              </w:rPr>
              <w:t>1</w:t>
            </w:r>
          </w:p>
        </w:tc>
        <w:tc>
          <w:tcPr>
            <w:tcW w:w="1763" w:type="pct"/>
            <w:noWrap w:val="0"/>
            <w:vAlign w:val="center"/>
          </w:tcPr>
          <w:p w14:paraId="3CFB64AA">
            <w:pPr>
              <w:snapToGrid w:val="0"/>
              <w:jc w:val="center"/>
              <w:rPr>
                <w:rFonts w:hint="default" w:ascii="Times New Roman" w:hAnsi="Times New Roman" w:eastAsia="宋体" w:cs="Times New Roman"/>
                <w:b w:val="0"/>
                <w:bCs w:val="0"/>
                <w:sz w:val="21"/>
                <w:szCs w:val="21"/>
              </w:rPr>
            </w:pPr>
            <w:r>
              <w:rPr>
                <w:rFonts w:hint="eastAsia" w:cs="Times New Roman"/>
                <w:b w:val="0"/>
                <w:bCs w:val="0"/>
                <w:sz w:val="21"/>
                <w:szCs w:val="21"/>
                <w:lang w:val="en-US" w:eastAsia="zh-CN"/>
              </w:rPr>
              <w:t>聚丙烯</w:t>
            </w:r>
            <w:r>
              <w:rPr>
                <w:rFonts w:hint="default" w:ascii="Times New Roman" w:hAnsi="Times New Roman" w:eastAsia="宋体" w:cs="Times New Roman"/>
                <w:b w:val="0"/>
                <w:bCs w:val="0"/>
                <w:sz w:val="21"/>
                <w:szCs w:val="21"/>
              </w:rPr>
              <w:t>饮用吸管</w:t>
            </w:r>
          </w:p>
        </w:tc>
        <w:tc>
          <w:tcPr>
            <w:tcW w:w="705" w:type="pct"/>
            <w:noWrap w:val="0"/>
            <w:vAlign w:val="center"/>
          </w:tcPr>
          <w:p w14:paraId="46FC125E">
            <w:pPr>
              <w:snapToGrid w:val="0"/>
              <w:jc w:val="center"/>
              <w:rPr>
                <w:rFonts w:hint="default" w:ascii="Times New Roman" w:hAnsi="Times New Roman" w:eastAsia="宋体" w:cs="Times New Roman"/>
                <w:b w:val="0"/>
                <w:bCs w:val="0"/>
                <w:sz w:val="21"/>
                <w:szCs w:val="21"/>
                <w:lang w:val="en-US" w:eastAsia="zh-CN"/>
              </w:rPr>
            </w:pPr>
            <w:r>
              <w:rPr>
                <w:rFonts w:hint="eastAsia" w:cs="Times New Roman"/>
                <w:b w:val="0"/>
                <w:bCs w:val="0"/>
                <w:sz w:val="21"/>
                <w:szCs w:val="21"/>
                <w:lang w:val="en-US" w:eastAsia="zh-CN"/>
              </w:rPr>
              <w:t>100</w:t>
            </w:r>
            <w:r>
              <w:rPr>
                <w:rFonts w:hint="default" w:ascii="Times New Roman" w:hAnsi="Times New Roman" w:eastAsia="宋体" w:cs="Times New Roman"/>
                <w:b w:val="0"/>
                <w:bCs w:val="0"/>
                <w:sz w:val="21"/>
                <w:szCs w:val="21"/>
              </w:rPr>
              <w:t>个</w:t>
            </w:r>
          </w:p>
        </w:tc>
        <w:tc>
          <w:tcPr>
            <w:tcW w:w="987" w:type="pct"/>
            <w:noWrap w:val="0"/>
            <w:vAlign w:val="center"/>
          </w:tcPr>
          <w:p w14:paraId="29CA5D2E">
            <w:pPr>
              <w:snapToGrid w:val="0"/>
              <w:jc w:val="center"/>
              <w:rPr>
                <w:rFonts w:hint="default" w:ascii="Times New Roman" w:hAnsi="Times New Roman" w:eastAsia="宋体" w:cs="Times New Roman"/>
                <w:b w:val="0"/>
                <w:bCs w:val="0"/>
                <w:sz w:val="21"/>
                <w:szCs w:val="21"/>
                <w:lang w:val="en-US" w:eastAsia="zh-CN"/>
              </w:rPr>
            </w:pPr>
            <w:r>
              <w:rPr>
                <w:rFonts w:hint="eastAsia" w:cs="Times New Roman"/>
                <w:b w:val="0"/>
                <w:bCs w:val="0"/>
                <w:sz w:val="21"/>
                <w:szCs w:val="21"/>
                <w:lang w:val="en-US" w:eastAsia="zh-CN"/>
              </w:rPr>
              <w:t>50</w:t>
            </w:r>
            <w:r>
              <w:rPr>
                <w:rFonts w:hint="default" w:ascii="Times New Roman" w:hAnsi="Times New Roman" w:eastAsia="宋体" w:cs="Times New Roman"/>
                <w:b w:val="0"/>
                <w:bCs w:val="0"/>
                <w:sz w:val="21"/>
                <w:szCs w:val="21"/>
              </w:rPr>
              <w:t>个</w:t>
            </w:r>
          </w:p>
        </w:tc>
        <w:tc>
          <w:tcPr>
            <w:tcW w:w="987" w:type="pct"/>
            <w:noWrap w:val="0"/>
            <w:vAlign w:val="center"/>
          </w:tcPr>
          <w:p w14:paraId="43A58EE0">
            <w:pPr>
              <w:snapToGrid w:val="0"/>
              <w:jc w:val="center"/>
              <w:rPr>
                <w:rFonts w:hint="default" w:ascii="Times New Roman" w:hAnsi="Times New Roman" w:eastAsia="宋体" w:cs="Times New Roman"/>
                <w:b w:val="0"/>
                <w:bCs w:val="0"/>
                <w:sz w:val="21"/>
                <w:szCs w:val="21"/>
                <w:lang w:val="en-US" w:eastAsia="zh-CN"/>
              </w:rPr>
            </w:pPr>
            <w:r>
              <w:rPr>
                <w:rFonts w:hint="eastAsia" w:cs="Times New Roman"/>
                <w:b w:val="0"/>
                <w:bCs w:val="0"/>
                <w:sz w:val="21"/>
                <w:szCs w:val="21"/>
                <w:lang w:val="en-US" w:eastAsia="zh-CN"/>
              </w:rPr>
              <w:t>50</w:t>
            </w:r>
            <w:r>
              <w:rPr>
                <w:rFonts w:hint="default" w:ascii="Times New Roman" w:hAnsi="Times New Roman" w:eastAsia="宋体" w:cs="Times New Roman"/>
                <w:b w:val="0"/>
                <w:bCs w:val="0"/>
                <w:sz w:val="21"/>
                <w:szCs w:val="21"/>
              </w:rPr>
              <w:t>个</w:t>
            </w:r>
          </w:p>
        </w:tc>
      </w:tr>
      <w:tr w14:paraId="16307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blHeader/>
          <w:jc w:val="center"/>
        </w:trPr>
        <w:tc>
          <w:tcPr>
            <w:tcW w:w="555" w:type="pct"/>
            <w:noWrap w:val="0"/>
            <w:vAlign w:val="center"/>
          </w:tcPr>
          <w:p w14:paraId="669FA51B">
            <w:pPr>
              <w:snapToGrid w:val="0"/>
              <w:jc w:val="center"/>
              <w:rPr>
                <w:rFonts w:hint="default" w:ascii="Times New Roman" w:hAnsi="Times New Roman" w:eastAsia="宋体" w:cs="Times New Roman"/>
                <w:b w:val="0"/>
                <w:bCs w:val="0"/>
                <w:sz w:val="21"/>
                <w:szCs w:val="21"/>
                <w:lang w:val="en-US" w:eastAsia="zh-CN"/>
              </w:rPr>
            </w:pPr>
            <w:r>
              <w:rPr>
                <w:rFonts w:hint="eastAsia" w:cs="Times New Roman"/>
                <w:b w:val="0"/>
                <w:bCs w:val="0"/>
                <w:sz w:val="21"/>
                <w:szCs w:val="21"/>
                <w:lang w:val="en-US" w:eastAsia="zh-CN"/>
              </w:rPr>
              <w:t>2</w:t>
            </w:r>
          </w:p>
        </w:tc>
        <w:tc>
          <w:tcPr>
            <w:tcW w:w="1763" w:type="pct"/>
            <w:noWrap w:val="0"/>
            <w:vAlign w:val="center"/>
          </w:tcPr>
          <w:p w14:paraId="0C3DD8A6">
            <w:pPr>
              <w:snapToGrid w:val="0"/>
              <w:jc w:val="center"/>
              <w:rPr>
                <w:rFonts w:hint="default" w:ascii="Times New Roman" w:hAnsi="Times New Roman" w:eastAsia="宋体" w:cs="Times New Roman"/>
                <w:b w:val="0"/>
                <w:bCs w:val="0"/>
                <w:sz w:val="21"/>
                <w:szCs w:val="21"/>
                <w:lang w:val="en-US" w:eastAsia="zh-CN"/>
              </w:rPr>
            </w:pPr>
            <w:r>
              <w:rPr>
                <w:rFonts w:hint="eastAsia" w:cs="Times New Roman"/>
                <w:b w:val="0"/>
                <w:bCs w:val="0"/>
                <w:sz w:val="21"/>
                <w:szCs w:val="21"/>
                <w:lang w:val="en-US" w:eastAsia="zh-CN"/>
              </w:rPr>
              <w:t>生物降解饮用吸管</w:t>
            </w:r>
          </w:p>
        </w:tc>
        <w:tc>
          <w:tcPr>
            <w:tcW w:w="705" w:type="pct"/>
            <w:noWrap w:val="0"/>
            <w:vAlign w:val="center"/>
          </w:tcPr>
          <w:p w14:paraId="0E8B37F8">
            <w:pPr>
              <w:snapToGrid w:val="0"/>
              <w:jc w:val="center"/>
              <w:rPr>
                <w:rFonts w:hint="default" w:ascii="Times New Roman" w:hAnsi="Times New Roman" w:eastAsia="宋体" w:cs="Times New Roman"/>
                <w:b w:val="0"/>
                <w:bCs w:val="0"/>
                <w:sz w:val="21"/>
                <w:szCs w:val="21"/>
                <w:lang w:val="en-US" w:eastAsia="zh-CN"/>
              </w:rPr>
            </w:pPr>
            <w:r>
              <w:rPr>
                <w:rFonts w:hint="eastAsia" w:cs="Times New Roman"/>
                <w:b w:val="0"/>
                <w:bCs w:val="0"/>
                <w:sz w:val="21"/>
                <w:szCs w:val="21"/>
                <w:lang w:val="en-US" w:eastAsia="zh-CN"/>
              </w:rPr>
              <w:t>100</w:t>
            </w:r>
            <w:r>
              <w:rPr>
                <w:rFonts w:hint="default" w:ascii="Times New Roman" w:hAnsi="Times New Roman" w:eastAsia="宋体" w:cs="Times New Roman"/>
                <w:b w:val="0"/>
                <w:bCs w:val="0"/>
                <w:sz w:val="21"/>
                <w:szCs w:val="21"/>
              </w:rPr>
              <w:t>个</w:t>
            </w:r>
          </w:p>
        </w:tc>
        <w:tc>
          <w:tcPr>
            <w:tcW w:w="987" w:type="pct"/>
            <w:noWrap w:val="0"/>
            <w:vAlign w:val="center"/>
          </w:tcPr>
          <w:p w14:paraId="05673D56">
            <w:pPr>
              <w:snapToGrid w:val="0"/>
              <w:jc w:val="center"/>
              <w:rPr>
                <w:rFonts w:hint="default" w:ascii="Times New Roman" w:hAnsi="Times New Roman" w:eastAsia="宋体" w:cs="Times New Roman"/>
                <w:b w:val="0"/>
                <w:bCs w:val="0"/>
                <w:sz w:val="21"/>
                <w:szCs w:val="21"/>
                <w:lang w:val="en-US" w:eastAsia="zh-CN"/>
              </w:rPr>
            </w:pPr>
            <w:r>
              <w:rPr>
                <w:rFonts w:hint="eastAsia" w:cs="Times New Roman"/>
                <w:b w:val="0"/>
                <w:bCs w:val="0"/>
                <w:sz w:val="21"/>
                <w:szCs w:val="21"/>
                <w:lang w:val="en-US" w:eastAsia="zh-CN"/>
              </w:rPr>
              <w:t>50</w:t>
            </w:r>
            <w:r>
              <w:rPr>
                <w:rFonts w:hint="default" w:ascii="Times New Roman" w:hAnsi="Times New Roman" w:eastAsia="宋体" w:cs="Times New Roman"/>
                <w:b w:val="0"/>
                <w:bCs w:val="0"/>
                <w:sz w:val="21"/>
                <w:szCs w:val="21"/>
              </w:rPr>
              <w:t>个</w:t>
            </w:r>
          </w:p>
        </w:tc>
        <w:tc>
          <w:tcPr>
            <w:tcW w:w="987" w:type="pct"/>
            <w:noWrap w:val="0"/>
            <w:vAlign w:val="center"/>
          </w:tcPr>
          <w:p w14:paraId="6C1FFAAC">
            <w:pPr>
              <w:snapToGrid w:val="0"/>
              <w:jc w:val="center"/>
              <w:rPr>
                <w:rFonts w:hint="default" w:ascii="Times New Roman" w:hAnsi="Times New Roman" w:eastAsia="宋体" w:cs="Times New Roman"/>
                <w:b w:val="0"/>
                <w:bCs w:val="0"/>
                <w:sz w:val="21"/>
                <w:szCs w:val="21"/>
                <w:lang w:val="en-US" w:eastAsia="zh-CN"/>
              </w:rPr>
            </w:pPr>
            <w:r>
              <w:rPr>
                <w:rFonts w:hint="eastAsia" w:cs="Times New Roman"/>
                <w:b w:val="0"/>
                <w:bCs w:val="0"/>
                <w:sz w:val="21"/>
                <w:szCs w:val="21"/>
                <w:lang w:val="en-US" w:eastAsia="zh-CN"/>
              </w:rPr>
              <w:t>50</w:t>
            </w:r>
            <w:r>
              <w:rPr>
                <w:rFonts w:hint="default" w:ascii="Times New Roman" w:hAnsi="Times New Roman" w:eastAsia="宋体" w:cs="Times New Roman"/>
                <w:b w:val="0"/>
                <w:bCs w:val="0"/>
                <w:sz w:val="21"/>
                <w:szCs w:val="21"/>
              </w:rPr>
              <w:t>个</w:t>
            </w:r>
          </w:p>
        </w:tc>
      </w:tr>
    </w:tbl>
    <w:p w14:paraId="5A8A4DC1">
      <w:pPr>
        <w:pStyle w:val="6"/>
        <w:spacing w:line="264" w:lineRule="auto"/>
        <w:ind w:firstLine="420" w:firstLineChars="200"/>
        <w:rPr>
          <w:rFonts w:hint="eastAsia" w:hAnsi="宋体" w:cs="Times New Roman"/>
        </w:rPr>
      </w:pPr>
    </w:p>
    <w:p w14:paraId="30F522FF">
      <w:pPr>
        <w:adjustRightInd w:val="0"/>
        <w:snapToGrid w:val="0"/>
        <w:spacing w:line="440" w:lineRule="exact"/>
        <w:outlineLvl w:val="1"/>
        <w:rPr>
          <w:rFonts w:hint="default" w:ascii="Times New Roman" w:hAnsi="Times New Roman" w:eastAsia="黑体" w:cs="Times New Roman"/>
          <w:sz w:val="21"/>
          <w:szCs w:val="21"/>
        </w:rPr>
      </w:pPr>
      <w:r>
        <w:rPr>
          <w:rFonts w:hint="default" w:ascii="Times New Roman" w:hAnsi="Times New Roman" w:eastAsia="黑体" w:cs="Times New Roman"/>
          <w:sz w:val="21"/>
          <w:szCs w:val="21"/>
        </w:rPr>
        <w:t>2 检验依据</w:t>
      </w:r>
    </w:p>
    <w:tbl>
      <w:tblPr>
        <w:tblStyle w:val="1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0"/>
        <w:gridCol w:w="4942"/>
        <w:gridCol w:w="3412"/>
      </w:tblGrid>
      <w:tr w14:paraId="0474F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blHeader/>
          <w:jc w:val="center"/>
        </w:trPr>
        <w:tc>
          <w:tcPr>
            <w:tcW w:w="447" w:type="pct"/>
            <w:noWrap w:val="0"/>
            <w:vAlign w:val="center"/>
          </w:tcPr>
          <w:p w14:paraId="299385CC">
            <w:pPr>
              <w:snapToGrid w:val="0"/>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序号</w:t>
            </w:r>
          </w:p>
        </w:tc>
        <w:tc>
          <w:tcPr>
            <w:tcW w:w="2693" w:type="pct"/>
            <w:noWrap w:val="0"/>
            <w:vAlign w:val="center"/>
          </w:tcPr>
          <w:p w14:paraId="2A810E8B">
            <w:pPr>
              <w:snapToGrid w:val="0"/>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检验项目</w:t>
            </w:r>
          </w:p>
        </w:tc>
        <w:tc>
          <w:tcPr>
            <w:tcW w:w="1859" w:type="pct"/>
            <w:noWrap w:val="0"/>
            <w:vAlign w:val="center"/>
          </w:tcPr>
          <w:p w14:paraId="422AC172">
            <w:pPr>
              <w:snapToGrid w:val="0"/>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检验方法</w:t>
            </w:r>
          </w:p>
        </w:tc>
      </w:tr>
      <w:tr w14:paraId="2F676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447" w:type="pct"/>
            <w:noWrap w:val="0"/>
            <w:vAlign w:val="center"/>
          </w:tcPr>
          <w:p w14:paraId="7EA2DDDB">
            <w:pPr>
              <w:snapToGrid w:val="0"/>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1</w:t>
            </w:r>
          </w:p>
        </w:tc>
        <w:tc>
          <w:tcPr>
            <w:tcW w:w="2693" w:type="pct"/>
            <w:noWrap w:val="0"/>
            <w:vAlign w:val="center"/>
          </w:tcPr>
          <w:p w14:paraId="24D12BA1">
            <w:pPr>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感官要求</w:t>
            </w:r>
          </w:p>
        </w:tc>
        <w:tc>
          <w:tcPr>
            <w:tcW w:w="1859" w:type="pct"/>
            <w:noWrap w:val="0"/>
            <w:vAlign w:val="center"/>
          </w:tcPr>
          <w:p w14:paraId="70CC1CA9">
            <w:pPr>
              <w:snapToGrid w:val="0"/>
              <w:jc w:val="center"/>
              <w:rPr>
                <w:rFonts w:hint="eastAsia" w:asciiTheme="minorEastAsia" w:hAnsiTheme="minorEastAsia" w:eastAsiaTheme="minorEastAsia" w:cstheme="minorEastAsia"/>
                <w:color w:val="000000"/>
                <w:sz w:val="21"/>
                <w:szCs w:val="21"/>
                <w:lang w:val="en-US" w:eastAsia="zh-CN"/>
              </w:rPr>
            </w:pPr>
            <w:r>
              <w:rPr>
                <w:rFonts w:hint="eastAsia" w:asciiTheme="minorEastAsia" w:hAnsiTheme="minorEastAsia" w:eastAsiaTheme="minorEastAsia" w:cstheme="minorEastAsia"/>
                <w:color w:val="000000"/>
                <w:sz w:val="21"/>
                <w:szCs w:val="21"/>
                <w:lang w:val="en-US" w:eastAsia="zh-CN"/>
              </w:rPr>
              <w:t>GB 4806.7-2023</w:t>
            </w:r>
          </w:p>
        </w:tc>
      </w:tr>
      <w:tr w14:paraId="7B823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447" w:type="pct"/>
            <w:noWrap w:val="0"/>
            <w:vAlign w:val="center"/>
          </w:tcPr>
          <w:p w14:paraId="318A94D1">
            <w:pPr>
              <w:snapToGrid w:val="0"/>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2</w:t>
            </w:r>
          </w:p>
        </w:tc>
        <w:tc>
          <w:tcPr>
            <w:tcW w:w="2693" w:type="pct"/>
            <w:noWrap w:val="0"/>
            <w:vAlign w:val="center"/>
          </w:tcPr>
          <w:p w14:paraId="01049AD6">
            <w:pPr>
              <w:adjustRightInd w:val="0"/>
              <w:snapToGrid w:val="0"/>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总迁移量</w:t>
            </w:r>
          </w:p>
        </w:tc>
        <w:tc>
          <w:tcPr>
            <w:tcW w:w="1859" w:type="pct"/>
            <w:noWrap w:val="0"/>
            <w:vAlign w:val="center"/>
          </w:tcPr>
          <w:p w14:paraId="1DE7F062">
            <w:pPr>
              <w:snapToGrid w:val="0"/>
              <w:jc w:val="center"/>
              <w:rPr>
                <w:rFonts w:hint="eastAsia" w:asciiTheme="minorEastAsia" w:hAnsiTheme="minorEastAsia" w:eastAsiaTheme="minorEastAsia" w:cstheme="minorEastAsia"/>
                <w:color w:val="000000"/>
                <w:sz w:val="21"/>
                <w:szCs w:val="21"/>
                <w:lang w:val="en-US" w:eastAsia="zh-CN"/>
              </w:rPr>
            </w:pPr>
            <w:r>
              <w:rPr>
                <w:rFonts w:hint="eastAsia" w:asciiTheme="minorEastAsia" w:hAnsiTheme="minorEastAsia" w:eastAsiaTheme="minorEastAsia" w:cstheme="minorEastAsia"/>
                <w:color w:val="000000"/>
                <w:sz w:val="21"/>
                <w:szCs w:val="21"/>
                <w:lang w:val="en-US" w:eastAsia="zh-CN"/>
              </w:rPr>
              <w:t>GB 31604.8-2021</w:t>
            </w:r>
          </w:p>
        </w:tc>
      </w:tr>
      <w:tr w14:paraId="0B648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47" w:type="pct"/>
            <w:noWrap w:val="0"/>
            <w:vAlign w:val="center"/>
          </w:tcPr>
          <w:p w14:paraId="20063E30">
            <w:pPr>
              <w:snapToGrid w:val="0"/>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3</w:t>
            </w:r>
          </w:p>
        </w:tc>
        <w:tc>
          <w:tcPr>
            <w:tcW w:w="2693" w:type="pct"/>
            <w:noWrap w:val="0"/>
            <w:vAlign w:val="center"/>
          </w:tcPr>
          <w:p w14:paraId="419BB87B">
            <w:pPr>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高锰酸钾消耗量</w:t>
            </w:r>
          </w:p>
        </w:tc>
        <w:tc>
          <w:tcPr>
            <w:tcW w:w="1859" w:type="pct"/>
            <w:noWrap w:val="0"/>
            <w:vAlign w:val="center"/>
          </w:tcPr>
          <w:p w14:paraId="7254535E">
            <w:pPr>
              <w:snapToGrid w:val="0"/>
              <w:jc w:val="center"/>
              <w:rPr>
                <w:rFonts w:hint="eastAsia" w:asciiTheme="minorEastAsia" w:hAnsiTheme="minorEastAsia" w:eastAsiaTheme="minorEastAsia" w:cstheme="minorEastAsia"/>
                <w:color w:val="000000"/>
                <w:sz w:val="21"/>
                <w:szCs w:val="21"/>
                <w:lang w:val="en-US" w:eastAsia="zh-CN"/>
              </w:rPr>
            </w:pPr>
            <w:r>
              <w:rPr>
                <w:rFonts w:hint="eastAsia" w:asciiTheme="minorEastAsia" w:hAnsiTheme="minorEastAsia" w:eastAsiaTheme="minorEastAsia" w:cstheme="minorEastAsia"/>
                <w:color w:val="000000"/>
                <w:sz w:val="21"/>
                <w:szCs w:val="21"/>
                <w:lang w:val="en-US" w:eastAsia="zh-CN"/>
              </w:rPr>
              <w:t>GB 31604.2-2016</w:t>
            </w:r>
          </w:p>
        </w:tc>
      </w:tr>
      <w:tr w14:paraId="592E2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447" w:type="pct"/>
            <w:noWrap w:val="0"/>
            <w:vAlign w:val="center"/>
          </w:tcPr>
          <w:p w14:paraId="6B33BC77">
            <w:pPr>
              <w:snapToGrid w:val="0"/>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4</w:t>
            </w:r>
          </w:p>
        </w:tc>
        <w:tc>
          <w:tcPr>
            <w:tcW w:w="2693" w:type="pct"/>
            <w:noWrap w:val="0"/>
            <w:vAlign w:val="center"/>
          </w:tcPr>
          <w:p w14:paraId="382957E7">
            <w:pPr>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重金属（以Pb计）</w:t>
            </w:r>
          </w:p>
        </w:tc>
        <w:tc>
          <w:tcPr>
            <w:tcW w:w="1859" w:type="pct"/>
            <w:noWrap w:val="0"/>
            <w:vAlign w:val="center"/>
          </w:tcPr>
          <w:p w14:paraId="7D996CF2">
            <w:pPr>
              <w:snapToGrid w:val="0"/>
              <w:jc w:val="center"/>
              <w:rPr>
                <w:rFonts w:hint="eastAsia" w:asciiTheme="minorEastAsia" w:hAnsiTheme="minorEastAsia" w:eastAsiaTheme="minorEastAsia" w:cstheme="minorEastAsia"/>
                <w:color w:val="000000"/>
                <w:sz w:val="21"/>
                <w:szCs w:val="21"/>
                <w:lang w:val="en-US" w:eastAsia="zh-CN"/>
              </w:rPr>
            </w:pPr>
            <w:r>
              <w:rPr>
                <w:rFonts w:hint="eastAsia" w:asciiTheme="minorEastAsia" w:hAnsiTheme="minorEastAsia" w:eastAsiaTheme="minorEastAsia" w:cstheme="minorEastAsia"/>
                <w:color w:val="000000"/>
                <w:sz w:val="21"/>
                <w:szCs w:val="21"/>
                <w:lang w:val="en-US" w:eastAsia="zh-CN"/>
              </w:rPr>
              <w:t>GB 31604.9-2016</w:t>
            </w:r>
          </w:p>
        </w:tc>
      </w:tr>
      <w:tr w14:paraId="01DEC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447" w:type="pct"/>
            <w:noWrap w:val="0"/>
            <w:vAlign w:val="center"/>
          </w:tcPr>
          <w:p w14:paraId="2FF7B280">
            <w:pPr>
              <w:snapToGrid w:val="0"/>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5</w:t>
            </w:r>
          </w:p>
        </w:tc>
        <w:tc>
          <w:tcPr>
            <w:tcW w:w="2693" w:type="pct"/>
            <w:noWrap w:val="0"/>
            <w:vAlign w:val="center"/>
          </w:tcPr>
          <w:p w14:paraId="65B86C41">
            <w:pPr>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脱色试验（仅适用于添加了着色剂的产品）</w:t>
            </w:r>
          </w:p>
        </w:tc>
        <w:tc>
          <w:tcPr>
            <w:tcW w:w="1859" w:type="pct"/>
            <w:noWrap w:val="0"/>
            <w:vAlign w:val="center"/>
          </w:tcPr>
          <w:p w14:paraId="6FF960D6">
            <w:pPr>
              <w:snapToGrid w:val="0"/>
              <w:jc w:val="center"/>
              <w:rPr>
                <w:rFonts w:hint="eastAsia" w:asciiTheme="minorEastAsia" w:hAnsiTheme="minorEastAsia" w:eastAsiaTheme="minorEastAsia" w:cstheme="minorEastAsia"/>
                <w:color w:val="000000"/>
                <w:sz w:val="21"/>
                <w:szCs w:val="21"/>
                <w:lang w:val="en-US" w:eastAsia="zh-CN"/>
              </w:rPr>
            </w:pPr>
            <w:r>
              <w:rPr>
                <w:rFonts w:hint="eastAsia" w:asciiTheme="minorEastAsia" w:hAnsiTheme="minorEastAsia" w:eastAsiaTheme="minorEastAsia" w:cstheme="minorEastAsia"/>
                <w:color w:val="000000"/>
                <w:sz w:val="21"/>
                <w:szCs w:val="21"/>
                <w:lang w:val="en-US" w:eastAsia="zh-CN"/>
              </w:rPr>
              <w:t>GB 31604.7-2023</w:t>
            </w:r>
          </w:p>
        </w:tc>
      </w:tr>
      <w:tr w14:paraId="49A1C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47" w:type="pct"/>
            <w:noWrap w:val="0"/>
            <w:vAlign w:val="center"/>
          </w:tcPr>
          <w:p w14:paraId="3F545E0B">
            <w:pPr>
              <w:snapToGrid w:val="0"/>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6</w:t>
            </w:r>
          </w:p>
        </w:tc>
        <w:tc>
          <w:tcPr>
            <w:tcW w:w="2693" w:type="pct"/>
            <w:noWrap w:val="0"/>
            <w:vAlign w:val="center"/>
          </w:tcPr>
          <w:p w14:paraId="43C511E4">
            <w:pPr>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单体及其他起始物的特定迁移限量、特定迁移限量总量、最大残留量等理化指标</w:t>
            </w:r>
          </w:p>
        </w:tc>
        <w:tc>
          <w:tcPr>
            <w:tcW w:w="1859" w:type="pct"/>
            <w:noWrap w:val="0"/>
            <w:vAlign w:val="center"/>
          </w:tcPr>
          <w:p w14:paraId="7E7B2307">
            <w:pPr>
              <w:snapToGrid w:val="0"/>
              <w:jc w:val="center"/>
              <w:rPr>
                <w:rFonts w:hint="eastAsia" w:asciiTheme="minorEastAsia" w:hAnsiTheme="minorEastAsia" w:eastAsiaTheme="minorEastAsia" w:cstheme="minorEastAsia"/>
                <w:color w:val="000000"/>
                <w:sz w:val="21"/>
                <w:szCs w:val="21"/>
                <w:lang w:val="en-US" w:eastAsia="zh-CN"/>
              </w:rPr>
            </w:pPr>
            <w:r>
              <w:rPr>
                <w:rFonts w:hint="eastAsia" w:asciiTheme="minorEastAsia" w:hAnsiTheme="minorEastAsia" w:eastAsiaTheme="minorEastAsia" w:cstheme="minorEastAsia"/>
                <w:color w:val="000000"/>
                <w:sz w:val="21"/>
                <w:szCs w:val="21"/>
                <w:lang w:val="en-US" w:eastAsia="zh-CN"/>
              </w:rPr>
              <w:t>GB 31604.40-2016</w:t>
            </w:r>
          </w:p>
          <w:p w14:paraId="27FC470F">
            <w:pPr>
              <w:snapToGrid w:val="0"/>
              <w:jc w:val="center"/>
              <w:rPr>
                <w:rFonts w:hint="eastAsia" w:asciiTheme="minorEastAsia" w:hAnsiTheme="minorEastAsia" w:eastAsiaTheme="minorEastAsia" w:cstheme="minorEastAsia"/>
                <w:color w:val="000000"/>
                <w:sz w:val="21"/>
                <w:szCs w:val="21"/>
                <w:lang w:val="en-US" w:eastAsia="zh-CN"/>
              </w:rPr>
            </w:pPr>
            <w:r>
              <w:rPr>
                <w:rFonts w:hint="eastAsia" w:asciiTheme="minorEastAsia" w:hAnsiTheme="minorEastAsia" w:eastAsiaTheme="minorEastAsia" w:cstheme="minorEastAsia"/>
                <w:color w:val="000000"/>
                <w:sz w:val="21"/>
                <w:szCs w:val="21"/>
                <w:lang w:val="en-US" w:eastAsia="zh-CN"/>
              </w:rPr>
              <w:t>GB 31604.14-2016</w:t>
            </w:r>
          </w:p>
          <w:p w14:paraId="22CCE6A2">
            <w:pPr>
              <w:snapToGrid w:val="0"/>
              <w:jc w:val="center"/>
              <w:rPr>
                <w:rFonts w:hint="eastAsia" w:asciiTheme="minorEastAsia" w:hAnsiTheme="minorEastAsia" w:eastAsiaTheme="minorEastAsia" w:cstheme="minorEastAsia"/>
                <w:color w:val="000000"/>
                <w:sz w:val="21"/>
                <w:szCs w:val="21"/>
                <w:lang w:val="en-US" w:eastAsia="zh-CN"/>
              </w:rPr>
            </w:pPr>
            <w:r>
              <w:rPr>
                <w:rFonts w:hint="eastAsia" w:asciiTheme="minorEastAsia" w:hAnsiTheme="minorEastAsia" w:eastAsiaTheme="minorEastAsia" w:cstheme="minorEastAsia"/>
                <w:color w:val="000000"/>
                <w:sz w:val="21"/>
                <w:szCs w:val="21"/>
                <w:lang w:val="en-US" w:eastAsia="zh-CN"/>
              </w:rPr>
              <w:t>GB 31604.29-2016</w:t>
            </w:r>
          </w:p>
        </w:tc>
      </w:tr>
      <w:tr w14:paraId="4A627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47" w:type="pct"/>
            <w:noWrap w:val="0"/>
            <w:vAlign w:val="center"/>
          </w:tcPr>
          <w:p w14:paraId="48B7945E">
            <w:pPr>
              <w:snapToGrid w:val="0"/>
              <w:jc w:val="center"/>
              <w:rPr>
                <w:rFonts w:hint="eastAsia" w:asciiTheme="minorEastAsia" w:hAnsiTheme="minorEastAsia" w:eastAsiaTheme="minorEastAsia" w:cstheme="minorEastAsia"/>
                <w:color w:val="000000"/>
                <w:sz w:val="21"/>
                <w:szCs w:val="21"/>
                <w:lang w:val="en-US" w:eastAsia="zh-CN"/>
              </w:rPr>
            </w:pPr>
            <w:r>
              <w:rPr>
                <w:rFonts w:hint="eastAsia" w:asciiTheme="minorEastAsia" w:hAnsiTheme="minorEastAsia" w:eastAsiaTheme="minorEastAsia" w:cstheme="minorEastAsia"/>
                <w:color w:val="000000"/>
                <w:sz w:val="21"/>
                <w:szCs w:val="21"/>
                <w:lang w:val="en-US" w:eastAsia="zh-CN"/>
              </w:rPr>
              <w:t>7</w:t>
            </w:r>
          </w:p>
        </w:tc>
        <w:tc>
          <w:tcPr>
            <w:tcW w:w="2693" w:type="pct"/>
            <w:noWrap w:val="0"/>
            <w:vAlign w:val="center"/>
          </w:tcPr>
          <w:p w14:paraId="35E2FD05">
            <w:pPr>
              <w:spacing w:line="0" w:lineRule="atLeast"/>
              <w:jc w:val="center"/>
              <w:rPr>
                <w:rFonts w:hint="default" w:asciiTheme="minorEastAsia" w:hAnsiTheme="minorEastAsia" w:eastAsiaTheme="minorEastAsia" w:cstheme="minorEastAsia"/>
                <w:color w:val="auto"/>
                <w:spacing w:val="-6"/>
                <w:kern w:val="2"/>
                <w:sz w:val="21"/>
                <w:szCs w:val="21"/>
                <w:lang w:val="en-US" w:eastAsia="zh-CN" w:bidi="ar-SA"/>
              </w:rPr>
            </w:pPr>
            <w:r>
              <w:rPr>
                <w:rFonts w:hint="eastAsia" w:asciiTheme="minorEastAsia" w:hAnsiTheme="minorEastAsia" w:eastAsiaTheme="minorEastAsia" w:cstheme="minorEastAsia"/>
                <w:color w:val="auto"/>
                <w:spacing w:val="-6"/>
                <w:sz w:val="21"/>
                <w:szCs w:val="21"/>
                <w:lang w:val="en-US" w:eastAsia="zh-CN"/>
              </w:rPr>
              <w:t>芳香族伯胺迁移总量</w:t>
            </w:r>
          </w:p>
        </w:tc>
        <w:tc>
          <w:tcPr>
            <w:tcW w:w="1859" w:type="pct"/>
            <w:noWrap w:val="0"/>
            <w:vAlign w:val="center"/>
          </w:tcPr>
          <w:p w14:paraId="1FF9C679">
            <w:pPr>
              <w:snapToGrid w:val="0"/>
              <w:jc w:val="center"/>
              <w:rPr>
                <w:rFonts w:hint="default"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sz w:val="21"/>
                <w:szCs w:val="21"/>
                <w:lang w:val="en-US" w:eastAsia="zh-CN"/>
              </w:rPr>
              <w:t>GB 31604.52-2021</w:t>
            </w:r>
          </w:p>
        </w:tc>
      </w:tr>
    </w:tbl>
    <w:p w14:paraId="5730EFE4">
      <w:pPr>
        <w:snapToGrid w:val="0"/>
        <w:spacing w:line="440" w:lineRule="exact"/>
        <w:jc w:val="both"/>
        <w:outlineLvl w:val="0"/>
        <w:rPr>
          <w:rFonts w:hint="default" w:ascii="Times New Roman" w:hAnsi="Times New Roman" w:eastAsia="宋体" w:cs="Times New Roman"/>
          <w:color w:val="000000"/>
          <w:sz w:val="21"/>
          <w:szCs w:val="21"/>
          <w:lang w:val="en-US" w:eastAsia="zh-CN"/>
        </w:rPr>
      </w:pPr>
    </w:p>
    <w:p w14:paraId="36B68103">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szCs w:val="21"/>
        </w:rPr>
      </w:pPr>
      <w:r>
        <w:rPr>
          <w:szCs w:val="21"/>
        </w:rPr>
        <w:t>执行</w:t>
      </w:r>
      <w:r>
        <w:rPr>
          <w:rFonts w:hint="eastAsia"/>
          <w:szCs w:val="21"/>
        </w:rPr>
        <w:t>其他标准</w:t>
      </w:r>
      <w:r>
        <w:rPr>
          <w:szCs w:val="21"/>
        </w:rPr>
        <w:t>的产品，检验项目参照上述内容执行。</w:t>
      </w:r>
    </w:p>
    <w:p w14:paraId="4B0D6E73">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hint="eastAsia"/>
          <w:color w:val="000000"/>
          <w:szCs w:val="21"/>
        </w:rPr>
      </w:pPr>
      <w:r>
        <w:rPr>
          <w:rFonts w:hint="eastAsia"/>
          <w:color w:val="000000"/>
          <w:szCs w:val="21"/>
        </w:rPr>
        <w:t>凡是注日期的文件，其随后所有的修改单（不包括勘误的内容）或修订版不适用于本细则。凡是不注日期的文件，其最新版本适用于本细则。</w:t>
      </w:r>
    </w:p>
    <w:p w14:paraId="70EE68D2">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hint="eastAsia"/>
          <w:color w:val="000000"/>
          <w:szCs w:val="21"/>
        </w:rPr>
      </w:pPr>
      <w:r>
        <w:rPr>
          <w:rFonts w:hint="eastAsia"/>
          <w:color w:val="000000"/>
          <w:szCs w:val="21"/>
        </w:rPr>
        <w:t>复检时所检测的样品为备用样品。</w:t>
      </w:r>
    </w:p>
    <w:p w14:paraId="5760FE5E">
      <w:pPr>
        <w:keepNext w:val="0"/>
        <w:keepLines w:val="0"/>
        <w:pageBreakBefore w:val="0"/>
        <w:kinsoku/>
        <w:wordWrap/>
        <w:overflowPunct/>
        <w:topLinePunct w:val="0"/>
        <w:autoSpaceDE/>
        <w:autoSpaceDN/>
        <w:bidi w:val="0"/>
        <w:snapToGrid w:val="0"/>
        <w:spacing w:line="440" w:lineRule="exact"/>
        <w:ind w:firstLine="420" w:firstLineChars="200"/>
        <w:textAlignment w:val="auto"/>
        <w:rPr>
          <w:rFonts w:hint="eastAsia"/>
          <w:color w:val="000000"/>
          <w:szCs w:val="21"/>
        </w:rPr>
      </w:pPr>
    </w:p>
    <w:p w14:paraId="380AB236">
      <w:pPr>
        <w:keepNext w:val="0"/>
        <w:keepLines w:val="0"/>
        <w:pageBreakBefore w:val="0"/>
        <w:widowControl w:val="0"/>
        <w:kinsoku/>
        <w:wordWrap/>
        <w:overflowPunct/>
        <w:topLinePunct w:val="0"/>
        <w:autoSpaceDE/>
        <w:autoSpaceDN/>
        <w:bidi w:val="0"/>
        <w:adjustRightInd w:val="0"/>
        <w:snapToGrid w:val="0"/>
        <w:spacing w:line="440" w:lineRule="exact"/>
        <w:textAlignment w:val="auto"/>
        <w:outlineLvl w:val="1"/>
        <w:rPr>
          <w:rFonts w:hint="default" w:ascii="Times New Roman" w:hAnsi="Times New Roman" w:eastAsia="黑体" w:cs="Times New Roman"/>
          <w:sz w:val="21"/>
          <w:szCs w:val="21"/>
        </w:rPr>
      </w:pPr>
      <w:r>
        <w:rPr>
          <w:rFonts w:hint="default" w:ascii="Times New Roman" w:hAnsi="Times New Roman" w:eastAsia="黑体" w:cs="Times New Roman"/>
          <w:sz w:val="21"/>
          <w:szCs w:val="21"/>
        </w:rPr>
        <w:t>3 判定规则</w:t>
      </w:r>
    </w:p>
    <w:p w14:paraId="71430C38">
      <w:pPr>
        <w:keepNext w:val="0"/>
        <w:keepLines w:val="0"/>
        <w:pageBreakBefore w:val="0"/>
        <w:widowControl w:val="0"/>
        <w:kinsoku/>
        <w:wordWrap/>
        <w:overflowPunct/>
        <w:topLinePunct w:val="0"/>
        <w:autoSpaceDE/>
        <w:autoSpaceDN/>
        <w:bidi w:val="0"/>
        <w:snapToGrid w:val="0"/>
        <w:spacing w:line="440" w:lineRule="exact"/>
        <w:textAlignment w:val="auto"/>
        <w:rPr>
          <w:rFonts w:hint="eastAsia" w:ascii="Times New Roman" w:hAnsi="宋体" w:eastAsia="宋体" w:cs="Times New Roman"/>
        </w:rPr>
      </w:pPr>
      <w:r>
        <w:rPr>
          <w:rFonts w:hint="eastAsia" w:hAnsi="宋体"/>
        </w:rPr>
        <w:t>3.1依据标准</w:t>
      </w:r>
    </w:p>
    <w:p w14:paraId="3810D59B">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Times New Roman" w:hAnsi="Times New Roman" w:eastAsia="宋体" w:cs="Times New Roman"/>
          <w:szCs w:val="21"/>
        </w:rPr>
      </w:pPr>
      <w:r>
        <w:rPr>
          <w:rFonts w:hint="eastAsia" w:ascii="Times New Roman" w:hAnsi="Times New Roman" w:eastAsia="宋体" w:cs="Times New Roman"/>
          <w:szCs w:val="21"/>
        </w:rPr>
        <w:t>GB 4806.7-2023</w:t>
      </w:r>
      <w:r>
        <w:rPr>
          <w:rFonts w:hint="eastAsia" w:cs="Times New Roman"/>
          <w:szCs w:val="21"/>
          <w:lang w:val="en-US" w:eastAsia="zh-CN"/>
        </w:rPr>
        <w:t xml:space="preserve">   </w:t>
      </w:r>
      <w:r>
        <w:rPr>
          <w:rFonts w:hint="eastAsia" w:ascii="Times New Roman" w:hAnsi="Times New Roman" w:eastAsia="宋体" w:cs="Times New Roman"/>
          <w:szCs w:val="21"/>
          <w:lang w:val="en-US" w:eastAsia="zh-CN"/>
        </w:rPr>
        <w:t xml:space="preserve"> </w:t>
      </w:r>
      <w:r>
        <w:rPr>
          <w:rFonts w:hint="eastAsia" w:ascii="Times New Roman" w:hAnsi="Times New Roman" w:eastAsia="宋体" w:cs="Times New Roman"/>
          <w:szCs w:val="21"/>
        </w:rPr>
        <w:t>食品安全国家标准 食品接触用塑料材料及制品</w:t>
      </w:r>
    </w:p>
    <w:p w14:paraId="46652EF3">
      <w:pPr>
        <w:keepNext w:val="0"/>
        <w:keepLines w:val="0"/>
        <w:pageBreakBefore w:val="0"/>
        <w:kinsoku/>
        <w:wordWrap/>
        <w:overflowPunct/>
        <w:topLinePunct w:val="0"/>
        <w:autoSpaceDE/>
        <w:autoSpaceDN/>
        <w:bidi w:val="0"/>
        <w:adjustRightInd w:val="0"/>
        <w:snapToGrid w:val="0"/>
        <w:spacing w:line="440" w:lineRule="exact"/>
        <w:ind w:firstLine="420" w:firstLineChars="200"/>
        <w:textAlignment w:val="auto"/>
        <w:rPr>
          <w:rFonts w:ascii="Times New Roman" w:hAnsi="Times New Roman" w:eastAsia="宋体" w:cs="Times New Roman"/>
          <w:szCs w:val="21"/>
        </w:rPr>
      </w:pPr>
      <w:r>
        <w:rPr>
          <w:rFonts w:ascii="Times New Roman" w:hAnsi="Times New Roman" w:eastAsia="宋体" w:cs="Times New Roman"/>
          <w:szCs w:val="21"/>
        </w:rPr>
        <w:t>GB/T 24693-2009   聚丙烯饮用吸管</w:t>
      </w:r>
    </w:p>
    <w:p w14:paraId="31FB13D0">
      <w:pPr>
        <w:keepNext w:val="0"/>
        <w:keepLines w:val="0"/>
        <w:pageBreakBefore w:val="0"/>
        <w:widowControl w:val="0"/>
        <w:kinsoku/>
        <w:wordWrap/>
        <w:overflowPunct/>
        <w:topLinePunct w:val="0"/>
        <w:autoSpaceDE/>
        <w:autoSpaceDN/>
        <w:bidi w:val="0"/>
        <w:snapToGrid w:val="0"/>
        <w:spacing w:line="440" w:lineRule="exact"/>
        <w:ind w:firstLine="420" w:firstLineChars="200"/>
        <w:textAlignment w:val="auto"/>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GB/T</w:t>
      </w:r>
      <w:r>
        <w:rPr>
          <w:rFonts w:hint="eastAsia" w:cs="Times New Roman"/>
          <w:szCs w:val="21"/>
          <w:lang w:val="en-US" w:eastAsia="zh-CN"/>
        </w:rPr>
        <w:t xml:space="preserve"> 41008</w:t>
      </w:r>
      <w:r>
        <w:rPr>
          <w:rFonts w:ascii="Times New Roman" w:hAnsi="Times New Roman" w:eastAsia="宋体" w:cs="Times New Roman"/>
          <w:szCs w:val="21"/>
        </w:rPr>
        <w:t>-20</w:t>
      </w:r>
      <w:r>
        <w:rPr>
          <w:rFonts w:hint="eastAsia" w:cs="Times New Roman"/>
          <w:szCs w:val="21"/>
          <w:lang w:val="en-US" w:eastAsia="zh-CN"/>
        </w:rPr>
        <w:t>21</w:t>
      </w:r>
      <w:r>
        <w:rPr>
          <w:rFonts w:ascii="Times New Roman" w:hAnsi="Times New Roman" w:eastAsia="宋体" w:cs="Times New Roman"/>
          <w:szCs w:val="21"/>
        </w:rPr>
        <w:t xml:space="preserve"> </w:t>
      </w:r>
      <w:r>
        <w:rPr>
          <w:rFonts w:hint="eastAsia" w:cs="Times New Roman"/>
          <w:szCs w:val="21"/>
          <w:lang w:val="en-US" w:eastAsia="zh-CN"/>
        </w:rPr>
        <w:t xml:space="preserve">  生物降解饮用吸管</w:t>
      </w:r>
      <w:bookmarkStart w:id="0" w:name="_GoBack"/>
      <w:bookmarkEnd w:id="0"/>
    </w:p>
    <w:p w14:paraId="62003841">
      <w:pPr>
        <w:keepNext w:val="0"/>
        <w:keepLines w:val="0"/>
        <w:pageBreakBefore w:val="0"/>
        <w:widowControl w:val="0"/>
        <w:kinsoku/>
        <w:wordWrap/>
        <w:overflowPunct/>
        <w:topLinePunct w:val="0"/>
        <w:autoSpaceDE/>
        <w:autoSpaceDN/>
        <w:bidi w:val="0"/>
        <w:snapToGrid w:val="0"/>
        <w:spacing w:line="440" w:lineRule="exact"/>
        <w:ind w:firstLine="420" w:firstLineChars="200"/>
        <w:textAlignment w:val="auto"/>
        <w:rPr>
          <w:rFonts w:ascii="Times New Roman" w:hAnsi="Times New Roman" w:eastAsia="宋体" w:cs="Times New Roman"/>
          <w:color w:val="000000"/>
        </w:rPr>
      </w:pPr>
      <w:r>
        <w:rPr>
          <w:rFonts w:ascii="Times New Roman" w:hAnsi="Times New Roman" w:eastAsia="宋体" w:cs="Times New Roman"/>
          <w:color w:val="000000"/>
        </w:rPr>
        <w:t>现行有效的</w:t>
      </w:r>
      <w:r>
        <w:rPr>
          <w:rFonts w:hint="eastAsia" w:ascii="Times New Roman" w:hAnsi="Times New Roman" w:eastAsia="宋体" w:cs="Times New Roman"/>
          <w:color w:val="000000"/>
        </w:rPr>
        <w:t>其他</w:t>
      </w:r>
      <w:r>
        <w:rPr>
          <w:rFonts w:ascii="Times New Roman" w:hAnsi="Times New Roman" w:eastAsia="宋体" w:cs="Times New Roman"/>
          <w:color w:val="000000"/>
        </w:rPr>
        <w:t>标准及产品明示质量要求</w:t>
      </w:r>
    </w:p>
    <w:p w14:paraId="0897E87B">
      <w:pPr>
        <w:keepNext w:val="0"/>
        <w:keepLines w:val="0"/>
        <w:pageBreakBefore w:val="0"/>
        <w:widowControl w:val="0"/>
        <w:kinsoku/>
        <w:wordWrap/>
        <w:overflowPunct/>
        <w:topLinePunct w:val="0"/>
        <w:autoSpaceDE/>
        <w:autoSpaceDN/>
        <w:bidi w:val="0"/>
        <w:snapToGrid w:val="0"/>
        <w:spacing w:line="440" w:lineRule="exact"/>
        <w:ind w:firstLine="420" w:firstLineChars="200"/>
        <w:textAlignment w:val="auto"/>
        <w:rPr>
          <w:rFonts w:ascii="Times New Roman" w:hAnsi="Times New Roman" w:eastAsia="宋体" w:cs="Times New Roman"/>
          <w:color w:val="000000"/>
        </w:rPr>
      </w:pPr>
    </w:p>
    <w:p w14:paraId="415F00E5">
      <w:pPr>
        <w:adjustRightInd w:val="0"/>
        <w:snapToGrid w:val="0"/>
        <w:spacing w:line="440" w:lineRule="exact"/>
        <w:jc w:val="left"/>
        <w:rPr>
          <w:rFonts w:hint="eastAsia" w:hAnsi="宋体"/>
        </w:rPr>
      </w:pPr>
      <w:r>
        <w:rPr>
          <w:rFonts w:hint="eastAsia" w:hAnsi="宋体"/>
        </w:rPr>
        <w:t>3.2判定原则</w:t>
      </w:r>
    </w:p>
    <w:p w14:paraId="287A7114">
      <w:pPr>
        <w:keepNext w:val="0"/>
        <w:keepLines w:val="0"/>
        <w:pageBreakBefore w:val="0"/>
        <w:widowControl w:val="0"/>
        <w:kinsoku/>
        <w:wordWrap/>
        <w:overflowPunct/>
        <w:topLinePunct w:val="0"/>
        <w:autoSpaceDE/>
        <w:autoSpaceDN/>
        <w:bidi w:val="0"/>
        <w:adjustRightInd w:val="0"/>
        <w:snapToGrid w:val="0"/>
        <w:spacing w:line="440" w:lineRule="exact"/>
        <w:ind w:firstLine="420" w:firstLineChars="200"/>
        <w:textAlignment w:val="auto"/>
        <w:rPr>
          <w:rFonts w:hint="eastAsia"/>
          <w:color w:val="000000"/>
          <w:szCs w:val="21"/>
        </w:rPr>
      </w:pPr>
      <w:r>
        <w:rPr>
          <w:rFonts w:hint="eastAsia"/>
          <w:color w:val="000000"/>
          <w:szCs w:val="21"/>
        </w:rPr>
        <w:t>若被检产品明示的质量要求高于本细则中检验项目依据的标准要求时，应按被检产品明示的质量要求判定。</w:t>
      </w:r>
    </w:p>
    <w:p w14:paraId="26FC3D53">
      <w:pPr>
        <w:keepNext w:val="0"/>
        <w:keepLines w:val="0"/>
        <w:pageBreakBefore w:val="0"/>
        <w:widowControl w:val="0"/>
        <w:kinsoku/>
        <w:wordWrap/>
        <w:overflowPunct/>
        <w:topLinePunct w:val="0"/>
        <w:autoSpaceDE/>
        <w:autoSpaceDN/>
        <w:bidi w:val="0"/>
        <w:adjustRightInd w:val="0"/>
        <w:snapToGrid w:val="0"/>
        <w:spacing w:line="440" w:lineRule="exact"/>
        <w:ind w:firstLine="420" w:firstLineChars="200"/>
        <w:textAlignment w:val="auto"/>
        <w:rPr>
          <w:rFonts w:hint="eastAsia"/>
          <w:color w:val="000000"/>
          <w:szCs w:val="21"/>
        </w:rPr>
      </w:pPr>
      <w:r>
        <w:rPr>
          <w:rFonts w:hint="eastAsia"/>
          <w:color w:val="000000"/>
          <w:szCs w:val="21"/>
        </w:rPr>
        <w:t>若被检产品明示的质量要求低于本细则中检验项目依据的强制性标准要求时，应按照强制性标准要求判定。</w:t>
      </w:r>
    </w:p>
    <w:p w14:paraId="1BB3B306">
      <w:pPr>
        <w:keepNext w:val="0"/>
        <w:keepLines w:val="0"/>
        <w:pageBreakBefore w:val="0"/>
        <w:widowControl w:val="0"/>
        <w:kinsoku/>
        <w:wordWrap/>
        <w:overflowPunct/>
        <w:topLinePunct w:val="0"/>
        <w:autoSpaceDE/>
        <w:autoSpaceDN/>
        <w:bidi w:val="0"/>
        <w:adjustRightInd w:val="0"/>
        <w:snapToGrid w:val="0"/>
        <w:spacing w:line="440" w:lineRule="exact"/>
        <w:ind w:firstLine="420" w:firstLineChars="200"/>
        <w:textAlignment w:val="auto"/>
        <w:rPr>
          <w:rFonts w:hint="eastAsia"/>
          <w:color w:val="000000"/>
          <w:szCs w:val="21"/>
        </w:rPr>
      </w:pPr>
      <w:r>
        <w:rPr>
          <w:rFonts w:hint="eastAsia"/>
          <w:color w:val="000000"/>
          <w:szCs w:val="21"/>
        </w:rPr>
        <w:t>若被检产品明示的质量要求低于或包含本细则中检验项目依据的推荐性标准要求时，应以被检产品明示的质量要求判定。但应在检验报告中注明该项目的实测值以及推荐性标准的标准值。</w:t>
      </w:r>
    </w:p>
    <w:p w14:paraId="1FA95390">
      <w:pPr>
        <w:keepNext w:val="0"/>
        <w:keepLines w:val="0"/>
        <w:pageBreakBefore w:val="0"/>
        <w:widowControl w:val="0"/>
        <w:kinsoku/>
        <w:wordWrap/>
        <w:overflowPunct/>
        <w:topLinePunct w:val="0"/>
        <w:autoSpaceDE/>
        <w:autoSpaceDN/>
        <w:bidi w:val="0"/>
        <w:adjustRightInd w:val="0"/>
        <w:snapToGrid w:val="0"/>
        <w:spacing w:line="440" w:lineRule="exact"/>
        <w:ind w:firstLine="420" w:firstLineChars="200"/>
        <w:textAlignment w:val="auto"/>
        <w:rPr>
          <w:rFonts w:hint="eastAsia"/>
          <w:color w:val="000000"/>
          <w:szCs w:val="21"/>
        </w:rPr>
      </w:pPr>
      <w:r>
        <w:rPr>
          <w:rFonts w:hint="eastAsia"/>
          <w:color w:val="000000"/>
          <w:szCs w:val="21"/>
        </w:rPr>
        <w:t>若被检产品明示的质量要求缺少本细则中检验项目依据的强制性标准要求时，应按照强制性标准要求判定。</w:t>
      </w:r>
    </w:p>
    <w:p w14:paraId="03291330">
      <w:pPr>
        <w:keepNext w:val="0"/>
        <w:keepLines w:val="0"/>
        <w:pageBreakBefore w:val="0"/>
        <w:widowControl w:val="0"/>
        <w:kinsoku/>
        <w:wordWrap/>
        <w:overflowPunct/>
        <w:topLinePunct w:val="0"/>
        <w:autoSpaceDE/>
        <w:autoSpaceDN/>
        <w:bidi w:val="0"/>
        <w:adjustRightInd w:val="0"/>
        <w:snapToGrid w:val="0"/>
        <w:spacing w:line="440" w:lineRule="exact"/>
        <w:ind w:firstLine="420" w:firstLineChars="200"/>
        <w:textAlignment w:val="auto"/>
        <w:rPr>
          <w:color w:val="000000"/>
          <w:szCs w:val="21"/>
        </w:rPr>
      </w:pPr>
      <w:r>
        <w:rPr>
          <w:rFonts w:hint="eastAsia"/>
          <w:color w:val="000000"/>
          <w:szCs w:val="21"/>
        </w:rPr>
        <w:t>若被检产品明示的质量要求缺少本细则中检验项目依据的推荐性标准要求时，该项目不参与判定。但应在检验报告中注明该项目的实测值以及推荐性标准的标准值。</w:t>
      </w:r>
    </w:p>
    <w:p w14:paraId="21FAEAC4">
      <w:pPr>
        <w:keepNext w:val="0"/>
        <w:keepLines w:val="0"/>
        <w:pageBreakBefore w:val="0"/>
        <w:widowControl w:val="0"/>
        <w:kinsoku/>
        <w:wordWrap/>
        <w:overflowPunct/>
        <w:topLinePunct w:val="0"/>
        <w:autoSpaceDE/>
        <w:autoSpaceDN/>
        <w:bidi w:val="0"/>
        <w:adjustRightInd w:val="0"/>
        <w:snapToGrid w:val="0"/>
        <w:spacing w:line="440" w:lineRule="exact"/>
        <w:ind w:firstLine="420" w:firstLineChars="200"/>
        <w:textAlignment w:val="auto"/>
        <w:rPr>
          <w:rFonts w:hint="eastAsia"/>
          <w:color w:val="000000"/>
          <w:szCs w:val="21"/>
        </w:rPr>
      </w:pPr>
    </w:p>
    <w:p w14:paraId="39B3B115">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color w:val="000000"/>
          <w:szCs w:val="21"/>
        </w:rPr>
      </w:pPr>
      <w:r>
        <w:rPr>
          <w:rFonts w:hint="eastAsia"/>
          <w:color w:val="000000"/>
          <w:szCs w:val="21"/>
        </w:rPr>
        <w:t>3.3 综合结论判定</w:t>
      </w:r>
    </w:p>
    <w:p w14:paraId="77D7B7A0">
      <w:pPr>
        <w:keepNext w:val="0"/>
        <w:keepLines w:val="0"/>
        <w:pageBreakBefore w:val="0"/>
        <w:widowControl w:val="0"/>
        <w:kinsoku/>
        <w:wordWrap/>
        <w:overflowPunct/>
        <w:topLinePunct w:val="0"/>
        <w:autoSpaceDE/>
        <w:autoSpaceDN/>
        <w:bidi w:val="0"/>
        <w:adjustRightInd w:val="0"/>
        <w:snapToGrid w:val="0"/>
        <w:spacing w:line="440" w:lineRule="exact"/>
        <w:ind w:firstLine="420" w:firstLineChars="200"/>
        <w:textAlignment w:val="auto"/>
        <w:rPr>
          <w:rFonts w:hint="eastAsia" w:ascii="Times New Roman" w:hAnsi="Times New Roman" w:eastAsia="宋体" w:cs="Times New Roman"/>
          <w:color w:val="000000"/>
          <w:szCs w:val="21"/>
        </w:rPr>
      </w:pPr>
      <w:r>
        <w:rPr>
          <w:rFonts w:hint="eastAsia" w:ascii="Times New Roman" w:hAnsi="Times New Roman" w:eastAsia="宋体" w:cs="Times New Roman"/>
          <w:color w:val="000000"/>
          <w:szCs w:val="21"/>
        </w:rPr>
        <w:t>经检验，检验项目中任一项或一项以上不合格，判定被抽查产品为“不合格”。</w:t>
      </w:r>
    </w:p>
    <w:p w14:paraId="4D79612D">
      <w:pPr>
        <w:keepNext w:val="0"/>
        <w:keepLines w:val="0"/>
        <w:pageBreakBefore w:val="0"/>
        <w:widowControl w:val="0"/>
        <w:kinsoku/>
        <w:wordWrap/>
        <w:overflowPunct/>
        <w:topLinePunct w:val="0"/>
        <w:autoSpaceDE/>
        <w:autoSpaceDN/>
        <w:bidi w:val="0"/>
        <w:adjustRightInd w:val="0"/>
        <w:snapToGrid w:val="0"/>
        <w:spacing w:line="440" w:lineRule="exact"/>
        <w:ind w:firstLine="420" w:firstLineChars="200"/>
        <w:textAlignment w:val="auto"/>
        <w:rPr>
          <w:rFonts w:hint="eastAsia" w:ascii="Times New Roman" w:hAnsi="Times New Roman" w:eastAsia="宋体" w:cs="Times New Roman"/>
          <w:color w:val="000000"/>
          <w:szCs w:val="21"/>
        </w:rPr>
      </w:pPr>
      <w:r>
        <w:rPr>
          <w:rFonts w:hint="eastAsia" w:ascii="Times New Roman" w:hAnsi="Times New Roman" w:eastAsia="宋体" w:cs="Times New Roman"/>
          <w:color w:val="000000"/>
          <w:szCs w:val="21"/>
        </w:rPr>
        <w:t>检验项目全部符合明示质量要求，但不符合本细则检验项目依据的推荐性标准，判定被抽查产品为“所检项目符合明示质量要求，未达到××标准规定”。（注：××为具体标准名称）</w:t>
      </w:r>
    </w:p>
    <w:p w14:paraId="21DC14F0">
      <w:pPr>
        <w:keepNext w:val="0"/>
        <w:keepLines w:val="0"/>
        <w:pageBreakBefore w:val="0"/>
        <w:widowControl w:val="0"/>
        <w:kinsoku/>
        <w:wordWrap/>
        <w:overflowPunct/>
        <w:topLinePunct w:val="0"/>
        <w:autoSpaceDE/>
        <w:autoSpaceDN/>
        <w:bidi w:val="0"/>
        <w:adjustRightInd w:val="0"/>
        <w:snapToGrid w:val="0"/>
        <w:spacing w:line="440" w:lineRule="exact"/>
        <w:ind w:firstLine="420" w:firstLineChars="200"/>
        <w:textAlignment w:val="auto"/>
        <w:rPr>
          <w:rFonts w:hint="eastAsia" w:ascii="Times New Roman" w:hAnsi="Times New Roman" w:eastAsia="宋体" w:cs="Times New Roman"/>
          <w:color w:val="000000"/>
          <w:szCs w:val="21"/>
        </w:rPr>
      </w:pPr>
      <w:r>
        <w:rPr>
          <w:rFonts w:hint="eastAsia" w:ascii="Times New Roman" w:hAnsi="Times New Roman" w:eastAsia="宋体" w:cs="Times New Roman"/>
          <w:color w:val="000000"/>
          <w:szCs w:val="21"/>
        </w:rPr>
        <w:t>检验项目全部符合明示质量要求，且符合本细则检验项目依据的推荐性标准，判定被抽查产品为“所检项目符合本次监督抽查要求”。</w:t>
      </w:r>
    </w:p>
    <w:p w14:paraId="499C4F39">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hAnsi="宋体"/>
        </w:rPr>
      </w:pPr>
    </w:p>
    <w:p w14:paraId="52B1EC46">
      <w:pPr>
        <w:keepNext w:val="0"/>
        <w:keepLines w:val="0"/>
        <w:pageBreakBefore w:val="0"/>
        <w:widowControl w:val="0"/>
        <w:kinsoku/>
        <w:wordWrap/>
        <w:overflowPunct/>
        <w:topLinePunct w:val="0"/>
        <w:autoSpaceDE/>
        <w:autoSpaceDN/>
        <w:bidi w:val="0"/>
        <w:spacing w:line="440" w:lineRule="exact"/>
        <w:textAlignment w:val="auto"/>
        <w:rPr>
          <w:rFonts w:eastAsia="黑体"/>
          <w:color w:val="000000"/>
          <w:szCs w:val="21"/>
        </w:rPr>
      </w:pPr>
      <w:r>
        <w:rPr>
          <w:rFonts w:hint="eastAsia" w:eastAsia="黑体"/>
          <w:color w:val="000000"/>
          <w:szCs w:val="21"/>
        </w:rPr>
        <w:t>4 附则</w:t>
      </w:r>
    </w:p>
    <w:p w14:paraId="742229A3">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Ansi="宋体"/>
        </w:rPr>
      </w:pPr>
      <w:r>
        <w:rPr>
          <w:rFonts w:hint="eastAsia"/>
          <w:color w:val="000000"/>
          <w:szCs w:val="21"/>
        </w:rPr>
        <w:t>本细则首次发布。</w:t>
      </w:r>
    </w:p>
    <w:sectPr>
      <w:headerReference r:id="rId3" w:type="default"/>
      <w:footerReference r:id="rId4" w:type="default"/>
      <w:pgSz w:w="11906" w:h="16838"/>
      <w:pgMar w:top="1985" w:right="1474" w:bottom="1644" w:left="1474" w:header="851" w:footer="1191"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361CA14-0516-42FE-AF11-899AAEDFFCB3}"/>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10600010101010101"/>
    <w:charset w:val="86"/>
    <w:family w:val="script"/>
    <w:pitch w:val="default"/>
    <w:sig w:usb0="00000001" w:usb1="080E0000" w:usb2="00000000" w:usb3="00000000" w:csb0="00040000" w:csb1="00000000"/>
    <w:embedRegular r:id="rId2" w:fontKey="{FC1D4F33-E36F-4B40-9361-49CA7986AD5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889A3">
    <w:pPr>
      <w:pStyle w:val="8"/>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lang w:val="zh-CN"/>
      </w:rPr>
      <w:t>3</w:t>
    </w:r>
    <w:r>
      <w:rPr>
        <w:sz w:val="21"/>
        <w:szCs w:val="21"/>
        <w:lang w:val="zh-CN"/>
      </w:rPr>
      <w:fldChar w:fldCharType="end"/>
    </w:r>
  </w:p>
  <w:p w14:paraId="399EFB08">
    <w:pPr>
      <w:pStyle w:val="8"/>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E07491">
    <w:pPr>
      <w:pStyle w:val="10"/>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UzMGZjZTM3YTNjNmU3MGQzZTQ5MTExN2U4MjZjY2UifQ=="/>
    <w:docVar w:name="KSO_WPS_MARK_KEY" w:val="ea34c1d5-dfee-4b3f-937a-93e45c6ffafe"/>
  </w:docVars>
  <w:rsids>
    <w:rsidRoot w:val="004E7F45"/>
    <w:rsid w:val="0002217F"/>
    <w:rsid w:val="000223BA"/>
    <w:rsid w:val="00025E70"/>
    <w:rsid w:val="00026930"/>
    <w:rsid w:val="00037E5F"/>
    <w:rsid w:val="000600FC"/>
    <w:rsid w:val="0008273B"/>
    <w:rsid w:val="000951D4"/>
    <w:rsid w:val="000A2FA9"/>
    <w:rsid w:val="000C59E3"/>
    <w:rsid w:val="000D0B7A"/>
    <w:rsid w:val="000E117D"/>
    <w:rsid w:val="000F0172"/>
    <w:rsid w:val="000F2A74"/>
    <w:rsid w:val="000F562D"/>
    <w:rsid w:val="001001F2"/>
    <w:rsid w:val="00111BFA"/>
    <w:rsid w:val="00126B4B"/>
    <w:rsid w:val="0013492D"/>
    <w:rsid w:val="0017118F"/>
    <w:rsid w:val="00173D62"/>
    <w:rsid w:val="00183A7B"/>
    <w:rsid w:val="00184868"/>
    <w:rsid w:val="001C0F49"/>
    <w:rsid w:val="001C3CE2"/>
    <w:rsid w:val="001D649C"/>
    <w:rsid w:val="001E7D67"/>
    <w:rsid w:val="00223B3D"/>
    <w:rsid w:val="002333DE"/>
    <w:rsid w:val="00262E0C"/>
    <w:rsid w:val="00263965"/>
    <w:rsid w:val="00282835"/>
    <w:rsid w:val="002961CD"/>
    <w:rsid w:val="002D2966"/>
    <w:rsid w:val="002F3CE5"/>
    <w:rsid w:val="00304659"/>
    <w:rsid w:val="00313811"/>
    <w:rsid w:val="00316ED3"/>
    <w:rsid w:val="0033027F"/>
    <w:rsid w:val="00345C28"/>
    <w:rsid w:val="0035010F"/>
    <w:rsid w:val="00352502"/>
    <w:rsid w:val="00366A90"/>
    <w:rsid w:val="003728F6"/>
    <w:rsid w:val="00384D3B"/>
    <w:rsid w:val="003A433A"/>
    <w:rsid w:val="003B0BC4"/>
    <w:rsid w:val="003D5388"/>
    <w:rsid w:val="003F1C82"/>
    <w:rsid w:val="003F71AC"/>
    <w:rsid w:val="003F7705"/>
    <w:rsid w:val="004064D4"/>
    <w:rsid w:val="00421E58"/>
    <w:rsid w:val="00453ACB"/>
    <w:rsid w:val="00460651"/>
    <w:rsid w:val="00480B8E"/>
    <w:rsid w:val="0048431A"/>
    <w:rsid w:val="004A673D"/>
    <w:rsid w:val="004D79DF"/>
    <w:rsid w:val="004E7F45"/>
    <w:rsid w:val="004F5112"/>
    <w:rsid w:val="00504E96"/>
    <w:rsid w:val="00511B0E"/>
    <w:rsid w:val="00511B96"/>
    <w:rsid w:val="0051209D"/>
    <w:rsid w:val="00532F8D"/>
    <w:rsid w:val="0054077C"/>
    <w:rsid w:val="00541545"/>
    <w:rsid w:val="00545235"/>
    <w:rsid w:val="005468BC"/>
    <w:rsid w:val="00571A64"/>
    <w:rsid w:val="005A736C"/>
    <w:rsid w:val="005D7D52"/>
    <w:rsid w:val="005E6927"/>
    <w:rsid w:val="006133E0"/>
    <w:rsid w:val="0061369D"/>
    <w:rsid w:val="00613ECC"/>
    <w:rsid w:val="006156EA"/>
    <w:rsid w:val="006219F8"/>
    <w:rsid w:val="006430D7"/>
    <w:rsid w:val="00646A2D"/>
    <w:rsid w:val="0065579C"/>
    <w:rsid w:val="00655EBF"/>
    <w:rsid w:val="00661A1E"/>
    <w:rsid w:val="00680A47"/>
    <w:rsid w:val="00686DE8"/>
    <w:rsid w:val="0068760D"/>
    <w:rsid w:val="006A74D7"/>
    <w:rsid w:val="006C56E0"/>
    <w:rsid w:val="006F0829"/>
    <w:rsid w:val="006F7279"/>
    <w:rsid w:val="00705024"/>
    <w:rsid w:val="0073258F"/>
    <w:rsid w:val="00741FDC"/>
    <w:rsid w:val="007543E6"/>
    <w:rsid w:val="007624B0"/>
    <w:rsid w:val="00763EFD"/>
    <w:rsid w:val="0077776E"/>
    <w:rsid w:val="007A4F3E"/>
    <w:rsid w:val="007B4B62"/>
    <w:rsid w:val="007C535F"/>
    <w:rsid w:val="007C7DF6"/>
    <w:rsid w:val="007E6AED"/>
    <w:rsid w:val="0082334C"/>
    <w:rsid w:val="00826B7A"/>
    <w:rsid w:val="00843EBD"/>
    <w:rsid w:val="008717BF"/>
    <w:rsid w:val="0088061A"/>
    <w:rsid w:val="00880BB0"/>
    <w:rsid w:val="00882649"/>
    <w:rsid w:val="0088588D"/>
    <w:rsid w:val="008A0152"/>
    <w:rsid w:val="008A3CDD"/>
    <w:rsid w:val="008A4290"/>
    <w:rsid w:val="008B50E9"/>
    <w:rsid w:val="008C2AA1"/>
    <w:rsid w:val="008D0062"/>
    <w:rsid w:val="008D4A5A"/>
    <w:rsid w:val="008E695F"/>
    <w:rsid w:val="00902C4C"/>
    <w:rsid w:val="00906BDD"/>
    <w:rsid w:val="00913A7B"/>
    <w:rsid w:val="0091647C"/>
    <w:rsid w:val="0092508E"/>
    <w:rsid w:val="009371D2"/>
    <w:rsid w:val="00943F43"/>
    <w:rsid w:val="009776A7"/>
    <w:rsid w:val="009833AD"/>
    <w:rsid w:val="009A74F5"/>
    <w:rsid w:val="009C56E2"/>
    <w:rsid w:val="009E75BC"/>
    <w:rsid w:val="009F096A"/>
    <w:rsid w:val="009F1D5A"/>
    <w:rsid w:val="00A00D3B"/>
    <w:rsid w:val="00A0139B"/>
    <w:rsid w:val="00A02ED1"/>
    <w:rsid w:val="00A068B9"/>
    <w:rsid w:val="00A14669"/>
    <w:rsid w:val="00A37628"/>
    <w:rsid w:val="00A42486"/>
    <w:rsid w:val="00A46FB9"/>
    <w:rsid w:val="00A95981"/>
    <w:rsid w:val="00AC1FA9"/>
    <w:rsid w:val="00AD4FA6"/>
    <w:rsid w:val="00AD527D"/>
    <w:rsid w:val="00AE0D56"/>
    <w:rsid w:val="00AF46D5"/>
    <w:rsid w:val="00B009E6"/>
    <w:rsid w:val="00B021FB"/>
    <w:rsid w:val="00B24BD0"/>
    <w:rsid w:val="00B33199"/>
    <w:rsid w:val="00B44E4C"/>
    <w:rsid w:val="00B61C35"/>
    <w:rsid w:val="00B942CB"/>
    <w:rsid w:val="00BA4D5F"/>
    <w:rsid w:val="00BB1D93"/>
    <w:rsid w:val="00BD0C1B"/>
    <w:rsid w:val="00BD6ACE"/>
    <w:rsid w:val="00C00081"/>
    <w:rsid w:val="00C17DF2"/>
    <w:rsid w:val="00C2557D"/>
    <w:rsid w:val="00C25CB5"/>
    <w:rsid w:val="00C3154A"/>
    <w:rsid w:val="00C36DAE"/>
    <w:rsid w:val="00C50932"/>
    <w:rsid w:val="00C81075"/>
    <w:rsid w:val="00C87D52"/>
    <w:rsid w:val="00CF0013"/>
    <w:rsid w:val="00D0483E"/>
    <w:rsid w:val="00D10BD4"/>
    <w:rsid w:val="00D541C8"/>
    <w:rsid w:val="00D867EF"/>
    <w:rsid w:val="00D92B63"/>
    <w:rsid w:val="00DA52B0"/>
    <w:rsid w:val="00DB7271"/>
    <w:rsid w:val="00DC5D52"/>
    <w:rsid w:val="00DC7DFD"/>
    <w:rsid w:val="00DE3870"/>
    <w:rsid w:val="00DF4DCE"/>
    <w:rsid w:val="00DF698A"/>
    <w:rsid w:val="00E017CB"/>
    <w:rsid w:val="00E074D6"/>
    <w:rsid w:val="00E221C9"/>
    <w:rsid w:val="00E23B81"/>
    <w:rsid w:val="00E66457"/>
    <w:rsid w:val="00E864B9"/>
    <w:rsid w:val="00E93AD3"/>
    <w:rsid w:val="00EB3B67"/>
    <w:rsid w:val="00F07ACA"/>
    <w:rsid w:val="00F32904"/>
    <w:rsid w:val="00F76949"/>
    <w:rsid w:val="00F85554"/>
    <w:rsid w:val="00F933A2"/>
    <w:rsid w:val="00F94BF2"/>
    <w:rsid w:val="00F94DCB"/>
    <w:rsid w:val="00F96EB7"/>
    <w:rsid w:val="00FA4A4B"/>
    <w:rsid w:val="00FB49C7"/>
    <w:rsid w:val="00FB4FF6"/>
    <w:rsid w:val="00FC7B9E"/>
    <w:rsid w:val="00FE39E2"/>
    <w:rsid w:val="00FE503B"/>
    <w:rsid w:val="00FF2630"/>
    <w:rsid w:val="01A131C3"/>
    <w:rsid w:val="01FB18B7"/>
    <w:rsid w:val="024B3ED5"/>
    <w:rsid w:val="032C2CC0"/>
    <w:rsid w:val="03D41C7D"/>
    <w:rsid w:val="04393756"/>
    <w:rsid w:val="050161E5"/>
    <w:rsid w:val="05545442"/>
    <w:rsid w:val="056915AB"/>
    <w:rsid w:val="057B705B"/>
    <w:rsid w:val="07555753"/>
    <w:rsid w:val="07A37A4F"/>
    <w:rsid w:val="09837BF5"/>
    <w:rsid w:val="09DB0E93"/>
    <w:rsid w:val="0B4A2AF2"/>
    <w:rsid w:val="0BA931C3"/>
    <w:rsid w:val="0D5E33E4"/>
    <w:rsid w:val="0D837D9E"/>
    <w:rsid w:val="0FDE2597"/>
    <w:rsid w:val="10E96DCA"/>
    <w:rsid w:val="11A97B1A"/>
    <w:rsid w:val="12EE04EB"/>
    <w:rsid w:val="138F11BB"/>
    <w:rsid w:val="142E2B41"/>
    <w:rsid w:val="146050F4"/>
    <w:rsid w:val="14CD7179"/>
    <w:rsid w:val="15097FDB"/>
    <w:rsid w:val="150E1C7B"/>
    <w:rsid w:val="15861A43"/>
    <w:rsid w:val="15F1076B"/>
    <w:rsid w:val="17D95B61"/>
    <w:rsid w:val="188E1215"/>
    <w:rsid w:val="18B11774"/>
    <w:rsid w:val="1A9221AF"/>
    <w:rsid w:val="1B683740"/>
    <w:rsid w:val="1BDD60C2"/>
    <w:rsid w:val="1C0559C8"/>
    <w:rsid w:val="1C500796"/>
    <w:rsid w:val="1DCA3D55"/>
    <w:rsid w:val="1E3265FA"/>
    <w:rsid w:val="1FE932D4"/>
    <w:rsid w:val="1FF041AE"/>
    <w:rsid w:val="1FFE717E"/>
    <w:rsid w:val="20055C73"/>
    <w:rsid w:val="20076CF3"/>
    <w:rsid w:val="201C0001"/>
    <w:rsid w:val="204E7819"/>
    <w:rsid w:val="20A372F0"/>
    <w:rsid w:val="20CB4BB3"/>
    <w:rsid w:val="213E16CC"/>
    <w:rsid w:val="216F55CD"/>
    <w:rsid w:val="21F07040"/>
    <w:rsid w:val="22902033"/>
    <w:rsid w:val="22F14622"/>
    <w:rsid w:val="230133A1"/>
    <w:rsid w:val="23997488"/>
    <w:rsid w:val="24744770"/>
    <w:rsid w:val="249267E9"/>
    <w:rsid w:val="26083C69"/>
    <w:rsid w:val="27B619BA"/>
    <w:rsid w:val="28461C9C"/>
    <w:rsid w:val="285C6E8E"/>
    <w:rsid w:val="29C514FC"/>
    <w:rsid w:val="2A9653EA"/>
    <w:rsid w:val="2B3505C9"/>
    <w:rsid w:val="2B591929"/>
    <w:rsid w:val="2B6D4C0E"/>
    <w:rsid w:val="2B7251A1"/>
    <w:rsid w:val="2BFC1260"/>
    <w:rsid w:val="2D0F3610"/>
    <w:rsid w:val="2D3C5121"/>
    <w:rsid w:val="2DAA4167"/>
    <w:rsid w:val="2DAF6AA4"/>
    <w:rsid w:val="2E447434"/>
    <w:rsid w:val="2E7229D5"/>
    <w:rsid w:val="2F7470F0"/>
    <w:rsid w:val="308630DB"/>
    <w:rsid w:val="310877D6"/>
    <w:rsid w:val="31996818"/>
    <w:rsid w:val="31B5314D"/>
    <w:rsid w:val="322F25BC"/>
    <w:rsid w:val="3282567F"/>
    <w:rsid w:val="337C71E2"/>
    <w:rsid w:val="33ED6206"/>
    <w:rsid w:val="345E6417"/>
    <w:rsid w:val="348A3282"/>
    <w:rsid w:val="35D82F96"/>
    <w:rsid w:val="373778B4"/>
    <w:rsid w:val="379D2C7F"/>
    <w:rsid w:val="37A458DA"/>
    <w:rsid w:val="37B76416"/>
    <w:rsid w:val="384E752E"/>
    <w:rsid w:val="39135CA7"/>
    <w:rsid w:val="39212C85"/>
    <w:rsid w:val="394C6EB2"/>
    <w:rsid w:val="399949EE"/>
    <w:rsid w:val="3A2400FE"/>
    <w:rsid w:val="3AE96DA9"/>
    <w:rsid w:val="3BFA02F7"/>
    <w:rsid w:val="3CC309AB"/>
    <w:rsid w:val="3D461BD0"/>
    <w:rsid w:val="3D6932CF"/>
    <w:rsid w:val="3DEA6581"/>
    <w:rsid w:val="3E503AA8"/>
    <w:rsid w:val="3E780D76"/>
    <w:rsid w:val="3FD3523E"/>
    <w:rsid w:val="40A32B02"/>
    <w:rsid w:val="40A4304E"/>
    <w:rsid w:val="40F85902"/>
    <w:rsid w:val="41C13225"/>
    <w:rsid w:val="41F97CC1"/>
    <w:rsid w:val="42A31AE7"/>
    <w:rsid w:val="42AA28AA"/>
    <w:rsid w:val="438602D6"/>
    <w:rsid w:val="43F37E46"/>
    <w:rsid w:val="44123AED"/>
    <w:rsid w:val="44C85855"/>
    <w:rsid w:val="44DD5696"/>
    <w:rsid w:val="45000F8C"/>
    <w:rsid w:val="46584B2B"/>
    <w:rsid w:val="47DD19DA"/>
    <w:rsid w:val="48CD242C"/>
    <w:rsid w:val="48D17917"/>
    <w:rsid w:val="496B0759"/>
    <w:rsid w:val="4A6B0188"/>
    <w:rsid w:val="4ABB1D38"/>
    <w:rsid w:val="4C1D7892"/>
    <w:rsid w:val="4D5E548A"/>
    <w:rsid w:val="4EF318AC"/>
    <w:rsid w:val="4FE13ED4"/>
    <w:rsid w:val="50225853"/>
    <w:rsid w:val="50D864D3"/>
    <w:rsid w:val="513F2C99"/>
    <w:rsid w:val="516E4782"/>
    <w:rsid w:val="52F952BE"/>
    <w:rsid w:val="53243C8C"/>
    <w:rsid w:val="5334431C"/>
    <w:rsid w:val="534A24ED"/>
    <w:rsid w:val="53AF4999"/>
    <w:rsid w:val="55675746"/>
    <w:rsid w:val="556E394C"/>
    <w:rsid w:val="55797C08"/>
    <w:rsid w:val="56994394"/>
    <w:rsid w:val="5723478B"/>
    <w:rsid w:val="58485AF4"/>
    <w:rsid w:val="58674257"/>
    <w:rsid w:val="596A57B6"/>
    <w:rsid w:val="59F561A9"/>
    <w:rsid w:val="5ABA7899"/>
    <w:rsid w:val="5ACF59F4"/>
    <w:rsid w:val="5C833B98"/>
    <w:rsid w:val="5DAE5A52"/>
    <w:rsid w:val="5E0D0BDF"/>
    <w:rsid w:val="5F253730"/>
    <w:rsid w:val="5F5D78DC"/>
    <w:rsid w:val="5FB10245"/>
    <w:rsid w:val="601F0EAE"/>
    <w:rsid w:val="602E7188"/>
    <w:rsid w:val="607543BE"/>
    <w:rsid w:val="610D371D"/>
    <w:rsid w:val="61E12000"/>
    <w:rsid w:val="620675AB"/>
    <w:rsid w:val="622B13D1"/>
    <w:rsid w:val="62446944"/>
    <w:rsid w:val="62AC7955"/>
    <w:rsid w:val="62D46613"/>
    <w:rsid w:val="63281448"/>
    <w:rsid w:val="64E05950"/>
    <w:rsid w:val="650E0CE2"/>
    <w:rsid w:val="65152766"/>
    <w:rsid w:val="65CD15D6"/>
    <w:rsid w:val="66956FE8"/>
    <w:rsid w:val="68F93880"/>
    <w:rsid w:val="6951565F"/>
    <w:rsid w:val="69552DD1"/>
    <w:rsid w:val="69AE68F7"/>
    <w:rsid w:val="6A7868DF"/>
    <w:rsid w:val="6BE256D4"/>
    <w:rsid w:val="6DE77F2E"/>
    <w:rsid w:val="6E083216"/>
    <w:rsid w:val="6E8A7348"/>
    <w:rsid w:val="6E9256FE"/>
    <w:rsid w:val="6EA70D04"/>
    <w:rsid w:val="6EC5277F"/>
    <w:rsid w:val="6F2B5042"/>
    <w:rsid w:val="6F2D49DD"/>
    <w:rsid w:val="711A28E5"/>
    <w:rsid w:val="71482881"/>
    <w:rsid w:val="71C632E1"/>
    <w:rsid w:val="71D2493E"/>
    <w:rsid w:val="71DB227A"/>
    <w:rsid w:val="723122EE"/>
    <w:rsid w:val="72794FA7"/>
    <w:rsid w:val="72E30A06"/>
    <w:rsid w:val="730C2F2A"/>
    <w:rsid w:val="7365659F"/>
    <w:rsid w:val="739B5F35"/>
    <w:rsid w:val="75762924"/>
    <w:rsid w:val="75FC38B9"/>
    <w:rsid w:val="7650337F"/>
    <w:rsid w:val="773B4447"/>
    <w:rsid w:val="776334F7"/>
    <w:rsid w:val="77854E73"/>
    <w:rsid w:val="779A3266"/>
    <w:rsid w:val="779B13FF"/>
    <w:rsid w:val="77AF6AE4"/>
    <w:rsid w:val="797E31CB"/>
    <w:rsid w:val="7A9A1A11"/>
    <w:rsid w:val="7BB578CB"/>
    <w:rsid w:val="7C3D28A5"/>
    <w:rsid w:val="7C5B0643"/>
    <w:rsid w:val="7E071097"/>
    <w:rsid w:val="7E463F5C"/>
    <w:rsid w:val="7E611631"/>
    <w:rsid w:val="7E6B05F1"/>
    <w:rsid w:val="7EB84964"/>
    <w:rsid w:val="7F666998"/>
    <w:rsid w:val="BB9E379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15">
    <w:name w:val="Default Paragraph Font"/>
    <w:autoRedefine/>
    <w:semiHidden/>
    <w:qFormat/>
    <w:uiPriority w:val="0"/>
  </w:style>
  <w:style w:type="table" w:default="1" w:styleId="13">
    <w:name w:val="Normal Table"/>
    <w:autoRedefine/>
    <w:semiHidden/>
    <w:qFormat/>
    <w:uiPriority w:val="0"/>
    <w:tblPr>
      <w:tblCellMar>
        <w:top w:w="0" w:type="dxa"/>
        <w:left w:w="108" w:type="dxa"/>
        <w:bottom w:w="0" w:type="dxa"/>
        <w:right w:w="108" w:type="dxa"/>
      </w:tblCellMar>
    </w:tblPr>
  </w:style>
  <w:style w:type="paragraph" w:styleId="2">
    <w:name w:val="annotation text"/>
    <w:basedOn w:val="1"/>
    <w:link w:val="18"/>
    <w:autoRedefine/>
    <w:qFormat/>
    <w:uiPriority w:val="99"/>
    <w:pPr>
      <w:jc w:val="left"/>
    </w:pPr>
  </w:style>
  <w:style w:type="paragraph" w:styleId="3">
    <w:name w:val="Body Text"/>
    <w:basedOn w:val="1"/>
    <w:link w:val="19"/>
    <w:autoRedefine/>
    <w:qFormat/>
    <w:uiPriority w:val="0"/>
    <w:pPr>
      <w:spacing w:after="120"/>
    </w:pPr>
  </w:style>
  <w:style w:type="paragraph" w:styleId="4">
    <w:name w:val="Body Text Indent"/>
    <w:basedOn w:val="1"/>
    <w:autoRedefine/>
    <w:qFormat/>
    <w:uiPriority w:val="0"/>
    <w:pPr>
      <w:ind w:firstLine="600" w:firstLineChars="200"/>
    </w:pPr>
    <w:rPr>
      <w:rFonts w:ascii="Times New Roman" w:hAnsi="Times New Roman" w:eastAsia="仿宋_GB2312"/>
      <w:sz w:val="30"/>
      <w:szCs w:val="24"/>
    </w:rPr>
  </w:style>
  <w:style w:type="paragraph" w:styleId="5">
    <w:name w:val="Block Text"/>
    <w:basedOn w:val="1"/>
    <w:autoRedefine/>
    <w:qFormat/>
    <w:uiPriority w:val="0"/>
    <w:pPr>
      <w:autoSpaceDE w:val="0"/>
      <w:autoSpaceDN w:val="0"/>
      <w:adjustRightInd w:val="0"/>
      <w:spacing w:line="240" w:lineRule="atLeast"/>
      <w:ind w:left="1797" w:right="857" w:rightChars="857" w:firstLine="226" w:firstLineChars="226"/>
      <w:jc w:val="left"/>
    </w:pPr>
    <w:rPr>
      <w:rFonts w:ascii="宋体"/>
      <w:color w:val="000000"/>
      <w:kern w:val="0"/>
      <w:sz w:val="24"/>
    </w:rPr>
  </w:style>
  <w:style w:type="paragraph" w:styleId="6">
    <w:name w:val="Plain Text"/>
    <w:basedOn w:val="1"/>
    <w:link w:val="20"/>
    <w:autoRedefine/>
    <w:qFormat/>
    <w:uiPriority w:val="0"/>
    <w:rPr>
      <w:rFonts w:ascii="宋体" w:hAnsi="Courier New"/>
      <w:szCs w:val="21"/>
    </w:rPr>
  </w:style>
  <w:style w:type="paragraph" w:styleId="7">
    <w:name w:val="Balloon Text"/>
    <w:basedOn w:val="1"/>
    <w:link w:val="21"/>
    <w:autoRedefine/>
    <w:qFormat/>
    <w:uiPriority w:val="0"/>
    <w:rPr>
      <w:sz w:val="18"/>
      <w:szCs w:val="18"/>
    </w:rPr>
  </w:style>
  <w:style w:type="paragraph" w:styleId="8">
    <w:name w:val="footer"/>
    <w:basedOn w:val="1"/>
    <w:link w:val="22"/>
    <w:autoRedefine/>
    <w:qFormat/>
    <w:uiPriority w:val="99"/>
    <w:pPr>
      <w:tabs>
        <w:tab w:val="center" w:pos="4153"/>
        <w:tab w:val="right" w:pos="8306"/>
      </w:tabs>
      <w:snapToGrid w:val="0"/>
      <w:jc w:val="left"/>
    </w:pPr>
    <w:rPr>
      <w:sz w:val="18"/>
      <w:szCs w:val="18"/>
    </w:rPr>
  </w:style>
  <w:style w:type="paragraph" w:styleId="9">
    <w:name w:val="envelope return"/>
    <w:basedOn w:val="1"/>
    <w:autoRedefine/>
    <w:qFormat/>
    <w:uiPriority w:val="0"/>
    <w:pPr>
      <w:snapToGrid w:val="0"/>
    </w:pPr>
    <w:rPr>
      <w:rFonts w:ascii="Arial" w:hAnsi="Arial"/>
    </w:rPr>
  </w:style>
  <w:style w:type="paragraph" w:styleId="10">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1">
    <w:name w:val="annotation subject"/>
    <w:basedOn w:val="2"/>
    <w:next w:val="2"/>
    <w:link w:val="23"/>
    <w:autoRedefine/>
    <w:qFormat/>
    <w:uiPriority w:val="0"/>
    <w:rPr>
      <w:b/>
      <w:bCs/>
    </w:rPr>
  </w:style>
  <w:style w:type="paragraph" w:styleId="12">
    <w:name w:val="Body Text First Indent 2"/>
    <w:basedOn w:val="4"/>
    <w:next w:val="5"/>
    <w:autoRedefine/>
    <w:qFormat/>
    <w:uiPriority w:val="0"/>
    <w:pPr>
      <w:ind w:firstLine="420"/>
    </w:pPr>
  </w:style>
  <w:style w:type="table" w:styleId="14">
    <w:name w:val="Table Grid"/>
    <w:basedOn w:val="13"/>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Hyperlink"/>
    <w:autoRedefine/>
    <w:unhideWhenUsed/>
    <w:qFormat/>
    <w:uiPriority w:val="99"/>
    <w:rPr>
      <w:color w:val="0000FF"/>
      <w:u w:val="single"/>
    </w:rPr>
  </w:style>
  <w:style w:type="character" w:styleId="17">
    <w:name w:val="annotation reference"/>
    <w:autoRedefine/>
    <w:qFormat/>
    <w:uiPriority w:val="0"/>
    <w:rPr>
      <w:sz w:val="21"/>
      <w:szCs w:val="21"/>
    </w:rPr>
  </w:style>
  <w:style w:type="character" w:customStyle="1" w:styleId="18">
    <w:name w:val="批注文字 Char"/>
    <w:link w:val="2"/>
    <w:autoRedefine/>
    <w:qFormat/>
    <w:uiPriority w:val="99"/>
    <w:rPr>
      <w:kern w:val="2"/>
      <w:sz w:val="21"/>
      <w:szCs w:val="22"/>
    </w:rPr>
  </w:style>
  <w:style w:type="character" w:customStyle="1" w:styleId="19">
    <w:name w:val="正文文本 Char"/>
    <w:link w:val="3"/>
    <w:autoRedefine/>
    <w:qFormat/>
    <w:uiPriority w:val="0"/>
    <w:rPr>
      <w:kern w:val="2"/>
      <w:sz w:val="21"/>
      <w:szCs w:val="22"/>
    </w:rPr>
  </w:style>
  <w:style w:type="character" w:customStyle="1" w:styleId="20">
    <w:name w:val="纯文本 Char1"/>
    <w:link w:val="6"/>
    <w:autoRedefine/>
    <w:qFormat/>
    <w:uiPriority w:val="0"/>
    <w:rPr>
      <w:rFonts w:ascii="宋体" w:hAnsi="Courier New" w:cs="Courier New"/>
      <w:kern w:val="2"/>
      <w:sz w:val="21"/>
      <w:szCs w:val="21"/>
    </w:rPr>
  </w:style>
  <w:style w:type="character" w:customStyle="1" w:styleId="21">
    <w:name w:val="批注框文本 Char"/>
    <w:link w:val="7"/>
    <w:autoRedefine/>
    <w:qFormat/>
    <w:uiPriority w:val="0"/>
    <w:rPr>
      <w:kern w:val="2"/>
      <w:sz w:val="18"/>
      <w:szCs w:val="18"/>
    </w:rPr>
  </w:style>
  <w:style w:type="character" w:customStyle="1" w:styleId="22">
    <w:name w:val="页脚 Char"/>
    <w:link w:val="8"/>
    <w:autoRedefine/>
    <w:qFormat/>
    <w:uiPriority w:val="99"/>
    <w:rPr>
      <w:kern w:val="2"/>
      <w:sz w:val="18"/>
      <w:szCs w:val="18"/>
    </w:rPr>
  </w:style>
  <w:style w:type="character" w:customStyle="1" w:styleId="23">
    <w:name w:val="批注主题 Char"/>
    <w:link w:val="11"/>
    <w:autoRedefine/>
    <w:qFormat/>
    <w:uiPriority w:val="0"/>
  </w:style>
  <w:style w:type="character" w:customStyle="1" w:styleId="24">
    <w:name w:val="fontstyle01"/>
    <w:autoRedefine/>
    <w:qFormat/>
    <w:uiPriority w:val="0"/>
    <w:rPr>
      <w:rFonts w:ascii="黑体" w:hAnsi="宋体" w:eastAsia="黑体" w:cs="黑体"/>
      <w:color w:val="000000"/>
      <w:sz w:val="32"/>
      <w:szCs w:val="32"/>
    </w:rPr>
  </w:style>
  <w:style w:type="paragraph" w:customStyle="1" w:styleId="25">
    <w:name w:val="列出段落1"/>
    <w:basedOn w:val="1"/>
    <w:autoRedefine/>
    <w:qFormat/>
    <w:uiPriority w:val="34"/>
    <w:pPr>
      <w:ind w:firstLine="420" w:firstLineChars="200"/>
    </w:pPr>
  </w:style>
  <w:style w:type="paragraph" w:styleId="26">
    <w:name w:val="List Paragraph"/>
    <w:basedOn w:val="1"/>
    <w:autoRedefine/>
    <w:qFormat/>
    <w:uiPriority w:val="99"/>
    <w:pPr>
      <w:ind w:firstLine="420" w:firstLineChars="200"/>
    </w:pPr>
  </w:style>
  <w:style w:type="paragraph" w:customStyle="1" w:styleId="27">
    <w:name w:val="Default"/>
    <w:autoRedefine/>
    <w:qFormat/>
    <w:uiPriority w:val="0"/>
    <w:pPr>
      <w:widowControl w:val="0"/>
      <w:autoSpaceDE w:val="0"/>
      <w:autoSpaceDN w:val="0"/>
      <w:adjustRightInd w:val="0"/>
    </w:pPr>
    <w:rPr>
      <w:rFonts w:ascii="仿宋" w:hAnsi="Times New Roman" w:eastAsia="仿宋" w:cs="仿宋"/>
      <w:color w:val="000000"/>
      <w:sz w:val="24"/>
      <w:szCs w:val="24"/>
      <w:lang w:val="en-US" w:eastAsia="zh-CN" w:bidi="ar-SA"/>
    </w:rPr>
  </w:style>
  <w:style w:type="character" w:customStyle="1" w:styleId="28">
    <w:name w:val="纯文本 Char"/>
    <w:autoRedefine/>
    <w:qFormat/>
    <w:uiPriority w:val="0"/>
    <w:rPr>
      <w:rFonts w:ascii="宋体" w:hAnsi="Courier New" w:cs="Courier New"/>
      <w:kern w:val="2"/>
      <w:sz w:val="21"/>
      <w:szCs w:val="21"/>
    </w:rPr>
  </w:style>
  <w:style w:type="paragraph" w:customStyle="1" w:styleId="29">
    <w:name w:val="p17"/>
    <w:basedOn w:val="1"/>
    <w:autoRedefine/>
    <w:qFormat/>
    <w:uiPriority w:val="0"/>
    <w:pPr>
      <w:widowControl/>
    </w:pPr>
    <w:rPr>
      <w:color w:val="000000"/>
      <w:kern w:val="0"/>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Company>
  <Pages>2</Pages>
  <Words>1019</Words>
  <Characters>1216</Characters>
  <Lines>12</Lines>
  <Paragraphs>3</Paragraphs>
  <TotalTime>1</TotalTime>
  <ScaleCrop>false</ScaleCrop>
  <LinksUpToDate>false</LinksUpToDate>
  <CharactersWithSpaces>1263</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2023-02-08T14:33:00Z</dcterms:created>
  <dc:creator>wee</dc:creator>
  <cp:lastModifiedBy>renketina</cp:lastModifiedBy>
  <cp:lastPrinted>2021-02-23T14:17:00Z</cp:lastPrinted>
  <dcterms:modified xsi:type="dcterms:W3CDTF">2025-05-27T03:26:20Z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C93F9E18230B436B8AFB09062B2EEBFD_13</vt:lpwstr>
  </property>
  <property fmtid="{D5CDD505-2E9C-101B-9397-08002B2CF9AE}" pid="4" name="KSOTemplateDocerSaveRecord">
    <vt:lpwstr>eyJoZGlkIjoiZjk0ODA0MjBlZDZhYjY0NzJkODczMTUzNTE0MDg3YWQiLCJ1c2VySWQiOiIzMDk4MTEzMDYifQ==</vt:lpwstr>
  </property>
</Properties>
</file>