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关于对《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关于加快用户侧储能建设的实施意见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》（送审稿）的起草说明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为加快构建以新能源为主体的新型电力系统，根据《国家发展改革委 国家能源局关于加快推动新型储能发展的指导意见》（发改能源规〔2021〕1051号）、《关于浙江省加快新型储能示范应用的实施意见》（浙发改能源〔2021〕393号）等文件精神，结合我区实际，制定本实施意见。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（一）积极支持用户侧储能项目建设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新建设的非居民分布式光伏发电项目原则上按照装机容量的10%以上配建储能系统，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储能系统额定功率下持续充放电时间不低于2小时，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高光伏发电就地消纳能力。光伏项目配建的储能系统可自建或采用储能配额置换交易模式。鼓励企业用户或综合能源服务商根据负荷特性建设储能设施，充分利用目录分时电价机制，主动削峰填谷，优化区域电网负荷需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优化用户侧储能项目并网服务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区供电公司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持续加大配电网投资力度，对用户侧储能项目接入的电网侧电力配套设施，延伸投资界面到客户红线。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  <w:lang w:val="en-US" w:eastAsia="zh-CN"/>
        </w:rPr>
        <w:t>用户侧储能新装、增容项目，应按相关规定完成项目备案后向区供电公司办理并网申请手续，经区供电公司及相关部门验收合格后方可并网。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区供电公司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</w:rPr>
        <w:t>按照积极服务、简洁高效原则，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进一步优化内部流程，加快业务办理速度，优先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</w:rPr>
        <w:t>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用户侧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</w:rPr>
        <w:t>储能项目提供电网接入服务。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鼓励用户侧储能参与虚拟电厂负荷调节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积极运用数字化技术对分布式储能设施开展平台聚合，用户侧储能项目应接入金华全域虚拟电厂平台，积极参与电力需求响应和辅助服务，充分发挥灵活、可调性储能资源在新型电力系统中的平衡作用。对参与金华全域虚拟电厂负荷调控的储能项目，按负荷响应期间峰段放电量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0.25元/千瓦时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给予补贴，负荷响应期为7、8、12、1月份。补贴期自发文之日起至2025年1月31日，补贴资金总额112.5万元，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其中2023年度37.5万元，2024年度和2025年1月75万元。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（四）建立健全用户侧储能安全保障体系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用户及储能设施投资方明确储能设施安全责任方，并由安全责任方办理相关业务，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对储能设施安全运行、管理、维护作出安全承诺，承担因自身原因造成事故引起的一切法律责任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。区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供电公司根据《电力安全工作规程》相关安全管理规定，与用户或储能设施投资方签订《储能系统调度协议》，共同加强对储能系统验收接入及后续运行的安全管理。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区级各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相关部门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安全主体责任，强化消防安全管理，有效提升安全运行水平。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日，向各有关单位征求意见，并根据各单位意见对实施方案进行了调整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5月2日至6月2日在区政府门户网站公开征求意见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。6月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日，再次向各单位征求方案及清单意见。</w:t>
      </w:r>
      <w:bookmarkStart w:id="0" w:name="_GoBack"/>
      <w:bookmarkEnd w:id="0"/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chineseCounting"/>
      <w:suff w:val="nothing"/>
      <w:lvlText w:val="（%1）"/>
      <w:lvlJc w:val="left"/>
      <w:pPr>
        <w:ind w:left="197" w:firstLine="42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ODQ0YTRmMGI1ZDUxNDI5ZGU3ZjY5YjkyMmE3YmRkZmEifQ=="/>
  </w:docVars>
  <w:rsids>
    <w:rsidRoot w:val="00000000"/>
    <w:rsid w:val="02615BD0"/>
    <w:rsid w:val="02A71922"/>
    <w:rsid w:val="4E540B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7"/>
    <w:basedOn w:val="1"/>
    <w:next w:val="1"/>
    <w:qFormat/>
    <w:uiPriority w:val="0"/>
    <w:pPr>
      <w:ind w:left="2520"/>
      <w:jc w:val="left"/>
    </w:pPr>
    <w:rPr>
      <w:rFonts w:ascii="仿宋_GB2312" w:eastAsia="仿宋_GB2312"/>
      <w:sz w:val="32"/>
      <w:szCs w:val="32"/>
    </w:rPr>
  </w:style>
  <w:style w:type="paragraph" w:styleId="6">
    <w:name w:val="Body Text First Indent 2"/>
    <w:basedOn w:val="1"/>
    <w:next w:val="1"/>
    <w:qFormat/>
    <w:uiPriority w:val="0"/>
    <w:pPr>
      <w:widowControl w:val="0"/>
      <w:ind w:firstLine="100" w:firstLineChars="100"/>
      <w:jc w:val="both"/>
    </w:pPr>
    <w:rPr>
      <w:rFonts w:ascii="仿宋_GB2312" w:eastAsia="仿宋_GB2312" w:cs="仿宋_GB2312"/>
      <w:kern w:val="2"/>
      <w:sz w:val="20"/>
      <w:szCs w:val="20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189</Words>
  <Characters>189</Characters>
  <Lines>8</Lines>
  <Paragraphs>0</Paragraphs>
  <TotalTime>2</TotalTime>
  <ScaleCrop>false</ScaleCrop>
  <LinksUpToDate>false</LinksUpToDate>
  <CharactersWithSpaces>189</CharactersWithSpaces>
  <Application>WPS Office_11.8.2.12094_F1E327BC-269C-435d-A152-05C5408002CA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2023-06-29T03:04:00Z</dcterms:created>
  <dc:creator>uos</dc:creator>
  <cp:lastModifiedBy>扬帆远航</cp:lastModifiedBy>
  <dcterms:modified xsi:type="dcterms:W3CDTF">2024-02-20T06:28:08Z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B97725755B2A44C08469A595E9504FDF</vt:lpwstr>
  </property>
</Properties>
</file>