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武义县纳税双百管理办法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171A1D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为推动我县经济高质量发展，进一步激发市场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活力，弘扬纳税光荣的良好风尚，鼓励企业在新一轮赶超争先中担当作为，加快打造都市范山水韵现代化活力新武义，特制定本办法。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县府办、县发改局、县经商局、县建设局、县市场监管局、开发区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、县税务局以及相关乡镇街道组成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正常生产经营的各类经济组织（非独立核算建筑业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集团公司、控股公司、自然人股东控股50%（含）以上的关联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对象，可以于每年6月30日前提出申请（申请表见附件），经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委员会同意，允许汇总为一个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对象依法经营，财务、会计制度健全、会计核算规范，依法诚信纳税。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年度内存在下列情况之一的，取消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对象，土地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未达到当年县政府考核要求的。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存在欠缴税（费）款的。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纳税信用等级为D级的。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因涉税违法被司法机关追究刑事责任的。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存在县政府一票否决事项的。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税额计算口径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（一）计算公式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税额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</w:rPr>
        <w:t>净入库税（费）额 + 增值税免抵发生额 + 即征即退增值税税额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- 委托代征、代扣代缴税（费）额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+ 其他结算税（费）额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口径</w:t>
      </w:r>
      <w:r>
        <w:rPr>
          <w:rFonts w:hint="eastAsia" w:ascii="楷体_GB2312" w:hAnsi="楷体_GB2312" w:eastAsia="楷体_GB2312" w:cs="楷体_GB2312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净入库税（费）额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当年（1月1日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12月31日）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税（费）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减去退库的金额，</w:t>
      </w:r>
      <w:r>
        <w:rPr>
          <w:rFonts w:hint="eastAsia" w:ascii="仿宋_GB2312" w:hAnsi="仿宋_GB2312" w:eastAsia="仿宋_GB2312" w:cs="仿宋_GB2312"/>
          <w:sz w:val="32"/>
          <w:szCs w:val="32"/>
        </w:rPr>
        <w:t>税（费）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种：</w:t>
      </w:r>
      <w:r>
        <w:rPr>
          <w:rFonts w:hint="eastAsia" w:ascii="仿宋_GB2312" w:hAnsi="仿宋_GB2312" w:eastAsia="仿宋_GB2312" w:cs="仿宋_GB2312"/>
          <w:color w:val="171A1D"/>
          <w:kern w:val="0"/>
          <w:sz w:val="32"/>
          <w:szCs w:val="32"/>
        </w:rPr>
        <w:t>增值税、消费税、企业所得税、个人所得税（生产经营所得）、房产税、城镇土地使用税、车船税、土地增值税、印花税、城市维护建设税、资源税、环境保护税、教育费附加、地方教育费附加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其他结算税</w:t>
      </w:r>
      <w:r>
        <w:rPr>
          <w:rFonts w:hint="eastAsia" w:ascii="仿宋_GB2312" w:hAnsi="仿宋_GB2312" w:eastAsia="仿宋_GB2312" w:cs="仿宋_GB2312"/>
          <w:sz w:val="32"/>
          <w:szCs w:val="32"/>
        </w:rPr>
        <w:t>（费）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额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对象享受国家普惠性优惠政策后结算的税</w:t>
      </w:r>
      <w:r>
        <w:rPr>
          <w:rFonts w:hint="eastAsia" w:ascii="仿宋_GB2312" w:hAnsi="仿宋_GB2312" w:eastAsia="仿宋_GB2312" w:cs="仿宋_GB2312"/>
          <w:sz w:val="32"/>
          <w:szCs w:val="32"/>
        </w:rPr>
        <w:t>（费）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71A1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税额</w:t>
      </w:r>
      <w:r>
        <w:rPr>
          <w:rFonts w:hint="eastAsia" w:ascii="仿宋_GB2312" w:hAnsi="仿宋_GB2312" w:eastAsia="仿宋_GB2312" w:cs="仿宋_GB2312"/>
          <w:color w:val="171A1D"/>
          <w:kern w:val="0"/>
          <w:sz w:val="32"/>
          <w:szCs w:val="32"/>
        </w:rPr>
        <w:t>不包括以二手房形式交易缴纳的相关税费、以前年度欠缴的</w:t>
      </w:r>
      <w:r>
        <w:rPr>
          <w:rFonts w:hint="eastAsia" w:ascii="仿宋_GB2312" w:hAnsi="仿宋_GB2312" w:eastAsia="仿宋_GB2312" w:cs="仿宋_GB2312"/>
          <w:sz w:val="32"/>
          <w:szCs w:val="32"/>
        </w:rPr>
        <w:t>税费、</w:t>
      </w:r>
      <w:r>
        <w:rPr>
          <w:rFonts w:hint="eastAsia" w:ascii="仿宋_GB2312" w:hAnsi="仿宋_GB2312" w:eastAsia="仿宋_GB2312" w:cs="仿宋_GB2312"/>
          <w:color w:val="171A1D"/>
          <w:kern w:val="0"/>
          <w:sz w:val="32"/>
          <w:szCs w:val="32"/>
        </w:rPr>
        <w:t>稽查查补相关的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税费、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房开项目结束后（武义县域内未有新项目）清算补缴的税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确定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税额从高到低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200名，其中前100名为纳税百强，后100名为纳税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贡献单位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确定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企业各项条件符合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情况，提出初步意见名单。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（二）提请县政府常务会议审核确定。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以县政府名义对纳税百强、纳税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贡献单位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发文公布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w w:val="8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（一）本办法自发布之日起施行，原办法《武义县纳税百强和纳税先进单位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办法（2019年修订）》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武政办〔2019〕4号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合并计算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税额申请表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合并计算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税额申请表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598"/>
        <w:gridCol w:w="945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对象名称（盖章）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委员会组成部门意见</w:t>
            </w:r>
          </w:p>
        </w:tc>
        <w:tc>
          <w:tcPr>
            <w:tcW w:w="7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765923-6F9C-4F7D-B21B-ADE886F447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1354FEE-AD70-4CDC-9547-214B685140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D46A01-EAC4-41D5-814A-D5695B6C229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04F755-E566-4C7E-99AA-876D038DC4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zliZTQyNTcyODYzNGEyZWFiNmNhZGI0MTMxNGEifQ=="/>
  </w:docVars>
  <w:rsids>
    <w:rsidRoot w:val="52DD5425"/>
    <w:rsid w:val="0CC82BED"/>
    <w:rsid w:val="0E12501D"/>
    <w:rsid w:val="202A04B2"/>
    <w:rsid w:val="240B2C0C"/>
    <w:rsid w:val="2A29796E"/>
    <w:rsid w:val="367B080D"/>
    <w:rsid w:val="3DD641A0"/>
    <w:rsid w:val="4FBC27A4"/>
    <w:rsid w:val="52DD5425"/>
    <w:rsid w:val="58701AA7"/>
    <w:rsid w:val="5D2C0948"/>
    <w:rsid w:val="5EE07DE8"/>
    <w:rsid w:val="5F725FA0"/>
    <w:rsid w:val="6A301B1F"/>
    <w:rsid w:val="6EA73991"/>
    <w:rsid w:val="70581B7C"/>
    <w:rsid w:val="76F261F7"/>
    <w:rsid w:val="78B05C37"/>
    <w:rsid w:val="7B8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1043</Characters>
  <Lines>0</Lines>
  <Paragraphs>0</Paragraphs>
  <TotalTime>90</TotalTime>
  <ScaleCrop>false</ScaleCrop>
  <LinksUpToDate>false</LinksUpToDate>
  <CharactersWithSpaces>1055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2024-04-15T01:14:00Z</dcterms:created>
  <dc:creator>徐俊</dc:creator>
  <cp:lastModifiedBy>邓武阳</cp:lastModifiedBy>
  <cp:lastPrinted>2024-09-30T00:28:00Z</cp:lastPrinted>
  <dcterms:modified xsi:type="dcterms:W3CDTF">2024-12-17T03:26:46Z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C82BD3C416114EA7B81EC32389B918C4</vt:lpwstr>
  </property>
</Properties>
</file>