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东阳市预算单位银行账户管理</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暂行办法</w:t>
      </w: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（征求意见稿）</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outlineLvl w:val="0"/>
        <w:rPr>
          <w:rFonts w:hint="eastAsia" w:ascii="国标黑体" w:hAnsi="国标黑体" w:eastAsia="国标黑体" w:cs="国标黑体"/>
          <w:b w:val="0"/>
          <w:bCs w:val="0"/>
          <w:color w:val="333333"/>
          <w:sz w:val="32"/>
          <w:szCs w:val="32"/>
          <w:shd w:val="clear" w:color="auto" w:fill="FFFFFF"/>
          <w:lang w:val="en-US" w:eastAsia="zh-CN"/>
        </w:rPr>
      </w:pPr>
      <w:r>
        <w:rPr>
          <w:rFonts w:hint="eastAsia" w:ascii="国标黑体" w:hAnsi="国标黑体" w:eastAsia="国标黑体" w:cs="国标黑体"/>
          <w:b w:val="0"/>
          <w:bCs w:val="0"/>
          <w:color w:val="333333"/>
          <w:sz w:val="32"/>
          <w:szCs w:val="32"/>
          <w:shd w:val="clear" w:color="auto" w:fill="FFFFFF"/>
        </w:rPr>
        <w:t>一、</w:t>
      </w:r>
      <w:r>
        <w:rPr>
          <w:rFonts w:hint="eastAsia" w:ascii="国标黑体" w:hAnsi="国标黑体" w:eastAsia="国标黑体" w:cs="国标黑体"/>
          <w:b w:val="0"/>
          <w:bCs w:val="0"/>
          <w:color w:val="333333"/>
          <w:sz w:val="32"/>
          <w:szCs w:val="32"/>
          <w:shd w:val="clear" w:color="auto" w:fill="FFFFFF"/>
          <w:lang w:val="en-US" w:eastAsia="zh-CN"/>
        </w:rPr>
        <w:t>总体要求</w:t>
      </w:r>
    </w:p>
    <w:p>
      <w:pPr>
        <w:keepNext w:val="0"/>
        <w:keepLines w:val="0"/>
        <w:pageBreakBefore w:val="0"/>
        <w:widowControl w:val="0"/>
        <w:kinsoku/>
        <w:wordWrap/>
        <w:overflowPunct/>
        <w:topLinePunct w:val="0"/>
        <w:autoSpaceDE/>
        <w:autoSpaceDN/>
        <w:bidi w:val="0"/>
        <w:snapToGrid w:val="0"/>
        <w:spacing w:after="0" w:line="560" w:lineRule="exact"/>
        <w:ind w:left="0" w:leftChars="0"/>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xml:space="preserve">   </w:t>
      </w:r>
      <w:r>
        <w:rPr>
          <w:rFonts w:hint="eastAsia" w:ascii="仿宋_GB2312" w:hAnsi="仿宋_GB2312" w:eastAsia="仿宋_GB2312" w:cs="仿宋_GB2312"/>
          <w:b w:val="0"/>
          <w:bCs w:val="0"/>
          <w:color w:val="333333"/>
          <w:sz w:val="32"/>
          <w:szCs w:val="32"/>
          <w:shd w:val="clear" w:color="auto" w:fill="FFFFFF"/>
        </w:rPr>
        <w:t xml:space="preserve"> （一）</w:t>
      </w:r>
      <w:r>
        <w:rPr>
          <w:rFonts w:hint="eastAsia" w:ascii="仿宋_GB2312" w:hAnsi="仿宋_GB2312" w:eastAsia="仿宋_GB2312" w:cs="仿宋_GB2312"/>
          <w:b w:val="0"/>
          <w:bCs w:val="0"/>
          <w:color w:val="333333"/>
          <w:sz w:val="32"/>
          <w:szCs w:val="32"/>
          <w:shd w:val="clear" w:color="auto" w:fill="FFFFFF"/>
        </w:rPr>
        <w:t>为规范预算单位银行账户管理，强化财政资金监管，根据《中华人民共和国预算法》、《人民币银行结算账户管理办法》和省委办公厅、省政府办公厅《关于防止领导干部在公款存放方面发生利益冲突和利益输送的办法》、《浙江省省级预算单位账户管理暂行办法》（浙财预执</w:t>
      </w:r>
      <w:r>
        <w:rPr>
          <w:rFonts w:hint="eastAsia" w:ascii="仿宋_GB2312" w:hAnsi="仿宋_GB2312" w:eastAsia="仿宋_GB2312" w:cs="仿宋_GB2312"/>
          <w:b w:val="0"/>
          <w:bCs w:val="0"/>
          <w:sz w:val="32"/>
          <w:szCs w:val="32"/>
        </w:rPr>
        <w:t>〔2015〕16号</w:t>
      </w:r>
      <w:r>
        <w:rPr>
          <w:rFonts w:hint="eastAsia" w:ascii="仿宋_GB2312" w:hAnsi="仿宋_GB2312" w:eastAsia="仿宋_GB2312" w:cs="仿宋_GB2312"/>
          <w:b w:val="0"/>
          <w:bCs w:val="0"/>
          <w:color w:val="333333"/>
          <w:sz w:val="32"/>
          <w:szCs w:val="32"/>
          <w:shd w:val="clear" w:color="auto" w:fill="FFFFFF"/>
        </w:rPr>
        <w:t>）、《金华市市级预算单位银行账户管理暂行办法》（金市财核</w:t>
      </w:r>
      <w:r>
        <w:rPr>
          <w:rFonts w:hint="eastAsia" w:ascii="仿宋_GB2312" w:hAnsi="仿宋_GB2312" w:eastAsia="仿宋_GB2312" w:cs="仿宋_GB2312"/>
          <w:b w:val="0"/>
          <w:bCs w:val="0"/>
          <w:sz w:val="32"/>
          <w:szCs w:val="32"/>
        </w:rPr>
        <w:t>〔2021〕50号</w:t>
      </w:r>
      <w:r>
        <w:rPr>
          <w:rFonts w:hint="eastAsia" w:ascii="仿宋_GB2312" w:hAnsi="仿宋_GB2312" w:eastAsia="仿宋_GB2312" w:cs="仿宋_GB2312"/>
          <w:b w:val="0"/>
          <w:bCs w:val="0"/>
          <w:color w:val="333333"/>
          <w:sz w:val="32"/>
          <w:szCs w:val="32"/>
          <w:shd w:val="clear" w:color="auto" w:fill="FFFFFF"/>
        </w:rPr>
        <w:t>）等有关法律、法规，制定本办法。</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（二）</w:t>
      </w:r>
      <w:r>
        <w:rPr>
          <w:rFonts w:hint="eastAsia" w:ascii="仿宋_GB2312" w:hAnsi="仿宋_GB2312" w:eastAsia="仿宋_GB2312" w:cs="仿宋_GB2312"/>
          <w:b w:val="0"/>
          <w:bCs w:val="0"/>
          <w:color w:val="333333"/>
          <w:sz w:val="32"/>
          <w:szCs w:val="32"/>
          <w:shd w:val="clear" w:color="auto" w:fill="FFFFFF"/>
        </w:rPr>
        <w:t>本办法适用于与市财政有经常性经费领拨关系的各主管部门及其所属行政事业单位、财政经常性资助的社会团体（以下简称社会团体）、政府授权代行政府职能的其他机构（以下统称为“预算单位”）。</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（三）</w:t>
      </w:r>
      <w:r>
        <w:rPr>
          <w:rFonts w:hint="eastAsia" w:ascii="仿宋_GB2312" w:hAnsi="仿宋_GB2312" w:eastAsia="仿宋_GB2312" w:cs="仿宋_GB2312"/>
          <w:b w:val="0"/>
          <w:bCs w:val="0"/>
          <w:color w:val="333333"/>
          <w:sz w:val="32"/>
          <w:szCs w:val="32"/>
          <w:shd w:val="clear" w:color="auto" w:fill="FFFFFF"/>
        </w:rPr>
        <w:t>预算单位银行账户的开立、变更、撤销，实行财政部门审批、备案，人民银行核准制度。</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（四）</w:t>
      </w:r>
      <w:r>
        <w:rPr>
          <w:rFonts w:hint="eastAsia" w:ascii="仿宋_GB2312" w:hAnsi="仿宋_GB2312" w:eastAsia="仿宋_GB2312" w:cs="仿宋_GB2312"/>
          <w:b w:val="0"/>
          <w:bCs w:val="0"/>
          <w:color w:val="333333"/>
          <w:sz w:val="32"/>
          <w:szCs w:val="32"/>
          <w:shd w:val="clear" w:color="auto" w:fill="FFFFFF"/>
        </w:rPr>
        <w:t>预算单位须由财务机构统一办理本单位银行账户的开立、变更、撤销手续，并负责本单位银行账户的使用和管理。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（五）</w:t>
      </w:r>
      <w:r>
        <w:rPr>
          <w:rFonts w:hint="eastAsia" w:ascii="仿宋_GB2312" w:hAnsi="仿宋_GB2312" w:eastAsia="仿宋_GB2312" w:cs="仿宋_GB2312"/>
          <w:b w:val="0"/>
          <w:bCs w:val="0"/>
          <w:color w:val="333333"/>
          <w:sz w:val="32"/>
          <w:szCs w:val="32"/>
          <w:shd w:val="clear" w:color="auto" w:fill="FFFFFF"/>
        </w:rPr>
        <w:t>预算单位负责人对本单位银行账户申请开立及使用的合法性、合规性、安全性负责。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0"/>
        <w:rPr>
          <w:rFonts w:hint="eastAsia" w:ascii="国标黑体" w:hAnsi="国标黑体" w:eastAsia="国标黑体" w:cs="国标黑体"/>
          <w:b w:val="0"/>
          <w:bCs w:val="0"/>
          <w:color w:val="333333"/>
          <w:sz w:val="32"/>
          <w:szCs w:val="32"/>
        </w:rPr>
      </w:pPr>
      <w:r>
        <w:rPr>
          <w:rFonts w:hint="eastAsia" w:ascii="国标黑体" w:hAnsi="国标黑体" w:eastAsia="国标黑体" w:cs="国标黑体"/>
          <w:b w:val="0"/>
          <w:bCs w:val="0"/>
          <w:color w:val="333333"/>
          <w:sz w:val="32"/>
          <w:szCs w:val="32"/>
          <w:shd w:val="clear" w:color="auto" w:fill="FFFFFF"/>
        </w:rPr>
        <w:t>二、银行账户的设置</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（六）</w:t>
      </w:r>
      <w:r>
        <w:rPr>
          <w:rFonts w:hint="eastAsia" w:ascii="仿宋_GB2312" w:hAnsi="仿宋_GB2312" w:eastAsia="仿宋_GB2312" w:cs="仿宋_GB2312"/>
          <w:b w:val="0"/>
          <w:bCs w:val="0"/>
          <w:color w:val="333333"/>
          <w:sz w:val="32"/>
          <w:szCs w:val="32"/>
          <w:shd w:val="clear" w:color="auto" w:fill="FFFFFF"/>
        </w:rPr>
        <w:t>预算单位按规定可开立的银行账户分为基本存款账户、专用存款账户、一般存款账户。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color w:val="333333"/>
          <w:sz w:val="32"/>
          <w:szCs w:val="32"/>
          <w:shd w:val="clear" w:color="auto" w:fill="FFFFFF"/>
        </w:rPr>
        <w:t>1.基本存款账户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基本存款账户指预算单位因办理本单位财政性资金、自筹资金以及往来资金等的日常转账结算和现金收付等业务开立的银行账户。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2.专用存款账户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专用存款账户指由预算单位按照法律、法规、规章或市级以上政府、财政部门文件，对其有特定用途资金进行专项管理和使用而开立的银行账户。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3.一般存款账户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333333"/>
          <w:sz w:val="32"/>
          <w:szCs w:val="32"/>
          <w:shd w:val="clear" w:color="auto" w:fill="FFFFFF"/>
        </w:rPr>
        <w:t>一般存款账户指预算单位按规定为办理贷款转存、贷款归还等与贷款相关的业务而开立的银行账户。该账户不得办理其他资金的收付结算，不得办理现金支取</w:t>
      </w:r>
      <w:r>
        <w:rPr>
          <w:rFonts w:hint="eastAsia" w:ascii="仿宋_GB2312" w:hAnsi="仿宋_GB2312" w:eastAsia="仿宋_GB2312" w:cs="仿宋_GB2312"/>
          <w:b w:val="0"/>
          <w:bCs w:val="0"/>
          <w:color w:val="000000" w:themeColor="text1"/>
          <w:sz w:val="32"/>
          <w:szCs w:val="32"/>
          <w:shd w:val="clear" w:color="auto" w:fill="FFFFFF"/>
        </w:rPr>
        <w:t>。</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（七）</w:t>
      </w:r>
      <w:r>
        <w:rPr>
          <w:rFonts w:hint="eastAsia" w:ascii="仿宋_GB2312" w:hAnsi="仿宋_GB2312" w:eastAsia="仿宋_GB2312" w:cs="仿宋_GB2312"/>
          <w:b w:val="0"/>
          <w:bCs w:val="0"/>
          <w:color w:val="333333"/>
          <w:sz w:val="32"/>
          <w:szCs w:val="32"/>
          <w:shd w:val="clear" w:color="auto" w:fill="FFFFFF"/>
        </w:rPr>
        <w:t>一个预算单位只能开立一个基本存款账户。预算单位所属独立核算的食堂，可以预算单位食堂名义单独开立一个基本存款账户。预算单位成立的依法取得法人资格的社会团体（含取得《</w:t>
      </w:r>
      <w:r>
        <w:rPr>
          <w:rFonts w:hint="eastAsia" w:ascii="仿宋_GB2312" w:hAnsi="仿宋_GB2312" w:eastAsia="仿宋_GB2312" w:cs="仿宋_GB2312"/>
          <w:b w:val="0"/>
          <w:bCs w:val="0"/>
          <w:sz w:val="32"/>
          <w:szCs w:val="32"/>
          <w:shd w:val="clear" w:color="auto" w:fill="FFFFFF"/>
        </w:rPr>
        <w:t>工会法</w:t>
      </w:r>
      <w:r>
        <w:rPr>
          <w:rFonts w:hint="eastAsia" w:ascii="仿宋_GB2312" w:hAnsi="仿宋_GB2312" w:eastAsia="仿宋_GB2312" w:cs="仿宋_GB2312"/>
          <w:b w:val="0"/>
          <w:bCs w:val="0"/>
          <w:color w:val="333333"/>
          <w:sz w:val="32"/>
          <w:szCs w:val="32"/>
          <w:shd w:val="clear" w:color="auto" w:fill="FFFFFF"/>
        </w:rPr>
        <w:t>人资格证书》的工会组织），可以开立基本存款账户。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（八）</w:t>
      </w:r>
      <w:r>
        <w:rPr>
          <w:rFonts w:hint="eastAsia" w:ascii="仿宋_GB2312" w:hAnsi="仿宋_GB2312" w:eastAsia="仿宋_GB2312" w:cs="仿宋_GB2312"/>
          <w:b w:val="0"/>
          <w:bCs w:val="0"/>
          <w:color w:val="333333"/>
          <w:sz w:val="32"/>
          <w:szCs w:val="32"/>
          <w:shd w:val="clear" w:color="auto" w:fill="FFFFFF"/>
        </w:rPr>
        <w:t>预算单位按相关规定可以开设下列专用存款账户: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1.按住房管理制度改革的有关规定，可开立一个住房资金专用存款账户，用于核算本单位的职工住房有关资金。</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2.按相关法定章程规定，可开立党费、团费、工会（取得独立法人资格的除外）专用存款账户。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3.纳入国库集中支付的，可开立一个单位公务卡专用存款账户。该账户原则上开立在预算单位零余额账户开户银行，仅用于同城特约委托收款。</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4.预算单位所属异地非独立核算机构或派出机构有业务支出需要的，可开立一个业务支出专用存款账户。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5.临时机构如有业务收支，在机构办公所在预算单位的相关账户中分账核算，或以所在预算单位名义申请单独开立专用存款账户，实行专户核算。预算单位不得开立除注册验资以外的临时存款账户。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6.基本建设项目有财政性资金以外的其他资金来源的，按确需原则，可开立一个基本建设资金专用存款账户。有多个基本建设项目或基本建设项目其他资金来源多渠道的，原则上只开立一个基本建设项目资金专用存款账户，分账核算。基本建设项目资金专用存款账户根据项目立项批准文件注明的建设工期设定账户期限，基本建设项目按规定竣工决算完毕后，账户必须及时撤销。</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7.预算单位所属非法人医院或门诊部，被人力资源和社会保障部门确定为“基本医疗保险定点医疗机构”的，可以预算单位名称后加所属医院或门诊部名称开设一个专用存款账户，该专用存款账</w:t>
      </w:r>
      <w:r>
        <w:rPr>
          <w:rFonts w:hint="eastAsia" w:ascii="仿宋_GB2312" w:hAnsi="仿宋_GB2312" w:eastAsia="仿宋_GB2312" w:cs="仿宋_GB2312"/>
          <w:b w:val="0"/>
          <w:bCs w:val="0"/>
          <w:color w:val="333333"/>
          <w:sz w:val="32"/>
          <w:szCs w:val="32"/>
          <w:shd w:val="clear" w:color="auto" w:fill="FFFFFF"/>
        </w:rPr>
        <w:t>户不得支取现金。</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8.其他按照法律、法规、规章或省级以上政府、财政部门文件规定，对特定用途资金需专项管理和使用的，可开立一个专用存款账户。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（九）按照国库集中支付有关制度规定，纳入工资统一代发的预算单位开立的零余额账户性质为基本存款账户，其他预算单位开立的零余额账户性质为专用存款账户。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预算单位按有关规定从其基本存款账户开户银行以外的银行机构取得的贷款，可在该贷款银行开立一个一般存款账户。一般存款账户根据贷款合同中注明的贷款期限设定账户期限，贷款合同到期，结清本息后，账户必须撤销。</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rPr>
          <w:rFonts w:hint="eastAsia" w:ascii="国标黑体" w:hAnsi="国标黑体" w:eastAsia="国标黑体" w:cs="国标黑体"/>
          <w:b w:val="0"/>
          <w:bCs w:val="0"/>
          <w:color w:val="333333"/>
          <w:sz w:val="32"/>
          <w:szCs w:val="32"/>
          <w:shd w:val="clear" w:color="auto" w:fill="FFFFFF"/>
        </w:rPr>
      </w:pPr>
      <w:r>
        <w:rPr>
          <w:rFonts w:hint="eastAsia" w:ascii="国标黑体" w:hAnsi="国标黑体" w:eastAsia="国标黑体" w:cs="国标黑体"/>
          <w:b w:val="0"/>
          <w:bCs w:val="0"/>
          <w:color w:val="333333"/>
          <w:sz w:val="32"/>
          <w:szCs w:val="32"/>
          <w:shd w:val="clear" w:color="auto" w:fill="FFFFFF"/>
        </w:rPr>
        <w:t>三、银行账户的开立审批</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（十一）预算单位开立银行账户时，应填写《预算单位开立（变更）银行账户申请审批表》（见附件1）报市财政局预审，其中二级以下（含二级）预算单位需先经主管部门审核同意，同时还应提供相关材料。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1.开立基本存款账户的，应提供以下材料：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（1）机构编制、民政等部门批准本单位成立的文件或事业单位法人证、社会团体登记证；</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（2）组织机构代码证；</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（3）法定代表人或单位负责人的身份证复印件；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（4）法定代表人或单位负责人的任命文件；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（5）开立社会团体基本账户的，需提供社会团体法人资格证书、社会团体法定代表人或负责人任命文件及身份证复印件、预算单位基本存款账户开户许可证复印件；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（6）开立食堂基本账户的，需提供食堂成立文件、食堂负责人任命文件及身份证复印件、预算单位基本存款账户开户许可证复印件。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2.开立专用存款账户的，除提供基本存款账户开户许可证外，还应提供以下材料：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（1）因基本建设项目或住房制度改革申请开立专用存款账户的，应提供基本建设项目的立项批准文</w:t>
      </w:r>
      <w:r>
        <w:rPr>
          <w:rFonts w:hint="eastAsia" w:ascii="仿宋_GB2312" w:hAnsi="仿宋_GB2312" w:eastAsia="仿宋_GB2312" w:cs="仿宋_GB2312"/>
          <w:b w:val="0"/>
          <w:bCs w:val="0"/>
          <w:color w:val="333333"/>
          <w:sz w:val="32"/>
          <w:szCs w:val="32"/>
          <w:shd w:val="clear" w:color="auto" w:fill="FFFFFF"/>
        </w:rPr>
        <w:t>件或实行住房制度改革的批复文件；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（2）因党费、团费、工会经费开立专用存款账户的，应提供该单位或有关部门设立有关机构的批文或有关材料；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（3）因业务支出需要开立专用存款账户的，应提供其基本存款账户开户单位出具的有关材料；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（4）因所属非法人医院及门诊部结算需要开立专用存款账户的，应提供“基本医疗保险定点医疗机构”服务协议书、营业执照及相关材料；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（5）因按规定需要专项管理和使用的资金申请开立专用存款账户的，应提供相应的法律、法规、规章或市级以上政府、财政部门文件。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3.开立一般存款账户的，除提供基本存款账户开户许可证外，还应提供以下材料：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（1）书面贷款合同；</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（2）其他相关材料。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（十二）</w:t>
      </w:r>
      <w:r>
        <w:rPr>
          <w:rFonts w:hint="eastAsia" w:ascii="仿宋_GB2312" w:hAnsi="仿宋_GB2312" w:eastAsia="仿宋_GB2312" w:cs="仿宋_GB2312"/>
          <w:b w:val="0"/>
          <w:bCs w:val="0"/>
          <w:color w:val="333333"/>
          <w:sz w:val="32"/>
          <w:szCs w:val="32"/>
          <w:shd w:val="clear" w:color="auto" w:fill="FFFFFF"/>
        </w:rPr>
        <w:t>市财政局对预算单位报送的开户申请和相关材料进行合规性审核，资料提供齐全的，在5个工作日内预审完毕，并对同意开立的银行账户在《预算单位开立（变更）银行账户申请审批表》上加盖“东阳市财政局银行开户审核章”。预算单位依据经市财政局签章的《预算单位开立（变更）银行账户申请审批表》选择开户银行。</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rPr>
          <w:rFonts w:hint="eastAsia" w:ascii="国标黑体" w:hAnsi="国标黑体" w:eastAsia="国标黑体" w:cs="国标黑体"/>
          <w:b w:val="0"/>
          <w:bCs w:val="0"/>
          <w:color w:val="333333"/>
          <w:sz w:val="32"/>
          <w:szCs w:val="32"/>
          <w:shd w:val="clear" w:color="auto" w:fill="FFFFFF"/>
        </w:rPr>
      </w:pPr>
      <w:r>
        <w:rPr>
          <w:rFonts w:hint="eastAsia" w:ascii="国标黑体" w:hAnsi="国标黑体" w:eastAsia="国标黑体" w:cs="国标黑体"/>
          <w:b w:val="0"/>
          <w:bCs w:val="0"/>
          <w:color w:val="333333"/>
          <w:sz w:val="32"/>
          <w:szCs w:val="32"/>
          <w:shd w:val="clear" w:color="auto" w:fill="FFFFFF"/>
        </w:rPr>
        <w:t>四、开户银行的选择</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（十三）</w:t>
      </w:r>
      <w:r>
        <w:rPr>
          <w:rFonts w:hint="eastAsia" w:ascii="仿宋_GB2312" w:hAnsi="仿宋_GB2312" w:eastAsia="仿宋_GB2312" w:cs="仿宋_GB2312"/>
          <w:b w:val="0"/>
          <w:bCs w:val="0"/>
          <w:color w:val="333333"/>
          <w:sz w:val="32"/>
          <w:szCs w:val="32"/>
          <w:shd w:val="clear" w:color="auto" w:fill="FFFFFF"/>
        </w:rPr>
        <w:t>预算单位开户银行的选择原则上应采取招投标方式。预算单位应根据本办法和公开招标的有关法律、法规规定依法组织开展招投标工作，制定具体的银行账户招投标实施办法。不具备招投标能力的预算单位由主管部门或委托具有资质的社会中介机构组织实施。</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（十四）</w:t>
      </w:r>
      <w:r>
        <w:rPr>
          <w:rFonts w:hint="eastAsia" w:ascii="仿宋_GB2312" w:hAnsi="仿宋_GB2312" w:eastAsia="仿宋_GB2312" w:cs="仿宋_GB2312"/>
          <w:b w:val="0"/>
          <w:bCs w:val="0"/>
          <w:color w:val="333333"/>
          <w:sz w:val="32"/>
          <w:szCs w:val="32"/>
          <w:shd w:val="clear" w:color="auto" w:fill="FFFFFF"/>
        </w:rPr>
        <w:t>参与预算单位银行账户投标的商业银行是指在中华人民共和国境内依法设立的国有商业银行、股份制商业银行、邮政储蓄银行、城市商业银行、农村信用合作联社、农村商业银行、农村合作银行、村镇银行及政策性银行，原则上应符合以下条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1.在预算单位所在地设有分支机构；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2.依法开展经营活动，近3年内在经营活动中无重大违法违规记录及重大违约事件；</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3.监管评级达到一定标准，人民银行上年度综合评价B级以上，不纳入人民银行综合评价范围的银行不受此限制。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浙江省农村信用社联合社受预算单位所在地农合机构（农村信用合作联社、农村合作银行、农村商业银行）委托，可代表所在地农合机构（农信联社、农村合作银行、农村商业银行）参与预算单位银行账户招投标，并承担相应的资金安全责任。</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（十五）</w:t>
      </w:r>
      <w:r>
        <w:rPr>
          <w:rFonts w:hint="eastAsia" w:ascii="仿宋_GB2312" w:hAnsi="仿宋_GB2312" w:eastAsia="仿宋_GB2312" w:cs="仿宋_GB2312"/>
          <w:b w:val="0"/>
          <w:bCs w:val="0"/>
          <w:color w:val="333333"/>
          <w:sz w:val="32"/>
          <w:szCs w:val="32"/>
          <w:shd w:val="clear" w:color="auto" w:fill="FFFFFF"/>
        </w:rPr>
        <w:t>预算单位、主管部门或招标代理机构（以下简称“组织招标的单位”）开展招投标工作，应在“浙江政府采购网”和主管部门或单位门户网站上发布招标公告，招标公告内容包括招标人名称和地址、招标项目、招标数量、投标人资格要求、报名方式及需提供材料、报名截止时间、开标时间及地点、获取招标文件的办法等事项。</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（十六）</w:t>
      </w:r>
      <w:r>
        <w:rPr>
          <w:rFonts w:hint="eastAsia" w:ascii="仿宋_GB2312" w:hAnsi="仿宋_GB2312" w:eastAsia="仿宋_GB2312" w:cs="仿宋_GB2312"/>
          <w:b w:val="0"/>
          <w:bCs w:val="0"/>
          <w:color w:val="333333"/>
          <w:sz w:val="32"/>
          <w:szCs w:val="32"/>
          <w:shd w:val="clear" w:color="auto" w:fill="FFFFFF"/>
        </w:rPr>
        <w:t>组织招标的单位应按规定建立5人以上单数人员组成的评标委员会，</w:t>
      </w:r>
      <w:r>
        <w:rPr>
          <w:rFonts w:hint="eastAsia" w:ascii="仿宋_GB2312" w:hAnsi="仿宋_GB2312" w:eastAsia="仿宋_GB2312" w:cs="仿宋_GB2312"/>
          <w:b w:val="0"/>
          <w:bCs w:val="0"/>
          <w:color w:val="000000" w:themeColor="text1"/>
          <w:sz w:val="32"/>
          <w:szCs w:val="32"/>
          <w:shd w:val="clear" w:color="auto" w:fill="FFFFFF"/>
        </w:rPr>
        <w:t>评标委员会应当由单位内部成员和外部专家组成。外部专家比例不低于60%，可从单位公款竞争性存放评审专家库中抽取</w:t>
      </w:r>
      <w:r>
        <w:rPr>
          <w:rFonts w:hint="eastAsia" w:ascii="仿宋_GB2312" w:hAnsi="仿宋_GB2312" w:eastAsia="仿宋_GB2312" w:cs="仿宋_GB2312"/>
          <w:b w:val="0"/>
          <w:bCs w:val="0"/>
          <w:color w:val="333333"/>
          <w:sz w:val="32"/>
          <w:szCs w:val="32"/>
          <w:shd w:val="clear" w:color="auto" w:fill="FFFFFF"/>
        </w:rPr>
        <w:t>。评标委员会成员应严格执行利益回避的相关规定，成员名单在中标结果确定前应当保密。</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（十七）</w:t>
      </w:r>
      <w:r>
        <w:rPr>
          <w:rFonts w:hint="eastAsia" w:ascii="仿宋_GB2312" w:hAnsi="仿宋_GB2312" w:eastAsia="仿宋_GB2312" w:cs="仿宋_GB2312"/>
          <w:b w:val="0"/>
          <w:bCs w:val="0"/>
          <w:color w:val="333333"/>
          <w:sz w:val="32"/>
          <w:szCs w:val="32"/>
          <w:shd w:val="clear" w:color="auto" w:fill="FFFFFF"/>
        </w:rPr>
        <w:t>预算单位银行账户招标统一采用综合评分法进行评分，根据评分结果择优确定中标银行。评分指标包括各竞标银行经营状况、服务水平、利率水平和经济贡献度等。人民银行综合评价作为银行准入条件，不纳入综合评分指标。经营状况方面的指标应能反映银行的资产质量、偿付能力、运营能力、内部控制水平等。服务水平方面的指标应能反映银行提供支付结算、对账、分账核算等服务的能力和水平。利率水平指定期存款利率等，应当符合国家利率政策规定。经济贡献度指标应能反映银行对经济发展、重点事业等的支持贡献情况。预算单位应按照公平公正原则科学合理设置具体指标及分值权重，其中：经营状况指标的分值权重不得低于综合评分的30%；经济贡献度指标的分值权重不得低于综合评分的30%；经营状况指标及经济贡献度指标数据由市财政局向相关部门获取后统一提供。</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（十八）</w:t>
      </w:r>
      <w:r>
        <w:rPr>
          <w:rFonts w:hint="eastAsia" w:ascii="仿宋_GB2312" w:hAnsi="仿宋_GB2312" w:eastAsia="仿宋_GB2312" w:cs="仿宋_GB2312"/>
          <w:b w:val="0"/>
          <w:bCs w:val="0"/>
          <w:color w:val="333333"/>
          <w:sz w:val="32"/>
          <w:szCs w:val="32"/>
          <w:shd w:val="clear" w:color="auto" w:fill="FFFFFF"/>
        </w:rPr>
        <w:t>招标结果经招标单位法定代表人签字后生效。招标结果生效后，招标单位应向中标银行发出中标通知书，同时将招标结果通知所有竞标银行，并在“浙江政府采购网”和主管部门或单位门户网站上进行公示。</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（十九）</w:t>
      </w:r>
      <w:r>
        <w:rPr>
          <w:rFonts w:hint="eastAsia" w:ascii="仿宋_GB2312" w:hAnsi="仿宋_GB2312" w:eastAsia="仿宋_GB2312" w:cs="仿宋_GB2312"/>
          <w:b w:val="0"/>
          <w:bCs w:val="0"/>
          <w:color w:val="333333"/>
          <w:sz w:val="32"/>
          <w:szCs w:val="32"/>
          <w:shd w:val="clear" w:color="auto" w:fill="FFFFFF"/>
        </w:rPr>
        <w:t>预算单位开展银行账户竞争性选择时，应当要求银行出具廉政承诺书，承诺不得向单位领导人及相关业务部门负责人输送任何利益，不得将资金存放与上述人员在本行的配偶、子女及其配偶以及其他特定关系人的业绩、收入挂钩。凡发现并经核实开户银行未遵守廉政承诺或者在确定开户银行存在其他利益输送行为的，预算单位应当及时撤销该银行账户，并由市财政局进行通报，在一定期限内取消该银行参与预算单位账户竞争性选择资格。</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w:t>
      </w:r>
      <w:r>
        <w:rPr>
          <w:rFonts w:hint="eastAsia" w:ascii="仿宋_GB2312" w:hAnsi="仿宋_GB2312" w:eastAsia="仿宋_GB2312" w:cs="仿宋_GB2312"/>
          <w:b w:val="0"/>
          <w:bCs w:val="0"/>
          <w:color w:val="333333"/>
          <w:sz w:val="32"/>
          <w:szCs w:val="32"/>
          <w:shd w:val="clear" w:color="auto" w:fill="FFFFFF"/>
        </w:rPr>
        <w:t>预算单位应与中标开户银行签订规范的书面协议，全面、清晰界定双方权利义务关系。权利义务关系包括开户银行应提供的具体服务事项、违约责任的处理、单位和开户银行在确保账户资金安全中的职责、协议变更和终止条件等。</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（二十一）</w:t>
      </w:r>
      <w:r>
        <w:rPr>
          <w:rFonts w:hint="eastAsia" w:ascii="仿宋_GB2312" w:hAnsi="仿宋_GB2312" w:eastAsia="仿宋_GB2312" w:cs="仿宋_GB2312"/>
          <w:b w:val="0"/>
          <w:bCs w:val="0"/>
          <w:color w:val="333333"/>
          <w:sz w:val="32"/>
          <w:szCs w:val="32"/>
          <w:shd w:val="clear" w:color="auto" w:fill="FFFFFF"/>
        </w:rPr>
        <w:t>预算单位开立银行账户有以下情形之一的，可采取集体决策方式选择开户银行：</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1.根据国库集中支付管理需要开设的预算单位零余额账户、单位公务卡账户等其他相关账户；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2.工会费、党费、团费、食堂户等资金量较小账户；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3.中央、省等上级部门为开展特定业务指定开户银行的账户；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4.为办理贷款转存、贷款归还等与贷款有关业务而在贷款银行开立的一般存款账户；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5.经市级及市级以上人民政府批准可不实行招投标的其他账户。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采取集体决策方式选择开户银行的，应通过单位领导班子会议集体研究确定并形成会议记录，在会议记录中反映采用集体决策方式的原因、对备选银行的评比情况、会议表决情况和最终决定等。</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（二十二）</w:t>
      </w:r>
      <w:r>
        <w:rPr>
          <w:rFonts w:hint="eastAsia" w:ascii="仿宋_GB2312" w:hAnsi="仿宋_GB2312" w:eastAsia="仿宋_GB2312" w:cs="仿宋_GB2312"/>
          <w:b w:val="0"/>
          <w:bCs w:val="0"/>
          <w:color w:val="333333"/>
          <w:sz w:val="32"/>
          <w:szCs w:val="32"/>
          <w:shd w:val="clear" w:color="auto" w:fill="FFFFFF"/>
        </w:rPr>
        <w:t>预算单位按规定选择开户银行后，持相关材料报市财政局复审。</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1.采取招投标方式选择开户银行的，提供中标通知书复印件。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2.采取集体决策方式选择开户银行的，应提供以下相关材料。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w:t>
      </w:r>
      <w:r>
        <w:rPr>
          <w:rFonts w:hint="eastAsia" w:ascii="仿宋_GB2312" w:hAnsi="仿宋_GB2312" w:eastAsia="仿宋_GB2312" w:cs="仿宋_GB2312"/>
          <w:b w:val="0"/>
          <w:bCs w:val="0"/>
          <w:color w:val="333333"/>
          <w:sz w:val="32"/>
          <w:szCs w:val="32"/>
          <w:shd w:val="clear" w:color="auto" w:fill="FFFFFF"/>
        </w:rPr>
        <w:t>单位领导班子会议集体决策材料；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w:t>
      </w:r>
      <w:r>
        <w:rPr>
          <w:rFonts w:hint="eastAsia" w:ascii="仿宋_GB2312" w:hAnsi="仿宋_GB2312" w:eastAsia="仿宋_GB2312" w:cs="仿宋_GB2312"/>
          <w:b w:val="0"/>
          <w:bCs w:val="0"/>
          <w:color w:val="333333"/>
          <w:sz w:val="32"/>
          <w:szCs w:val="32"/>
          <w:shd w:val="clear" w:color="auto" w:fill="FFFFFF"/>
        </w:rPr>
        <w:t>中央、省等上级部门为开展特定业务指定开户银行的文件；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w:t>
      </w:r>
      <w:r>
        <w:rPr>
          <w:rFonts w:hint="eastAsia" w:ascii="仿宋_GB2312" w:hAnsi="仿宋_GB2312" w:eastAsia="仿宋_GB2312" w:cs="仿宋_GB2312"/>
          <w:b w:val="0"/>
          <w:bCs w:val="0"/>
          <w:color w:val="333333"/>
          <w:sz w:val="32"/>
          <w:szCs w:val="32"/>
          <w:shd w:val="clear" w:color="auto" w:fill="FFFFFF"/>
        </w:rPr>
        <w:t>市级或市级以上人民政府批准可不实行招投标的批件；</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（4）</w:t>
      </w:r>
      <w:r>
        <w:rPr>
          <w:rFonts w:hint="eastAsia" w:ascii="仿宋_GB2312" w:hAnsi="仿宋_GB2312" w:eastAsia="仿宋_GB2312" w:cs="仿宋_GB2312"/>
          <w:b w:val="0"/>
          <w:bCs w:val="0"/>
          <w:color w:val="333333"/>
          <w:sz w:val="32"/>
          <w:szCs w:val="32"/>
          <w:shd w:val="clear" w:color="auto" w:fill="FFFFFF"/>
        </w:rPr>
        <w:t>其他相关材料。</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市财政局对预算单位报送的开户银行选择方式相关材料进行合规性审核，资料提供齐全的，在5个工作日内审核完毕，并对同意开立的银行账户签发《预算单位开立银行账户批复书》（见附件2）。对同意开立的有明确执行期限或合同约定期限的账户，市财政局应在《预算单位开立银行账户批复书》中注明该账户的使用期限。</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（二十三）</w:t>
      </w:r>
      <w:r>
        <w:rPr>
          <w:rFonts w:hint="eastAsia" w:ascii="仿宋_GB2312" w:hAnsi="仿宋_GB2312" w:eastAsia="仿宋_GB2312" w:cs="仿宋_GB2312"/>
          <w:b w:val="0"/>
          <w:bCs w:val="0"/>
          <w:color w:val="333333"/>
          <w:sz w:val="32"/>
          <w:szCs w:val="32"/>
          <w:shd w:val="clear" w:color="auto" w:fill="FFFFFF"/>
        </w:rPr>
        <w:t>预算单位持《预算单位开立银行账户批复书》，按照人民银行账户管理的有关规定，到相关银行办理开户手续。市财政局签发的《预算单位开立银行账户批复书》作为预算单位办理开户手续的审核依据之一。</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（二十四）</w:t>
      </w:r>
      <w:r>
        <w:rPr>
          <w:rFonts w:hint="eastAsia" w:ascii="仿宋_GB2312" w:hAnsi="仿宋_GB2312" w:eastAsia="仿宋_GB2312" w:cs="仿宋_GB2312"/>
          <w:b w:val="0"/>
          <w:bCs w:val="0"/>
          <w:color w:val="000000" w:themeColor="text1"/>
          <w:sz w:val="32"/>
          <w:szCs w:val="32"/>
          <w:shd w:val="clear" w:color="auto" w:fill="FFFFFF"/>
        </w:rPr>
        <w:t>预算单位应在开立银行账户后5个工作日内，填写《预算单位银行账户备案表》（见附件3），同时持经人民银行核准的开户许可证复印件和开户银行审核同意的账户《预算单位开立（变更）银行账户申请审批表》复印件，向市财政局和主管部门备案开户信息。</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outlineLvl w:val="0"/>
        <w:rPr>
          <w:rFonts w:hint="eastAsia" w:ascii="国标黑体" w:hAnsi="国标黑体" w:eastAsia="国标黑体" w:cs="国标黑体"/>
          <w:b w:val="0"/>
          <w:bCs w:val="0"/>
          <w:color w:val="333333"/>
          <w:sz w:val="32"/>
          <w:szCs w:val="32"/>
          <w:shd w:val="clear" w:color="auto" w:fill="FFFFFF"/>
        </w:rPr>
      </w:pPr>
      <w:r>
        <w:rPr>
          <w:rFonts w:hint="eastAsia" w:ascii="国标黑体" w:hAnsi="国标黑体" w:eastAsia="国标黑体" w:cs="国标黑体"/>
          <w:b w:val="0"/>
          <w:bCs w:val="0"/>
          <w:color w:val="333333"/>
          <w:sz w:val="32"/>
          <w:szCs w:val="32"/>
          <w:shd w:val="clear" w:color="auto" w:fill="FFFFFF"/>
        </w:rPr>
        <w:t>五、银行账户的变更与撤销</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五）预算单位应定期对开户银行进行评估，开立的银行账户原则上应保持稳定，对于未按规定履行协议或者出现运营风险、内控制度不健全、管理不善的开户银行，应及时更换。变更开户银行的，应向市财政局提出申请，经市财政局核准后，按规定撤销原银行账户，填写《预算单位银行账户备案表》，向市财政局和主管部门备案销户信息。同时按本办法规定重新以新设账户要求办理有关手续，并将原账户资金余额如数转入新开立的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（二十六）</w:t>
      </w:r>
      <w:r>
        <w:rPr>
          <w:rFonts w:hint="eastAsia" w:ascii="仿宋_GB2312" w:hAnsi="仿宋_GB2312" w:eastAsia="仿宋_GB2312" w:cs="仿宋_GB2312"/>
          <w:b w:val="0"/>
          <w:bCs w:val="0"/>
          <w:color w:val="333333"/>
          <w:sz w:val="32"/>
          <w:szCs w:val="32"/>
          <w:shd w:val="clear" w:color="auto" w:fill="FFFFFF"/>
        </w:rPr>
        <w:t>预算单位的银行账户信息发生下列变更事项，不需报经市财政局审批。</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1.单位名称变更，但不改变开户银行及账号的；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2.单位法定代表人或主要负责人变更的；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3.单位主管部门、地址及其他开户资料变更的。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4.因开户银行原因（如系统升级）变更银行账号，但不改变开户银行的。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预算单位可直接凭上述变更事项的有关材料，按照《人民币银行结算账户管理办法》等相关规定办理变更手续，在办理变更手续后5个工作日内，填写《预算单位银行账户备案表》，并附经人民银行核准的开户许可证复印件或开户银行审核同意的账户变更申请书复印件（因银行原因变更账号除外），报市财政局和主管部门备案。</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（二十七）</w:t>
      </w:r>
      <w:r>
        <w:rPr>
          <w:rFonts w:hint="eastAsia" w:ascii="仿宋_GB2312" w:hAnsi="仿宋_GB2312" w:eastAsia="仿宋_GB2312" w:cs="仿宋_GB2312"/>
          <w:b w:val="0"/>
          <w:bCs w:val="0"/>
          <w:color w:val="333333"/>
          <w:sz w:val="32"/>
          <w:szCs w:val="32"/>
          <w:shd w:val="clear" w:color="auto" w:fill="FFFFFF"/>
        </w:rPr>
        <w:t>对设定使用期限的账户，如确需延长使用期的，预算单位应提前提出申请并提供延期证明报市财政局审批，持市财政局批复及时到开户银行办理账户延期手续。审批期间，账户按原使用期执行。</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（二十八）</w:t>
      </w:r>
      <w:r>
        <w:rPr>
          <w:rFonts w:hint="eastAsia" w:ascii="仿宋_GB2312" w:hAnsi="仿宋_GB2312" w:eastAsia="仿宋_GB2312" w:cs="仿宋_GB2312"/>
          <w:b w:val="0"/>
          <w:bCs w:val="0"/>
          <w:color w:val="333333"/>
          <w:sz w:val="32"/>
          <w:szCs w:val="32"/>
          <w:shd w:val="clear" w:color="auto" w:fill="FFFFFF"/>
        </w:rPr>
        <w:t>预算单位发生下列事项，应按规定及时撤销有关账户并办理备案手续。</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1.银行账户在开立后1年内未发生资金往来业务的；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2.银行账户使用期满的；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3.预算单位发生合并、撤销的：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（1）预算单位被合并，被合并单位银行账户应全部撤销，资金余额应转入合并单位的同类账户，销户备案手续由合并单位办理；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（2）预算单位合并组建一个新的预算单位，合并前各单位原账户应全部撤销，按本办法规定重新开立新预算单位的银行账户；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（3）预算单位因机构改革等原因被撤销的，按相应的政策处理银行账户资金余额，并撤销银行账户。销户情况由其上一级主管部门按规定办理备案手续。</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4.基本建设项目已竣工决算且项目资金结算完毕的；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xml:space="preserve">5.其他原因应予撤销的银行账户。 </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rPr>
          <w:rFonts w:hint="eastAsia" w:ascii="国标黑体" w:hAnsi="国标黑体" w:eastAsia="国标黑体" w:cs="国标黑体"/>
          <w:b w:val="0"/>
          <w:bCs w:val="0"/>
          <w:color w:val="333333"/>
          <w:sz w:val="32"/>
          <w:szCs w:val="32"/>
          <w:shd w:val="clear" w:color="auto" w:fill="FFFFFF"/>
        </w:rPr>
      </w:pPr>
      <w:r>
        <w:rPr>
          <w:rFonts w:hint="eastAsia" w:ascii="国标黑体" w:hAnsi="国标黑体" w:eastAsia="国标黑体" w:cs="国标黑体"/>
          <w:b w:val="0"/>
          <w:bCs w:val="0"/>
          <w:color w:val="333333"/>
          <w:sz w:val="32"/>
          <w:szCs w:val="32"/>
          <w:shd w:val="clear" w:color="auto" w:fill="FFFFFF"/>
        </w:rPr>
        <w:t>六、银行账户的管理与监督</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（二十九）</w:t>
      </w:r>
      <w:r>
        <w:rPr>
          <w:rFonts w:hint="eastAsia" w:ascii="仿宋_GB2312" w:hAnsi="仿宋_GB2312" w:eastAsia="仿宋_GB2312" w:cs="仿宋_GB2312"/>
          <w:b w:val="0"/>
          <w:bCs w:val="0"/>
          <w:color w:val="333333"/>
          <w:sz w:val="32"/>
          <w:szCs w:val="32"/>
          <w:shd w:val="clear" w:color="auto" w:fill="FFFFFF"/>
        </w:rPr>
        <w:t>预算单位应按财政和人民银行等部门规定的用途使用银行账户，不得将按有关规定收取的各类行政性收费、罚没收入等非税收入转为定期存款或为其他单位和个人提供信用担保，不得以个人名义存放单位资金，不得出租、转让银行账户。</w:t>
      </w:r>
    </w:p>
    <w:p>
      <w:pPr>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w:t>
      </w:r>
      <w:r>
        <w:rPr>
          <w:rFonts w:hint="eastAsia" w:ascii="仿宋_GB2312" w:hAnsi="仿宋_GB2312" w:eastAsia="仿宋_GB2312" w:cs="仿宋_GB2312"/>
          <w:b w:val="0"/>
          <w:bCs w:val="0"/>
          <w:color w:val="333333"/>
          <w:sz w:val="32"/>
          <w:szCs w:val="32"/>
          <w:shd w:val="clear" w:color="auto" w:fill="FFFFFF"/>
        </w:rPr>
        <w:t>主管部门应加强对所属预算单位银行账户的监督管理，建立所属预算单位银行账户管理档案，定期对所属预算单位银行账户进行监督检查。发现所属预算单位不按规定开立、使用、变更、撤销银行账户的，应及时督促纠正；纠正无效的，应提请有关职能部门按规定进行处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shd w:val="clear" w:color="auto" w:fill="FFFFFF"/>
        </w:rPr>
        <w:t>（三十一）</w:t>
      </w:r>
      <w:r>
        <w:rPr>
          <w:rFonts w:hint="eastAsia" w:ascii="仿宋_GB2312" w:hAnsi="仿宋_GB2312" w:eastAsia="仿宋_GB2312" w:cs="仿宋_GB2312"/>
          <w:b w:val="0"/>
          <w:bCs w:val="0"/>
          <w:color w:val="333333"/>
          <w:sz w:val="32"/>
          <w:szCs w:val="32"/>
          <w:shd w:val="clear" w:color="auto" w:fill="FFFFFF"/>
        </w:rPr>
        <w:t>市财政局、人民银行金华市分行在各自的职责范围内对预算单位银行账户实施监督管理。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1.市财政局建立预算单位银行账户信息管理系统，对预算单位开立的银行账户实施动态管理并不定期实施专项检查。</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2.人民银行金华市分行按照《人民币银行结算账户管理办法》及其实施细则、本办法等有关规定，监督管理银行机构为预算单位开立、变更或撤销银行账户，查处银行机构在账户开立和使用中的违规行为，并协助提供银行账户招标涉及的指标口径、内容和数据等。</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xml:space="preserve">（三十二）市财政局在对预算单位实施监督检查时，受查单位应如实提供银行账户和资金收付的管理情况，不得以任何理由拖延、拒绝、阻挠、隐瞒。 </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三）预算单位出现下列情形之一的，由市财政局根据有关法律、法规、规章作出暂停或停止对违规单位拨款的决定；对应追究预算单位有关人员责任和银行机构有关人员责任的，移送相关部门处理；涉嫌犯罪的，移送司法机关处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1.不按本办法规定选择开户银行的；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2.违反本办法规定开立银行账户的，或开立银行账户不按规定报送市财政局备案的；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3.违反本办法第二章规定改变账户用途的；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4.违反本办法第二十九条规定的；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5.不按本办法规定变更、撤销银行账户的，或变更、撤销银行账户不按规定报送市财政局审批、备案的；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6.其他违反账户管理规定的。</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（三十四）银行机构违反法律、法规、《人民币银行结算账户管理办法》及其实施细则和本办法规定，为预算单位开立、变更、使用银行账户的，由人民银行金华市分行根据有关规定进行处理。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（三十五）建立预算单位银行账户年检制度，按规定对预算单位银行账户实施年检，跟踪监督开立和使用情况。</w:t>
      </w:r>
    </w:p>
    <w:p>
      <w:pPr>
        <w:keepNext w:val="0"/>
        <w:keepLines w:val="0"/>
        <w:pageBreakBefore w:val="0"/>
        <w:widowControl w:val="0"/>
        <w:kinsoku/>
        <w:wordWrap/>
        <w:overflowPunct/>
        <w:topLinePunct w:val="0"/>
        <w:autoSpaceDE/>
        <w:autoSpaceDN/>
        <w:bidi w:val="0"/>
        <w:snapToGrid w:val="0"/>
        <w:spacing w:after="0" w:line="560" w:lineRule="exact"/>
        <w:ind w:left="0" w:leftChars="0"/>
        <w:jc w:val="center"/>
        <w:textAlignment w:val="auto"/>
        <w:rPr>
          <w:rFonts w:hint="eastAsia" w:ascii="国标黑体" w:hAnsi="国标黑体" w:eastAsia="国标黑体" w:cs="国标黑体"/>
          <w:b w:val="0"/>
          <w:bCs w:val="0"/>
          <w:color w:val="333333"/>
          <w:sz w:val="32"/>
          <w:szCs w:val="32"/>
          <w:shd w:val="clear" w:color="auto" w:fill="FFFFFF"/>
        </w:rPr>
      </w:pPr>
      <w:r>
        <w:rPr>
          <w:rFonts w:hint="eastAsia" w:ascii="国标黑体" w:hAnsi="国标黑体" w:eastAsia="国标黑体" w:cs="国标黑体"/>
          <w:b w:val="0"/>
          <w:bCs w:val="0"/>
          <w:color w:val="333333"/>
          <w:sz w:val="32"/>
          <w:szCs w:val="32"/>
          <w:shd w:val="clear" w:color="auto" w:fill="FFFFFF"/>
        </w:rPr>
        <w:t>七、附则</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（三十六）需要开立外汇账户、外汇人民币限额账户的预算单位，可根据国家外汇管理部门和财政部门有关规定，按程序办理。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（三十七）预算单位开立单位公务卡专用存款账户的其他事宜依照本办法规定办理。</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（三十八）本办法由市财政局、人民银行金华市分行负责解释。</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（三十九）本办法自发布之日起施行。我市以往规定与本规定不一致的按本办法执行。</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附件：1.预算单位开立（变更）银行账户申请审批表</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xml:space="preserve">      2.预算单位开立银行账户批复书</w:t>
      </w:r>
    </w:p>
    <w:p>
      <w:pPr>
        <w:keepNext w:val="0"/>
        <w:keepLines w:val="0"/>
        <w:pageBreakBefore w:val="0"/>
        <w:widowControl w:val="0"/>
        <w:kinsoku/>
        <w:wordWrap/>
        <w:overflowPunct/>
        <w:topLinePunct w:val="0"/>
        <w:autoSpaceDE/>
        <w:autoSpaceDN/>
        <w:bidi w:val="0"/>
        <w:snapToGrid w:val="0"/>
        <w:spacing w:after="0" w:line="560" w:lineRule="exact"/>
        <w:ind w:left="0" w:leftChars="0" w:firstLine="320" w:firstLineChars="10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xml:space="preserve">      3.预算单位银行账户备案表</w:t>
      </w:r>
    </w:p>
    <w:p>
      <w:pPr>
        <w:keepNext w:val="0"/>
        <w:keepLines w:val="0"/>
        <w:pageBreakBefore w:val="0"/>
        <w:widowControl w:val="0"/>
        <w:kinsoku/>
        <w:wordWrap/>
        <w:overflowPunct/>
        <w:topLinePunct w:val="0"/>
        <w:autoSpaceDE/>
        <w:autoSpaceDN/>
        <w:bidi w:val="0"/>
        <w:snapToGrid w:val="0"/>
        <w:spacing w:after="0" w:line="560" w:lineRule="exact"/>
        <w:ind w:left="0" w:leftChars="0"/>
        <w:jc w:val="both"/>
        <w:textAlignment w:val="auto"/>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b w:val="0"/>
          <w:bCs w:val="0"/>
        </w:rPr>
      </w:pPr>
    </w:p>
    <w:p>
      <w:pPr>
        <w:widowControl w:val="0"/>
        <w:spacing w:after="0" w:line="560" w:lineRule="exact"/>
        <w:jc w:val="both"/>
        <w:rPr>
          <w:rFonts w:ascii="黑体" w:hAnsi="黑体" w:eastAsia="黑体" w:cs="黑体"/>
          <w:b w:val="0"/>
          <w:bCs w:val="0"/>
          <w:sz w:val="32"/>
          <w:szCs w:val="32"/>
        </w:rPr>
      </w:pPr>
      <w:r>
        <w:rPr>
          <w:rFonts w:hint="eastAsia" w:ascii="黑体" w:hAnsi="黑体" w:eastAsia="黑体" w:cs="黑体"/>
          <w:b w:val="0"/>
          <w:bCs w:val="0"/>
          <w:sz w:val="32"/>
          <w:szCs w:val="32"/>
        </w:rPr>
        <w:t>附件1</w:t>
      </w:r>
    </w:p>
    <w:tbl>
      <w:tblPr>
        <w:tblStyle w:val="8"/>
        <w:tblW w:w="9938" w:type="dxa"/>
        <w:jc w:val="center"/>
        <w:tblLayout w:type="autofit"/>
        <w:tblCellMar>
          <w:top w:w="0" w:type="dxa"/>
          <w:left w:w="108" w:type="dxa"/>
          <w:bottom w:w="0" w:type="dxa"/>
          <w:right w:w="108" w:type="dxa"/>
        </w:tblCellMar>
      </w:tblPr>
      <w:tblGrid>
        <w:gridCol w:w="630"/>
        <w:gridCol w:w="1477"/>
        <w:gridCol w:w="3118"/>
        <w:gridCol w:w="2193"/>
        <w:gridCol w:w="2520"/>
      </w:tblGrid>
      <w:tr>
        <w:tblPrEx>
          <w:tblCellMar>
            <w:top w:w="0" w:type="dxa"/>
            <w:left w:w="108" w:type="dxa"/>
            <w:bottom w:w="0" w:type="dxa"/>
            <w:right w:w="108" w:type="dxa"/>
          </w:tblCellMar>
        </w:tblPrEx>
        <w:trPr>
          <w:trHeight w:val="675" w:hRule="atLeast"/>
          <w:jc w:val="center"/>
        </w:trPr>
        <w:tc>
          <w:tcPr>
            <w:tcW w:w="9938" w:type="dxa"/>
            <w:gridSpan w:val="5"/>
            <w:noWrap/>
            <w:vAlign w:val="center"/>
          </w:tcPr>
          <w:p>
            <w:pPr>
              <w:overflowPunct w:val="0"/>
              <w:autoSpaceDE w:val="0"/>
              <w:autoSpaceDN w:val="0"/>
              <w:snapToGrid/>
              <w:spacing w:after="0"/>
              <w:jc w:val="center"/>
              <w:textAlignment w:val="baseline"/>
              <w:rPr>
                <w:rFonts w:ascii="宋体" w:hAnsi="宋体" w:eastAsia="宋体" w:cs="宋体"/>
                <w:b w:val="0"/>
                <w:bCs w:val="0"/>
                <w:sz w:val="44"/>
                <w:szCs w:val="44"/>
              </w:rPr>
            </w:pPr>
            <w:r>
              <w:rPr>
                <w:rFonts w:hint="eastAsia" w:ascii="方正小标宋简体" w:eastAsia="方正小标宋简体"/>
                <w:b w:val="0"/>
                <w:bCs w:val="0"/>
                <w:sz w:val="44"/>
                <w:szCs w:val="44"/>
              </w:rPr>
              <w:t>预算单位开立（变更）银行账户申请审批表</w:t>
            </w:r>
          </w:p>
        </w:tc>
      </w:tr>
      <w:tr>
        <w:tblPrEx>
          <w:tblCellMar>
            <w:top w:w="0" w:type="dxa"/>
            <w:left w:w="108" w:type="dxa"/>
            <w:bottom w:w="0" w:type="dxa"/>
            <w:right w:w="108" w:type="dxa"/>
          </w:tblCellMar>
        </w:tblPrEx>
        <w:trPr>
          <w:trHeight w:val="480" w:hRule="atLeast"/>
          <w:jc w:val="center"/>
        </w:trPr>
        <w:tc>
          <w:tcPr>
            <w:tcW w:w="2107" w:type="dxa"/>
            <w:gridSpan w:val="2"/>
            <w:tcBorders>
              <w:top w:val="nil"/>
              <w:left w:val="nil"/>
              <w:bottom w:val="single" w:color="auto" w:sz="8" w:space="0"/>
              <w:right w:val="nil"/>
            </w:tcBorders>
            <w:noWrap/>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预算单位编码：</w:t>
            </w:r>
          </w:p>
        </w:tc>
        <w:tc>
          <w:tcPr>
            <w:tcW w:w="5311" w:type="dxa"/>
            <w:gridSpan w:val="2"/>
            <w:noWrap/>
            <w:vAlign w:val="center"/>
          </w:tcPr>
          <w:p>
            <w:pPr>
              <w:overflowPunct w:val="0"/>
              <w:autoSpaceDE w:val="0"/>
              <w:autoSpaceDN w:val="0"/>
              <w:snapToGrid/>
              <w:spacing w:after="0"/>
              <w:textAlignment w:val="baseline"/>
              <w:rPr>
                <w:rFonts w:ascii="宋体" w:hAnsi="宋体" w:eastAsia="宋体" w:cs="宋体"/>
                <w:b w:val="0"/>
                <w:bCs w:val="0"/>
                <w:sz w:val="20"/>
                <w:szCs w:val="20"/>
              </w:rPr>
            </w:pPr>
          </w:p>
        </w:tc>
        <w:tc>
          <w:tcPr>
            <w:tcW w:w="2520" w:type="dxa"/>
            <w:tcBorders>
              <w:top w:val="nil"/>
              <w:left w:val="nil"/>
              <w:bottom w:val="single" w:color="auto" w:sz="8" w:space="0"/>
              <w:right w:val="nil"/>
            </w:tcBorders>
            <w:noWrap/>
            <w:vAlign w:val="center"/>
          </w:tcPr>
          <w:p>
            <w:pPr>
              <w:overflowPunct w:val="0"/>
              <w:autoSpaceDE w:val="0"/>
              <w:autoSpaceDN w:val="0"/>
              <w:snapToGrid/>
              <w:spacing w:after="0"/>
              <w:ind w:right="286" w:rightChars="130"/>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申请审批号</w:t>
            </w:r>
            <w:r>
              <w:rPr>
                <w:rFonts w:ascii="宋体" w:hAnsi="宋体" w:eastAsia="宋体" w:cs="宋体"/>
                <w:b w:val="0"/>
                <w:bCs w:val="0"/>
                <w:sz w:val="20"/>
                <w:szCs w:val="20"/>
              </w:rPr>
              <w:t>:</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8" w:space="0"/>
              <w:left w:val="single" w:color="auto" w:sz="8"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单位全称</w:t>
            </w:r>
          </w:p>
        </w:tc>
        <w:tc>
          <w:tcPr>
            <w:tcW w:w="3118" w:type="dxa"/>
            <w:tcBorders>
              <w:top w:val="single" w:color="auto" w:sz="8" w:space="0"/>
              <w:left w:val="nil"/>
              <w:bottom w:val="single" w:color="auto" w:sz="4" w:space="0"/>
              <w:right w:val="single" w:color="000000"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c>
          <w:tcPr>
            <w:tcW w:w="2193" w:type="dxa"/>
            <w:tcBorders>
              <w:top w:val="single" w:color="auto" w:sz="8" w:space="0"/>
              <w:left w:val="nil"/>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组织机构代码/统一社会信用代码</w:t>
            </w:r>
          </w:p>
        </w:tc>
        <w:tc>
          <w:tcPr>
            <w:tcW w:w="2520" w:type="dxa"/>
            <w:tcBorders>
              <w:top w:val="nil"/>
              <w:left w:val="nil"/>
              <w:bottom w:val="single" w:color="auto" w:sz="4" w:space="0"/>
              <w:right w:val="single" w:color="auto"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单位地址</w:t>
            </w:r>
          </w:p>
        </w:tc>
        <w:tc>
          <w:tcPr>
            <w:tcW w:w="3118" w:type="dxa"/>
            <w:tcBorders>
              <w:top w:val="single" w:color="auto" w:sz="4" w:space="0"/>
              <w:left w:val="nil"/>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c>
          <w:tcPr>
            <w:tcW w:w="2193" w:type="dxa"/>
            <w:tcBorders>
              <w:top w:val="nil"/>
              <w:left w:val="nil"/>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邮政编码</w:t>
            </w:r>
          </w:p>
        </w:tc>
        <w:tc>
          <w:tcPr>
            <w:tcW w:w="2520" w:type="dxa"/>
            <w:tcBorders>
              <w:top w:val="nil"/>
              <w:left w:val="nil"/>
              <w:bottom w:val="single" w:color="auto" w:sz="4" w:space="0"/>
              <w:right w:val="single" w:color="auto"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机构类型</w:t>
            </w:r>
          </w:p>
        </w:tc>
        <w:tc>
          <w:tcPr>
            <w:tcW w:w="3118" w:type="dxa"/>
            <w:tcBorders>
              <w:top w:val="single" w:color="auto" w:sz="4" w:space="0"/>
              <w:left w:val="nil"/>
              <w:bottom w:val="single" w:color="auto" w:sz="4" w:space="0"/>
              <w:right w:val="single" w:color="000000"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c>
          <w:tcPr>
            <w:tcW w:w="2193" w:type="dxa"/>
            <w:tcBorders>
              <w:top w:val="nil"/>
              <w:left w:val="nil"/>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财政归口业务处室</w:t>
            </w:r>
          </w:p>
        </w:tc>
        <w:tc>
          <w:tcPr>
            <w:tcW w:w="2520" w:type="dxa"/>
            <w:tcBorders>
              <w:top w:val="nil"/>
              <w:left w:val="nil"/>
              <w:bottom w:val="single" w:color="auto" w:sz="4" w:space="0"/>
              <w:right w:val="single" w:color="auto"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主管会计姓名</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ascii="宋体" w:hAnsi="宋体" w:eastAsia="宋体" w:cs="宋体"/>
                <w:b w:val="0"/>
                <w:bCs w:val="0"/>
                <w:sz w:val="20"/>
                <w:szCs w:val="20"/>
              </w:rPr>
              <w:t>（联系人）</w:t>
            </w:r>
          </w:p>
        </w:tc>
        <w:tc>
          <w:tcPr>
            <w:tcW w:w="311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c>
          <w:tcPr>
            <w:tcW w:w="2193" w:type="dxa"/>
            <w:tcBorders>
              <w:top w:val="nil"/>
              <w:left w:val="single" w:color="auto" w:sz="4"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联系电话</w:t>
            </w:r>
          </w:p>
        </w:tc>
        <w:tc>
          <w:tcPr>
            <w:tcW w:w="2520" w:type="dxa"/>
            <w:tcBorders>
              <w:top w:val="nil"/>
              <w:left w:val="single" w:color="auto" w:sz="4" w:space="0"/>
              <w:bottom w:val="single" w:color="auto" w:sz="4" w:space="0"/>
              <w:right w:val="single" w:color="auto"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账户名称</w:t>
            </w:r>
          </w:p>
        </w:tc>
        <w:tc>
          <w:tcPr>
            <w:tcW w:w="3118" w:type="dxa"/>
            <w:tcBorders>
              <w:top w:val="single" w:color="auto" w:sz="4" w:space="0"/>
              <w:left w:val="single" w:color="auto" w:sz="4" w:space="0"/>
              <w:bottom w:val="single" w:color="auto" w:sz="4" w:space="0"/>
              <w:right w:val="single" w:color="auto" w:sz="4" w:space="0"/>
            </w:tcBorders>
            <w:shd w:val="clear" w:color="auto" w:fill="FFFFFF"/>
            <w:vAlign w:val="bottom"/>
          </w:tcPr>
          <w:p>
            <w:pPr>
              <w:overflowPunct w:val="0"/>
              <w:autoSpaceDE w:val="0"/>
              <w:autoSpaceDN w:val="0"/>
              <w:snapToGrid/>
              <w:spacing w:after="0"/>
              <w:jc w:val="center"/>
              <w:textAlignment w:val="baseline"/>
              <w:rPr>
                <w:rFonts w:ascii="宋体" w:hAnsi="宋体" w:eastAsia="宋体" w:cs="宋体"/>
                <w:b w:val="0"/>
                <w:bCs w:val="0"/>
                <w:sz w:val="24"/>
                <w:szCs w:val="24"/>
              </w:rPr>
            </w:pPr>
            <w:r>
              <w:rPr>
                <w:rFonts w:hint="eastAsia" w:ascii="宋体" w:hAnsi="宋体" w:eastAsia="宋体" w:cs="宋体"/>
                <w:b w:val="0"/>
                <w:bCs w:val="0"/>
                <w:sz w:val="24"/>
                <w:szCs w:val="20"/>
              </w:rPr>
              <w:t>　</w:t>
            </w:r>
          </w:p>
        </w:tc>
        <w:tc>
          <w:tcPr>
            <w:tcW w:w="219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账户类别</w:t>
            </w:r>
            <w:r>
              <w:rPr>
                <w:rFonts w:ascii="宋体" w:hAnsi="宋体" w:eastAsia="宋体" w:cs="宋体"/>
                <w:b w:val="0"/>
                <w:bCs w:val="0"/>
                <w:sz w:val="20"/>
                <w:szCs w:val="20"/>
              </w:rPr>
              <w:t>(用途)</w:t>
            </w:r>
          </w:p>
        </w:tc>
        <w:tc>
          <w:tcPr>
            <w:tcW w:w="2520" w:type="dxa"/>
            <w:tcBorders>
              <w:top w:val="single" w:color="auto" w:sz="4" w:space="0"/>
              <w:left w:val="single" w:color="auto" w:sz="4" w:space="0"/>
              <w:bottom w:val="single" w:color="auto" w:sz="4" w:space="0"/>
              <w:right w:val="single" w:color="auto" w:sz="8" w:space="0"/>
            </w:tcBorders>
            <w:shd w:val="clear" w:color="auto" w:fill="FFFFFF"/>
            <w:vAlign w:val="bottom"/>
          </w:tcPr>
          <w:p>
            <w:pPr>
              <w:overflowPunct w:val="0"/>
              <w:autoSpaceDE w:val="0"/>
              <w:autoSpaceDN w:val="0"/>
              <w:snapToGrid/>
              <w:spacing w:after="0"/>
              <w:jc w:val="center"/>
              <w:textAlignment w:val="baseline"/>
              <w:rPr>
                <w:rFonts w:ascii="宋体" w:hAnsi="宋体" w:eastAsia="宋体" w:cs="宋体"/>
                <w:b w:val="0"/>
                <w:bCs w:val="0"/>
                <w:sz w:val="24"/>
                <w:szCs w:val="24"/>
              </w:rPr>
            </w:pPr>
            <w:r>
              <w:rPr>
                <w:rFonts w:hint="eastAsia" w:ascii="宋体" w:hAnsi="宋体" w:eastAsia="宋体" w:cs="宋体"/>
                <w:b w:val="0"/>
                <w:bCs w:val="0"/>
                <w:sz w:val="24"/>
                <w:szCs w:val="20"/>
              </w:rPr>
              <w:t>　</w:t>
            </w:r>
          </w:p>
        </w:tc>
      </w:tr>
      <w:tr>
        <w:tblPrEx>
          <w:tblCellMar>
            <w:top w:w="0" w:type="dxa"/>
            <w:left w:w="108" w:type="dxa"/>
            <w:bottom w:w="0" w:type="dxa"/>
            <w:right w:w="108" w:type="dxa"/>
          </w:tblCellMar>
        </w:tblPrEx>
        <w:trPr>
          <w:trHeight w:val="480" w:hRule="atLeast"/>
          <w:jc w:val="center"/>
        </w:trPr>
        <w:tc>
          <w:tcPr>
            <w:tcW w:w="2107"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开户银行全称</w:t>
            </w:r>
          </w:p>
        </w:tc>
        <w:tc>
          <w:tcPr>
            <w:tcW w:w="3118" w:type="dxa"/>
            <w:tcBorders>
              <w:top w:val="single" w:color="auto" w:sz="4" w:space="0"/>
              <w:left w:val="single" w:color="auto" w:sz="4" w:space="0"/>
              <w:bottom w:val="single" w:color="auto" w:sz="8" w:space="0"/>
              <w:right w:val="single" w:color="auto" w:sz="4" w:space="0"/>
            </w:tcBorders>
            <w:shd w:val="clear" w:color="auto" w:fill="FFFFFF"/>
            <w:vAlign w:val="bottom"/>
          </w:tcPr>
          <w:p>
            <w:pPr>
              <w:overflowPunct w:val="0"/>
              <w:autoSpaceDE w:val="0"/>
              <w:autoSpaceDN w:val="0"/>
              <w:snapToGrid/>
              <w:spacing w:after="0"/>
              <w:jc w:val="center"/>
              <w:textAlignment w:val="baseline"/>
              <w:rPr>
                <w:rFonts w:ascii="宋体" w:hAnsi="宋体" w:eastAsia="宋体" w:cs="宋体"/>
                <w:b w:val="0"/>
                <w:bCs w:val="0"/>
                <w:sz w:val="24"/>
                <w:szCs w:val="24"/>
              </w:rPr>
            </w:pPr>
            <w:r>
              <w:rPr>
                <w:rFonts w:hint="eastAsia" w:ascii="宋体" w:hAnsi="宋体" w:eastAsia="宋体" w:cs="宋体"/>
                <w:b w:val="0"/>
                <w:bCs w:val="0"/>
                <w:sz w:val="24"/>
                <w:szCs w:val="20"/>
              </w:rPr>
              <w:t>　</w:t>
            </w:r>
          </w:p>
        </w:tc>
        <w:tc>
          <w:tcPr>
            <w:tcW w:w="2193" w:type="dxa"/>
            <w:tcBorders>
              <w:top w:val="single" w:color="auto" w:sz="4" w:space="0"/>
              <w:left w:val="single" w:color="auto" w:sz="4" w:space="0"/>
              <w:bottom w:val="single" w:color="auto" w:sz="8"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有效期限</w:t>
            </w:r>
          </w:p>
        </w:tc>
        <w:tc>
          <w:tcPr>
            <w:tcW w:w="2520" w:type="dxa"/>
            <w:tcBorders>
              <w:top w:val="single" w:color="auto" w:sz="4" w:space="0"/>
              <w:left w:val="single" w:color="auto" w:sz="4" w:space="0"/>
              <w:bottom w:val="single" w:color="auto" w:sz="8" w:space="0"/>
              <w:right w:val="single" w:color="auto" w:sz="8" w:space="0"/>
            </w:tcBorders>
            <w:shd w:val="clear" w:color="auto" w:fill="FFFFFF"/>
            <w:vAlign w:val="bottom"/>
          </w:tcPr>
          <w:p>
            <w:pPr>
              <w:overflowPunct w:val="0"/>
              <w:autoSpaceDE w:val="0"/>
              <w:autoSpaceDN w:val="0"/>
              <w:snapToGrid/>
              <w:spacing w:after="0"/>
              <w:jc w:val="center"/>
              <w:textAlignment w:val="baseline"/>
              <w:rPr>
                <w:rFonts w:ascii="宋体" w:hAnsi="宋体" w:eastAsia="宋体" w:cs="宋体"/>
                <w:b w:val="0"/>
                <w:bCs w:val="0"/>
                <w:sz w:val="24"/>
                <w:szCs w:val="24"/>
              </w:rPr>
            </w:pPr>
            <w:r>
              <w:rPr>
                <w:rFonts w:hint="eastAsia" w:ascii="宋体" w:hAnsi="宋体" w:eastAsia="宋体" w:cs="宋体"/>
                <w:b w:val="0"/>
                <w:bCs w:val="0"/>
                <w:sz w:val="24"/>
                <w:szCs w:val="20"/>
              </w:rPr>
              <w:t>　</w:t>
            </w:r>
          </w:p>
        </w:tc>
      </w:tr>
      <w:tr>
        <w:tblPrEx>
          <w:tblCellMar>
            <w:top w:w="0" w:type="dxa"/>
            <w:left w:w="108" w:type="dxa"/>
            <w:bottom w:w="0" w:type="dxa"/>
            <w:right w:w="108" w:type="dxa"/>
          </w:tblCellMar>
        </w:tblPrEx>
        <w:trPr>
          <w:cantSplit/>
          <w:trHeight w:val="2702" w:hRule="atLeast"/>
          <w:jc w:val="center"/>
        </w:trPr>
        <w:tc>
          <w:tcPr>
            <w:tcW w:w="630" w:type="dxa"/>
            <w:vMerge w:val="restart"/>
            <w:tcBorders>
              <w:top w:val="nil"/>
              <w:left w:val="single" w:color="auto" w:sz="8" w:space="0"/>
              <w:bottom w:val="single" w:color="000000" w:sz="8"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申请</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理由</w:t>
            </w:r>
          </w:p>
        </w:tc>
        <w:tc>
          <w:tcPr>
            <w:tcW w:w="9308" w:type="dxa"/>
            <w:gridSpan w:val="4"/>
            <w:tcBorders>
              <w:top w:val="single" w:color="auto" w:sz="4" w:space="0"/>
              <w:left w:val="nil"/>
              <w:bottom w:val="single" w:color="auto" w:sz="8" w:space="0"/>
              <w:right w:val="single" w:color="000000" w:sz="8" w:space="0"/>
            </w:tcBorders>
            <w:shd w:val="clear" w:color="auto" w:fill="FFFFFF"/>
            <w:vAlign w:val="bottom"/>
          </w:tcPr>
          <w:p>
            <w:pPr>
              <w:tabs>
                <w:tab w:val="left" w:pos="2043"/>
              </w:tabs>
              <w:overflowPunct w:val="0"/>
              <w:autoSpaceDE w:val="0"/>
              <w:autoSpaceDN w:val="0"/>
              <w:snapToGrid/>
              <w:spacing w:after="0"/>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ab/>
            </w:r>
          </w:p>
          <w:p>
            <w:pPr>
              <w:overflowPunct w:val="0"/>
              <w:autoSpaceDE w:val="0"/>
              <w:autoSpaceDN w:val="0"/>
              <w:snapToGrid/>
              <w:spacing w:after="0"/>
              <w:textAlignment w:val="baseline"/>
              <w:rPr>
                <w:rFonts w:ascii="宋体" w:hAnsi="宋体" w:eastAsia="宋体" w:cs="宋体"/>
                <w:b w:val="0"/>
                <w:bCs w:val="0"/>
                <w:sz w:val="20"/>
                <w:szCs w:val="20"/>
              </w:rPr>
            </w:pPr>
          </w:p>
          <w:p>
            <w:pPr>
              <w:overflowPunct w:val="0"/>
              <w:autoSpaceDE w:val="0"/>
              <w:autoSpaceDN w:val="0"/>
              <w:snapToGrid/>
              <w:spacing w:after="0"/>
              <w:textAlignment w:val="baseline"/>
              <w:rPr>
                <w:rFonts w:ascii="宋体" w:hAnsi="宋体" w:eastAsia="宋体" w:cs="宋体"/>
                <w:b w:val="0"/>
                <w:bCs w:val="0"/>
                <w:sz w:val="20"/>
                <w:szCs w:val="20"/>
              </w:rPr>
            </w:pPr>
          </w:p>
          <w:p>
            <w:pPr>
              <w:overflowPunct w:val="0"/>
              <w:autoSpaceDE w:val="0"/>
              <w:autoSpaceDN w:val="0"/>
              <w:snapToGrid/>
              <w:spacing w:after="0"/>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xml:space="preserve">单位负责人：                 年   月   日                 申请单位（盖章）         </w:t>
            </w:r>
          </w:p>
        </w:tc>
      </w:tr>
      <w:tr>
        <w:tblPrEx>
          <w:tblCellMar>
            <w:top w:w="0" w:type="dxa"/>
            <w:left w:w="108" w:type="dxa"/>
            <w:bottom w:w="0" w:type="dxa"/>
            <w:right w:w="108" w:type="dxa"/>
          </w:tblCellMar>
        </w:tblPrEx>
        <w:trPr>
          <w:cantSplit/>
          <w:trHeight w:val="2658" w:hRule="atLeast"/>
          <w:jc w:val="center"/>
        </w:trPr>
        <w:tc>
          <w:tcPr>
            <w:tcW w:w="630" w:type="dxa"/>
            <w:vMerge w:val="restart"/>
            <w:tcBorders>
              <w:top w:val="nil"/>
              <w:left w:val="single" w:color="auto" w:sz="8" w:space="0"/>
              <w:bottom w:val="single" w:color="000000" w:sz="8"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主管部门意见</w:t>
            </w:r>
          </w:p>
        </w:tc>
        <w:tc>
          <w:tcPr>
            <w:tcW w:w="9308" w:type="dxa"/>
            <w:gridSpan w:val="4"/>
            <w:tcBorders>
              <w:top w:val="single" w:color="auto" w:sz="8" w:space="0"/>
              <w:left w:val="nil"/>
              <w:right w:val="single" w:color="000000"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both"/>
              <w:textAlignment w:val="baseline"/>
              <w:rPr>
                <w:rFonts w:ascii="宋体" w:hAnsi="宋体" w:eastAsia="宋体" w:cs="宋体"/>
                <w:b w:val="0"/>
                <w:bCs w:val="0"/>
                <w:sz w:val="20"/>
                <w:szCs w:val="20"/>
              </w:rPr>
            </w:pPr>
            <w:bookmarkStart w:id="0" w:name="_GoBack"/>
            <w:bookmarkEnd w:id="0"/>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xml:space="preserve">                                                  年   月   日</w:t>
            </w:r>
          </w:p>
        </w:tc>
      </w:tr>
      <w:tr>
        <w:tblPrEx>
          <w:tblCellMar>
            <w:top w:w="0" w:type="dxa"/>
            <w:left w:w="108" w:type="dxa"/>
            <w:bottom w:w="0" w:type="dxa"/>
            <w:right w:w="108" w:type="dxa"/>
          </w:tblCellMar>
        </w:tblPrEx>
        <w:trPr>
          <w:trHeight w:val="2708" w:hRule="atLeast"/>
          <w:jc w:val="center"/>
        </w:trPr>
        <w:tc>
          <w:tcPr>
            <w:tcW w:w="630" w:type="dxa"/>
            <w:tcBorders>
              <w:top w:val="nil"/>
              <w:left w:val="single" w:color="auto" w:sz="8" w:space="0"/>
              <w:bottom w:val="single" w:color="000000" w:sz="12" w:space="0"/>
              <w:right w:val="single" w:color="auto" w:sz="4"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财政部门意见</w:t>
            </w:r>
          </w:p>
        </w:tc>
        <w:tc>
          <w:tcPr>
            <w:tcW w:w="9308" w:type="dxa"/>
            <w:gridSpan w:val="4"/>
            <w:tcBorders>
              <w:top w:val="single" w:color="auto" w:sz="8" w:space="0"/>
              <w:left w:val="nil"/>
              <w:bottom w:val="single" w:color="000000" w:sz="12" w:space="0"/>
              <w:right w:val="single" w:color="000000" w:sz="8" w:space="0"/>
            </w:tcBorders>
            <w:shd w:val="clear" w:color="auto" w:fill="FFFFFF"/>
            <w:vAlign w:val="center"/>
          </w:tcPr>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r>
              <w:rPr>
                <w:rFonts w:hint="eastAsia" w:ascii="宋体" w:hAnsi="宋体" w:eastAsia="宋体" w:cs="宋体"/>
                <w:b w:val="0"/>
                <w:bCs w:val="0"/>
                <w:sz w:val="20"/>
                <w:szCs w:val="20"/>
              </w:rPr>
              <w:t>　</w:t>
            </w:r>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center"/>
              <w:textAlignment w:val="baseline"/>
              <w:rPr>
                <w:rFonts w:ascii="宋体" w:hAnsi="宋体" w:eastAsia="宋体" w:cs="宋体"/>
                <w:b w:val="0"/>
                <w:bCs w:val="0"/>
                <w:sz w:val="20"/>
                <w:szCs w:val="20"/>
              </w:rPr>
            </w:pPr>
          </w:p>
          <w:p>
            <w:pPr>
              <w:overflowPunct w:val="0"/>
              <w:autoSpaceDE w:val="0"/>
              <w:autoSpaceDN w:val="0"/>
              <w:snapToGrid/>
              <w:spacing w:after="0"/>
              <w:jc w:val="center"/>
              <w:textAlignment w:val="baseline"/>
              <w:rPr>
                <w:b w:val="0"/>
                <w:bCs w:val="0"/>
              </w:rPr>
            </w:pPr>
            <w:r>
              <w:rPr>
                <w:rFonts w:hint="eastAsia" w:ascii="宋体" w:hAnsi="宋体" w:eastAsia="宋体" w:cs="宋体"/>
                <w:b w:val="0"/>
                <w:bCs w:val="0"/>
                <w:sz w:val="20"/>
                <w:szCs w:val="20"/>
              </w:rPr>
              <w:t xml:space="preserve">                                                  年   月   日</w:t>
            </w:r>
          </w:p>
        </w:tc>
      </w:tr>
    </w:tbl>
    <w:p>
      <w:pPr>
        <w:widowControl w:val="0"/>
        <w:spacing w:after="0" w:line="560" w:lineRule="exact"/>
        <w:jc w:val="both"/>
        <w:rPr>
          <w:rFonts w:ascii="黑体" w:hAnsi="黑体" w:eastAsia="黑体" w:cs="黑体"/>
          <w:b w:val="0"/>
          <w:bCs w:val="0"/>
          <w:sz w:val="32"/>
          <w:szCs w:val="32"/>
        </w:rPr>
        <w:sectPr>
          <w:footerReference r:id="rId4" w:type="default"/>
          <w:pgSz w:w="11906" w:h="16838"/>
          <w:pgMar w:top="1800" w:right="1440" w:bottom="1800" w:left="1440" w:header="0" w:footer="1587" w:gutter="0"/>
          <w:pgNumType w:fmt="numberInDash" w:start="1"/>
          <w:cols w:space="0" w:num="1"/>
          <w:docGrid w:linePitch="360" w:charSpace="0"/>
        </w:sectPr>
      </w:pPr>
    </w:p>
    <w:p>
      <w:pPr>
        <w:widowControl w:val="0"/>
        <w:spacing w:after="0" w:line="560" w:lineRule="exact"/>
        <w:jc w:val="both"/>
        <w:rPr>
          <w:rFonts w:ascii="黑体" w:hAnsi="黑体" w:eastAsia="黑体" w:cs="黑体"/>
          <w:b w:val="0"/>
          <w:bCs w:val="0"/>
          <w:sz w:val="32"/>
          <w:szCs w:val="32"/>
        </w:rPr>
      </w:pPr>
      <w:r>
        <w:rPr>
          <w:rFonts w:hint="eastAsia" w:ascii="黑体" w:hAnsi="黑体" w:eastAsia="黑体" w:cs="黑体"/>
          <w:b w:val="0"/>
          <w:bCs w:val="0"/>
          <w:sz w:val="32"/>
          <w:szCs w:val="32"/>
        </w:rPr>
        <w:t>附件2</w:t>
      </w:r>
    </w:p>
    <w:p>
      <w:pPr>
        <w:widowControl w:val="0"/>
        <w:spacing w:after="0" w:line="560" w:lineRule="exact"/>
        <w:jc w:val="both"/>
        <w:rPr>
          <w:rFonts w:ascii="黑体" w:hAnsi="黑体" w:eastAsia="黑体" w:cs="黑体"/>
          <w:b w:val="0"/>
          <w:bCs w:val="0"/>
          <w:sz w:val="32"/>
          <w:szCs w:val="32"/>
        </w:rPr>
      </w:pPr>
    </w:p>
    <w:p>
      <w:pPr>
        <w:widowControl w:val="0"/>
        <w:spacing w:after="0" w:line="56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预算单位开立银行账户批复书</w:t>
      </w:r>
    </w:p>
    <w:p>
      <w:pPr>
        <w:widowControl w:val="0"/>
        <w:spacing w:after="0" w:line="560" w:lineRule="exact"/>
        <w:jc w:val="center"/>
        <w:rPr>
          <w:rFonts w:ascii="方正小标宋简体" w:eastAsia="方正小标宋简体"/>
          <w:b w:val="0"/>
          <w:bCs w:val="0"/>
          <w:sz w:val="44"/>
          <w:szCs w:val="44"/>
        </w:rPr>
      </w:pPr>
    </w:p>
    <w:p>
      <w:pPr>
        <w:widowControl w:val="0"/>
        <w:overflowPunct w:val="0"/>
        <w:autoSpaceDE w:val="0"/>
        <w:autoSpaceDN w:val="0"/>
        <w:snapToGrid/>
        <w:spacing w:after="0"/>
        <w:jc w:val="both"/>
        <w:textAlignment w:val="baseline"/>
        <w:rPr>
          <w:rFonts w:ascii="宋体" w:hAnsi="宋体" w:eastAsia="宋体" w:cs="Times New Roman"/>
          <w:b w:val="0"/>
          <w:bCs w:val="0"/>
          <w:sz w:val="24"/>
          <w:szCs w:val="20"/>
          <w:u w:val="single"/>
        </w:rPr>
      </w:pPr>
      <w:r>
        <w:rPr>
          <w:rFonts w:ascii="宋体" w:hAnsi="宋体" w:eastAsia="宋体" w:cs="Times New Roman"/>
          <w:b w:val="0"/>
          <w:bCs w:val="0"/>
          <w:sz w:val="24"/>
          <w:szCs w:val="20"/>
          <w:u w:val="single"/>
        </w:rPr>
        <w:tab/>
      </w:r>
      <w:r>
        <w:rPr>
          <w:rFonts w:hint="eastAsia" w:ascii="宋体" w:hAnsi="宋体" w:eastAsia="宋体" w:cs="Times New Roman"/>
          <w:b w:val="0"/>
          <w:bCs w:val="0"/>
          <w:sz w:val="24"/>
          <w:szCs w:val="20"/>
          <w:u w:val="single"/>
        </w:rPr>
        <w:t xml:space="preserve">                 </w:t>
      </w:r>
      <w:r>
        <w:rPr>
          <w:rFonts w:ascii="宋体" w:hAnsi="宋体" w:eastAsia="宋体" w:cs="Times New Roman"/>
          <w:b w:val="0"/>
          <w:bCs w:val="0"/>
          <w:sz w:val="24"/>
          <w:szCs w:val="20"/>
        </w:rPr>
        <w:tab/>
      </w:r>
      <w:r>
        <w:rPr>
          <w:rFonts w:hint="eastAsia" w:ascii="宋体" w:hAnsi="宋体" w:eastAsia="宋体" w:cs="Times New Roman"/>
          <w:b w:val="0"/>
          <w:bCs w:val="0"/>
          <w:sz w:val="24"/>
          <w:szCs w:val="20"/>
        </w:rPr>
        <w:t>：</w:t>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hint="eastAsia" w:ascii="宋体" w:hAnsi="宋体" w:eastAsia="宋体" w:cs="Times New Roman"/>
          <w:b w:val="0"/>
          <w:bCs w:val="0"/>
          <w:sz w:val="24"/>
          <w:szCs w:val="20"/>
        </w:rPr>
        <w:t xml:space="preserve">        </w:t>
      </w:r>
      <w:r>
        <w:rPr>
          <w:rFonts w:ascii="宋体" w:hAnsi="宋体" w:eastAsia="宋体" w:cs="Times New Roman"/>
          <w:b w:val="0"/>
          <w:bCs w:val="0"/>
          <w:sz w:val="24"/>
          <w:szCs w:val="20"/>
        </w:rPr>
        <w:t xml:space="preserve"> </w:t>
      </w:r>
      <w:r>
        <w:rPr>
          <w:rFonts w:ascii="宋体" w:hAnsi="宋体" w:eastAsia="宋体" w:cs="Times New Roman"/>
          <w:b w:val="0"/>
          <w:bCs w:val="0"/>
          <w:sz w:val="24"/>
          <w:szCs w:val="20"/>
          <w:u w:val="single"/>
        </w:rPr>
        <w:t>批号：</w:t>
      </w:r>
      <w:r>
        <w:rPr>
          <w:rFonts w:hint="eastAsia" w:ascii="宋体" w:hAnsi="宋体" w:eastAsia="宋体" w:cs="Times New Roman"/>
          <w:b w:val="0"/>
          <w:bCs w:val="0"/>
          <w:sz w:val="24"/>
          <w:szCs w:val="20"/>
          <w:u w:val="single"/>
        </w:rPr>
        <w:t xml:space="preserve">        </w:t>
      </w:r>
    </w:p>
    <w:p>
      <w:pPr>
        <w:widowControl w:val="0"/>
        <w:overflowPunct w:val="0"/>
        <w:autoSpaceDE w:val="0"/>
        <w:autoSpaceDN w:val="0"/>
        <w:snapToGrid/>
        <w:spacing w:after="0"/>
        <w:jc w:val="both"/>
        <w:textAlignment w:val="baseline"/>
        <w:rPr>
          <w:rFonts w:ascii="宋体" w:hAnsi="宋体" w:eastAsia="宋体" w:cs="Times New Roman"/>
          <w:b w:val="0"/>
          <w:bCs w:val="0"/>
          <w:kern w:val="2"/>
          <w:sz w:val="24"/>
          <w:szCs w:val="24"/>
          <w:u w:val="single"/>
        </w:rPr>
      </w:pPr>
    </w:p>
    <w:p>
      <w:pPr>
        <w:widowControl w:val="0"/>
        <w:overflowPunct w:val="0"/>
        <w:autoSpaceDE w:val="0"/>
        <w:autoSpaceDN w:val="0"/>
        <w:snapToGrid/>
        <w:spacing w:after="0" w:line="276" w:lineRule="auto"/>
        <w:ind w:firstLine="556"/>
        <w:jc w:val="both"/>
        <w:textAlignment w:val="baseline"/>
        <w:rPr>
          <w:rFonts w:ascii="宋体" w:hAnsi="宋体" w:eastAsia="宋体" w:cs="Times New Roman"/>
          <w:b w:val="0"/>
          <w:bCs w:val="0"/>
          <w:sz w:val="28"/>
          <w:szCs w:val="28"/>
        </w:rPr>
      </w:pPr>
      <w:r>
        <w:rPr>
          <w:rFonts w:hint="eastAsia" w:ascii="宋体" w:hAnsi="宋体" w:eastAsia="宋体" w:cs="Times New Roman"/>
          <w:b w:val="0"/>
          <w:bCs w:val="0"/>
          <w:sz w:val="24"/>
          <w:szCs w:val="20"/>
        </w:rPr>
        <w:t>你单位“</w:t>
      </w:r>
      <w:r>
        <w:rPr>
          <w:rFonts w:hint="eastAsia" w:ascii="宋体" w:hAnsi="宋体" w:eastAsia="宋体" w:cs="宋体"/>
          <w:b w:val="0"/>
          <w:bCs w:val="0"/>
          <w:sz w:val="24"/>
          <w:szCs w:val="20"/>
        </w:rPr>
        <w:t>开立银行账户申请报告”</w:t>
      </w:r>
      <w:r>
        <w:rPr>
          <w:rFonts w:hint="eastAsia" w:ascii="宋体" w:hAnsi="宋体" w:eastAsia="宋体" w:cs="Times New Roman"/>
          <w:b w:val="0"/>
          <w:bCs w:val="0"/>
          <w:sz w:val="24"/>
          <w:szCs w:val="20"/>
        </w:rPr>
        <w:t>收悉。根据预算单位银行账户管理有关规定，经研究，现核准你单位开立下列银行账户。请收到批复书后，按中国人民银行有关账户管理规定办理账户开立手续，并及时向财政部门办理备案手续。</w:t>
      </w:r>
      <w:r>
        <w:rPr>
          <w:rFonts w:ascii="宋体" w:hAnsi="宋体" w:eastAsia="宋体" w:cs="Times New Roman"/>
          <w:b w:val="0"/>
          <w:bCs w:val="0"/>
          <w:sz w:val="24"/>
          <w:szCs w:val="20"/>
        </w:rPr>
        <w:tab/>
      </w:r>
      <w:r>
        <w:rPr>
          <w:rFonts w:ascii="宋体" w:hAnsi="宋体" w:eastAsia="宋体" w:cs="Times New Roman"/>
          <w:b w:val="0"/>
          <w:bCs w:val="0"/>
          <w:sz w:val="24"/>
          <w:szCs w:val="20"/>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r>
        <w:rPr>
          <w:rFonts w:ascii="宋体" w:hAnsi="宋体" w:eastAsia="宋体" w:cs="Times New Roman"/>
          <w:b w:val="0"/>
          <w:bCs w:val="0"/>
          <w:sz w:val="28"/>
          <w:szCs w:val="28"/>
        </w:rPr>
        <w:tab/>
      </w:r>
    </w:p>
    <w:p>
      <w:pPr>
        <w:widowControl w:val="0"/>
        <w:overflowPunct w:val="0"/>
        <w:autoSpaceDE w:val="0"/>
        <w:autoSpaceDN w:val="0"/>
        <w:snapToGrid/>
        <w:spacing w:after="0" w:line="500" w:lineRule="exact"/>
        <w:ind w:firstLine="5392" w:firstLineChars="2247"/>
        <w:jc w:val="right"/>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（财政审批专用印章）</w:t>
      </w:r>
    </w:p>
    <w:p>
      <w:pPr>
        <w:widowControl w:val="0"/>
        <w:overflowPunct w:val="0"/>
        <w:autoSpaceDE w:val="0"/>
        <w:autoSpaceDN w:val="0"/>
        <w:snapToGrid/>
        <w:spacing w:after="0"/>
        <w:ind w:firstLine="11472" w:firstLineChars="4780"/>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年   月   日</w:t>
      </w:r>
    </w:p>
    <w:p>
      <w:pPr>
        <w:widowControl w:val="0"/>
        <w:overflowPunct w:val="0"/>
        <w:autoSpaceDE w:val="0"/>
        <w:autoSpaceDN w:val="0"/>
        <w:snapToGrid/>
        <w:spacing w:after="0"/>
        <w:ind w:firstLine="11472" w:firstLineChars="4780"/>
        <w:textAlignment w:val="baseline"/>
        <w:rPr>
          <w:rFonts w:ascii="宋体" w:hAnsi="宋体" w:eastAsia="宋体" w:cs="Times New Roman"/>
          <w:b w:val="0"/>
          <w:bCs w:val="0"/>
          <w:sz w:val="24"/>
          <w:szCs w:val="20"/>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826"/>
        <w:gridCol w:w="2693"/>
        <w:gridCol w:w="3119"/>
        <w:gridCol w:w="127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序号</w:t>
            </w:r>
          </w:p>
        </w:tc>
        <w:tc>
          <w:tcPr>
            <w:tcW w:w="1422"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户       名</w:t>
            </w:r>
          </w:p>
        </w:tc>
        <w:tc>
          <w:tcPr>
            <w:tcW w:w="100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账户类别（用途）</w:t>
            </w:r>
          </w:p>
        </w:tc>
        <w:tc>
          <w:tcPr>
            <w:tcW w:w="1159"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pacing w:val="91"/>
                <w:kern w:val="0"/>
                <w:sz w:val="24"/>
                <w:szCs w:val="20"/>
                <w:fitText w:val="1928" w:id="-730684671"/>
              </w:rPr>
              <w:t>开户行全</w:t>
            </w:r>
            <w:r>
              <w:rPr>
                <w:rFonts w:hint="eastAsia" w:ascii="宋体" w:hAnsi="宋体" w:eastAsia="宋体" w:cs="宋体"/>
                <w:b w:val="0"/>
                <w:bCs w:val="0"/>
                <w:spacing w:val="0"/>
                <w:kern w:val="0"/>
                <w:sz w:val="24"/>
                <w:szCs w:val="20"/>
                <w:fitText w:val="1928" w:id="-730684671"/>
              </w:rPr>
              <w:t>称</w:t>
            </w:r>
          </w:p>
        </w:tc>
        <w:tc>
          <w:tcPr>
            <w:tcW w:w="47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pacing w:val="61"/>
                <w:kern w:val="0"/>
                <w:sz w:val="24"/>
                <w:szCs w:val="20"/>
                <w:fitText w:val="603" w:id="-730683903"/>
              </w:rPr>
              <w:t>期</w:t>
            </w:r>
            <w:r>
              <w:rPr>
                <w:rFonts w:hint="eastAsia" w:ascii="宋体" w:hAnsi="宋体" w:eastAsia="宋体" w:cs="宋体"/>
                <w:b w:val="0"/>
                <w:bCs w:val="0"/>
                <w:spacing w:val="0"/>
                <w:kern w:val="0"/>
                <w:sz w:val="24"/>
                <w:szCs w:val="20"/>
                <w:fitText w:val="603" w:id="-730683903"/>
              </w:rPr>
              <w:t>限</w:t>
            </w:r>
          </w:p>
        </w:tc>
        <w:tc>
          <w:tcPr>
            <w:tcW w:w="640"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1</w:t>
            </w:r>
          </w:p>
        </w:tc>
        <w:tc>
          <w:tcPr>
            <w:tcW w:w="1422"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00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159"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47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640"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2</w:t>
            </w:r>
          </w:p>
        </w:tc>
        <w:tc>
          <w:tcPr>
            <w:tcW w:w="1422"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00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159"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47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640"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 w:val="24"/>
                <w:szCs w:val="20"/>
              </w:rPr>
            </w:pPr>
            <w:r>
              <w:rPr>
                <w:rFonts w:hint="eastAsia" w:ascii="宋体" w:hAnsi="宋体" w:eastAsia="宋体" w:cs="宋体"/>
                <w:b w:val="0"/>
                <w:bCs w:val="0"/>
                <w:sz w:val="24"/>
                <w:szCs w:val="20"/>
              </w:rPr>
              <w:t>3</w:t>
            </w:r>
          </w:p>
        </w:tc>
        <w:tc>
          <w:tcPr>
            <w:tcW w:w="1422"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00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1159"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474"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c>
          <w:tcPr>
            <w:tcW w:w="640"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jc w:val="center"/>
              <w:textAlignment w:val="baseline"/>
              <w:rPr>
                <w:rFonts w:ascii="宋体" w:hAnsi="宋体" w:eastAsia="宋体" w:cs="宋体"/>
                <w:b w:val="0"/>
                <w:bCs w:val="0"/>
                <w:szCs w:val="20"/>
              </w:rPr>
            </w:pPr>
          </w:p>
        </w:tc>
      </w:tr>
    </w:tbl>
    <w:p>
      <w:pPr>
        <w:widowControl w:val="0"/>
        <w:overflowPunct w:val="0"/>
        <w:autoSpaceDE w:val="0"/>
        <w:autoSpaceDN w:val="0"/>
        <w:snapToGrid/>
        <w:spacing w:after="0"/>
        <w:jc w:val="both"/>
        <w:textAlignment w:val="baseline"/>
        <w:rPr>
          <w:rFonts w:ascii="宋体" w:hAnsi="宋体" w:eastAsia="宋体" w:cs="Times New Roman"/>
          <w:b w:val="0"/>
          <w:bCs w:val="0"/>
          <w:kern w:val="2"/>
          <w:sz w:val="24"/>
          <w:szCs w:val="20"/>
        </w:rPr>
      </w:pPr>
      <w:r>
        <w:rPr>
          <w:rFonts w:hint="eastAsia" w:ascii="宋体" w:hAnsi="宋体" w:eastAsia="宋体" w:cs="Times New Roman"/>
          <w:b w:val="0"/>
          <w:bCs w:val="0"/>
          <w:sz w:val="24"/>
          <w:szCs w:val="20"/>
        </w:rPr>
        <w:t>注：此批复书一式三份，开户申请单位一份，人民银行一份，财政部门留存一份。</w:t>
      </w:r>
    </w:p>
    <w:p>
      <w:pPr>
        <w:widowControl w:val="0"/>
        <w:tabs>
          <w:tab w:val="right" w:pos="12755"/>
        </w:tabs>
        <w:spacing w:after="0" w:line="560" w:lineRule="exact"/>
        <w:jc w:val="both"/>
        <w:rPr>
          <w:rFonts w:ascii="黑体" w:hAnsi="黑体" w:eastAsia="黑体" w:cs="黑体"/>
          <w:b w:val="0"/>
          <w:bCs w:val="0"/>
          <w:sz w:val="32"/>
          <w:szCs w:val="32"/>
        </w:rPr>
        <w:sectPr>
          <w:pgSz w:w="16838" w:h="11906" w:orient="landscape"/>
          <w:pgMar w:top="1440" w:right="1800" w:bottom="1440" w:left="1800" w:header="0" w:footer="1587" w:gutter="0"/>
          <w:pgNumType w:fmt="numberInDash" w:start="1"/>
          <w:cols w:space="0" w:num="1"/>
          <w:docGrid w:linePitch="360" w:charSpace="0"/>
        </w:sectPr>
      </w:pPr>
    </w:p>
    <w:p>
      <w:pPr>
        <w:widowControl w:val="0"/>
        <w:tabs>
          <w:tab w:val="right" w:pos="12755"/>
        </w:tabs>
        <w:spacing w:after="0" w:line="560" w:lineRule="exact"/>
        <w:jc w:val="both"/>
        <w:rPr>
          <w:rFonts w:ascii="黑体" w:hAnsi="黑体" w:eastAsia="黑体" w:cs="黑体"/>
          <w:b w:val="0"/>
          <w:bCs w:val="0"/>
          <w:sz w:val="32"/>
          <w:szCs w:val="32"/>
        </w:rPr>
      </w:pPr>
      <w:r>
        <w:rPr>
          <w:rFonts w:hint="eastAsia" w:ascii="黑体" w:hAnsi="黑体" w:eastAsia="黑体" w:cs="黑体"/>
          <w:b w:val="0"/>
          <w:bCs w:val="0"/>
          <w:sz w:val="32"/>
          <w:szCs w:val="32"/>
        </w:rPr>
        <w:t>附件3</w:t>
      </w:r>
      <w:r>
        <w:rPr>
          <w:rFonts w:ascii="黑体" w:hAnsi="黑体" w:eastAsia="黑体" w:cs="黑体"/>
          <w:b w:val="0"/>
          <w:bCs w:val="0"/>
          <w:sz w:val="32"/>
          <w:szCs w:val="32"/>
        </w:rPr>
        <w:tab/>
      </w:r>
    </w:p>
    <w:p>
      <w:pPr>
        <w:widowControl w:val="0"/>
        <w:overflowPunct w:val="0"/>
        <w:autoSpaceDE w:val="0"/>
        <w:autoSpaceDN w:val="0"/>
        <w:snapToGrid/>
        <w:spacing w:after="0" w:line="500" w:lineRule="exact"/>
        <w:jc w:val="center"/>
        <w:textAlignment w:val="baseline"/>
        <w:rPr>
          <w:rFonts w:ascii="方正小标宋简体" w:eastAsia="方正小标宋简体"/>
          <w:b w:val="0"/>
          <w:bCs w:val="0"/>
          <w:sz w:val="44"/>
          <w:szCs w:val="44"/>
        </w:rPr>
      </w:pPr>
      <w:r>
        <w:rPr>
          <w:rFonts w:hint="eastAsia" w:ascii="方正小标宋简体" w:eastAsia="方正小标宋简体"/>
          <w:b w:val="0"/>
          <w:bCs w:val="0"/>
          <w:sz w:val="44"/>
          <w:szCs w:val="44"/>
        </w:rPr>
        <w:t>预算单位开立银行账户备案表</w:t>
      </w:r>
    </w:p>
    <w:p>
      <w:pPr>
        <w:widowControl w:val="0"/>
        <w:overflowPunct w:val="0"/>
        <w:autoSpaceDE w:val="0"/>
        <w:autoSpaceDN w:val="0"/>
        <w:snapToGrid/>
        <w:spacing w:after="0" w:line="400" w:lineRule="exact"/>
        <w:jc w:val="both"/>
        <w:textAlignment w:val="baseline"/>
        <w:rPr>
          <w:rFonts w:ascii="宋体" w:hAnsi="宋体" w:eastAsia="宋体" w:cs="Times New Roman"/>
          <w:b w:val="0"/>
          <w:bCs w:val="0"/>
          <w:sz w:val="24"/>
          <w:szCs w:val="20"/>
        </w:rPr>
      </w:pPr>
    </w:p>
    <w:p>
      <w:pPr>
        <w:widowControl w:val="0"/>
        <w:overflowPunct w:val="0"/>
        <w:autoSpaceDE w:val="0"/>
        <w:autoSpaceDN w:val="0"/>
        <w:snapToGrid/>
        <w:spacing w:after="0" w:line="400" w:lineRule="exact"/>
        <w:jc w:val="both"/>
        <w:textAlignment w:val="baseline"/>
        <w:rPr>
          <w:rFonts w:ascii="宋体" w:hAnsi="宋体" w:eastAsia="宋体" w:cs="Times New Roman"/>
          <w:b w:val="0"/>
          <w:bCs w:val="0"/>
          <w:kern w:val="2"/>
          <w:sz w:val="24"/>
          <w:szCs w:val="20"/>
        </w:rPr>
      </w:pPr>
      <w:r>
        <w:rPr>
          <w:rFonts w:hint="eastAsia" w:ascii="宋体" w:hAnsi="宋体" w:eastAsia="宋体" w:cs="Times New Roman"/>
          <w:b w:val="0"/>
          <w:bCs w:val="0"/>
          <w:sz w:val="24"/>
          <w:szCs w:val="20"/>
        </w:rPr>
        <w:t>编报单位（盖章）：                                                            预算单位编码：</w:t>
      </w:r>
    </w:p>
    <w:tbl>
      <w:tblPr>
        <w:tblStyle w:val="8"/>
        <w:tblW w:w="556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1702"/>
        <w:gridCol w:w="743"/>
        <w:gridCol w:w="1609"/>
        <w:gridCol w:w="1291"/>
        <w:gridCol w:w="1267"/>
        <w:gridCol w:w="1764"/>
        <w:gridCol w:w="1558"/>
        <w:gridCol w:w="1276"/>
        <w:gridCol w:w="1702"/>
        <w:gridCol w:w="1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9" w:type="pct"/>
            <w:vMerge w:val="restar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0"/>
              </w:rPr>
            </w:pPr>
            <w:r>
              <w:rPr>
                <w:rFonts w:hint="eastAsia" w:ascii="宋体" w:hAnsi="宋体" w:eastAsia="宋体" w:cs="Times New Roman"/>
                <w:b w:val="0"/>
                <w:bCs w:val="0"/>
                <w:sz w:val="24"/>
                <w:szCs w:val="20"/>
              </w:rPr>
              <w:t>序号</w:t>
            </w:r>
          </w:p>
        </w:tc>
        <w:tc>
          <w:tcPr>
            <w:tcW w:w="568" w:type="pct"/>
            <w:vMerge w:val="restar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开户单位名称</w:t>
            </w:r>
          </w:p>
        </w:tc>
        <w:tc>
          <w:tcPr>
            <w:tcW w:w="2228" w:type="pct"/>
            <w:gridSpan w:val="5"/>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现银</w:t>
            </w:r>
            <w:r>
              <w:rPr>
                <w:rFonts w:ascii="宋体" w:hAnsi="宋体" w:eastAsia="宋体" w:cs="Times New Roman"/>
                <w:b w:val="0"/>
                <w:bCs w:val="0"/>
                <w:sz w:val="24"/>
                <w:szCs w:val="20"/>
              </w:rPr>
              <w:t xml:space="preserve"> 行 账 户 情 况</w:t>
            </w:r>
          </w:p>
        </w:tc>
        <w:tc>
          <w:tcPr>
            <w:tcW w:w="1514" w:type="pct"/>
            <w:gridSpan w:val="3"/>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原银</w:t>
            </w:r>
            <w:r>
              <w:rPr>
                <w:rFonts w:ascii="宋体" w:hAnsi="宋体" w:eastAsia="宋体" w:cs="Times New Roman"/>
                <w:b w:val="0"/>
                <w:bCs w:val="0"/>
                <w:sz w:val="24"/>
                <w:szCs w:val="20"/>
              </w:rPr>
              <w:t xml:space="preserve"> 行 账 户 情 况</w:t>
            </w:r>
          </w:p>
        </w:tc>
        <w:tc>
          <w:tcPr>
            <w:tcW w:w="452" w:type="pct"/>
            <w:vMerge w:val="restar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变更、撤户说明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textAlignment w:val="baseline"/>
              <w:rPr>
                <w:rFonts w:ascii="宋体" w:hAnsi="宋体" w:eastAsia="宋体" w:cs="Times New Roman"/>
                <w:b w:val="0"/>
                <w:bCs w:val="0"/>
                <w:kern w:val="2"/>
                <w:sz w:val="24"/>
                <w:szCs w:val="24"/>
              </w:rPr>
            </w:pPr>
          </w:p>
        </w:tc>
        <w:tc>
          <w:tcPr>
            <w:tcW w:w="568" w:type="pct"/>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开户日期</w:t>
            </w: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账户</w:t>
            </w:r>
            <w:r>
              <w:rPr>
                <w:rFonts w:ascii="宋体" w:hAnsi="宋体" w:eastAsia="宋体" w:cs="Times New Roman"/>
                <w:b w:val="0"/>
                <w:bCs w:val="0"/>
                <w:sz w:val="24"/>
                <w:szCs w:val="20"/>
              </w:rPr>
              <w:t>名称</w:t>
            </w: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开户银行选择方式</w:t>
            </w: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开户银行</w:t>
            </w: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银行账号</w:t>
            </w: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账户</w:t>
            </w:r>
            <w:r>
              <w:rPr>
                <w:rFonts w:ascii="宋体" w:hAnsi="宋体" w:eastAsia="宋体" w:cs="Times New Roman"/>
                <w:b w:val="0"/>
                <w:bCs w:val="0"/>
                <w:sz w:val="24"/>
                <w:szCs w:val="20"/>
              </w:rPr>
              <w:t>名称</w:t>
            </w: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hint="eastAsia" w:ascii="宋体" w:hAnsi="宋体" w:eastAsia="宋体" w:cs="Times New Roman"/>
                <w:b w:val="0"/>
                <w:bCs w:val="0"/>
                <w:sz w:val="24"/>
                <w:szCs w:val="20"/>
              </w:rPr>
              <w:t>开户银行</w:t>
            </w: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银行账号</w:t>
            </w:r>
          </w:p>
        </w:tc>
        <w:tc>
          <w:tcPr>
            <w:tcW w:w="452" w:type="pct"/>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napToGrid/>
              <w:spacing w:after="0"/>
              <w:textAlignment w:val="baseline"/>
              <w:rPr>
                <w:rFonts w:ascii="宋体" w:hAnsi="宋体" w:eastAsia="宋体" w:cs="Times New Roman"/>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ascii="宋体" w:hAnsi="宋体" w:eastAsia="宋体" w:cs="Times New Roman"/>
                <w:b w:val="0"/>
                <w:bCs w:val="0"/>
                <w:sz w:val="24"/>
                <w:szCs w:val="20"/>
              </w:rPr>
              <w:t>1</w:t>
            </w:r>
          </w:p>
        </w:tc>
        <w:tc>
          <w:tcPr>
            <w:tcW w:w="56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ascii="宋体" w:hAnsi="宋体" w:eastAsia="宋体" w:cs="Times New Roman"/>
                <w:b w:val="0"/>
                <w:bCs w:val="0"/>
                <w:sz w:val="24"/>
                <w:szCs w:val="20"/>
              </w:rPr>
              <w:t>2</w:t>
            </w:r>
          </w:p>
        </w:tc>
        <w:tc>
          <w:tcPr>
            <w:tcW w:w="56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ascii="宋体" w:hAnsi="宋体" w:eastAsia="宋体" w:cs="Times New Roman"/>
                <w:b w:val="0"/>
                <w:bCs w:val="0"/>
                <w:sz w:val="24"/>
                <w:szCs w:val="20"/>
              </w:rPr>
              <w:t>3</w:t>
            </w:r>
          </w:p>
        </w:tc>
        <w:tc>
          <w:tcPr>
            <w:tcW w:w="56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ascii="宋体" w:hAnsi="宋体" w:eastAsia="宋体" w:cs="Times New Roman"/>
                <w:b w:val="0"/>
                <w:bCs w:val="0"/>
                <w:sz w:val="24"/>
                <w:szCs w:val="20"/>
              </w:rPr>
              <w:t>4</w:t>
            </w:r>
          </w:p>
        </w:tc>
        <w:tc>
          <w:tcPr>
            <w:tcW w:w="56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r>
              <w:rPr>
                <w:rFonts w:ascii="宋体" w:hAnsi="宋体" w:eastAsia="宋体" w:cs="Times New Roman"/>
                <w:b w:val="0"/>
                <w:bCs w:val="0"/>
                <w:sz w:val="24"/>
                <w:szCs w:val="20"/>
              </w:rPr>
              <w:t>5</w:t>
            </w:r>
          </w:p>
        </w:tc>
        <w:tc>
          <w:tcPr>
            <w:tcW w:w="56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248"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3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3"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20"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widowControl w:val="0"/>
              <w:overflowPunct w:val="0"/>
              <w:autoSpaceDE w:val="0"/>
              <w:autoSpaceDN w:val="0"/>
              <w:snapToGrid/>
              <w:spacing w:after="0" w:line="400" w:lineRule="exact"/>
              <w:jc w:val="center"/>
              <w:textAlignment w:val="baseline"/>
              <w:rPr>
                <w:rFonts w:ascii="宋体" w:hAnsi="宋体" w:eastAsia="宋体" w:cs="Times New Roman"/>
                <w:b w:val="0"/>
                <w:bCs w:val="0"/>
                <w:kern w:val="2"/>
                <w:sz w:val="24"/>
                <w:szCs w:val="24"/>
              </w:rPr>
            </w:pPr>
          </w:p>
        </w:tc>
      </w:tr>
    </w:tbl>
    <w:p>
      <w:pPr>
        <w:widowControl w:val="0"/>
        <w:overflowPunct w:val="0"/>
        <w:autoSpaceDE w:val="0"/>
        <w:autoSpaceDN w:val="0"/>
        <w:snapToGrid/>
        <w:spacing w:after="0" w:line="400" w:lineRule="exact"/>
        <w:jc w:val="both"/>
        <w:textAlignment w:val="baseline"/>
        <w:rPr>
          <w:rFonts w:ascii="宋体" w:hAnsi="宋体" w:eastAsia="宋体" w:cs="Times New Roman"/>
          <w:b w:val="0"/>
          <w:bCs w:val="0"/>
          <w:kern w:val="2"/>
          <w:sz w:val="24"/>
          <w:szCs w:val="20"/>
        </w:rPr>
      </w:pPr>
      <w:r>
        <w:rPr>
          <w:rFonts w:hint="eastAsia" w:ascii="宋体" w:hAnsi="宋体" w:eastAsia="宋体" w:cs="Times New Roman"/>
          <w:b w:val="0"/>
          <w:bCs w:val="0"/>
          <w:sz w:val="24"/>
          <w:szCs w:val="20"/>
        </w:rPr>
        <w:t xml:space="preserve">单位负责人（签章）                       </w:t>
      </w:r>
      <w:r>
        <w:rPr>
          <w:rFonts w:ascii="宋体" w:hAnsi="宋体" w:eastAsia="宋体" w:cs="Times New Roman"/>
          <w:b w:val="0"/>
          <w:bCs w:val="0"/>
          <w:sz w:val="24"/>
          <w:szCs w:val="20"/>
        </w:rPr>
        <w:t xml:space="preserve"> 财务负责人（签章）                            经办人（签章）</w:t>
      </w:r>
    </w:p>
    <w:p>
      <w:pPr>
        <w:widowControl w:val="0"/>
        <w:overflowPunct w:val="0"/>
        <w:autoSpaceDE w:val="0"/>
        <w:autoSpaceDN w:val="0"/>
        <w:snapToGrid/>
        <w:spacing w:after="0" w:line="400" w:lineRule="exact"/>
        <w:ind w:firstLine="240" w:firstLineChars="100"/>
        <w:jc w:val="both"/>
        <w:textAlignment w:val="baseline"/>
        <w:rPr>
          <w:rFonts w:ascii="宋体" w:hAnsi="宋体" w:eastAsia="宋体" w:cs="Times New Roman"/>
          <w:b w:val="0"/>
          <w:bCs w:val="0"/>
          <w:sz w:val="24"/>
          <w:szCs w:val="20"/>
        </w:rPr>
      </w:pPr>
      <w:r>
        <w:rPr>
          <w:rFonts w:hint="eastAsia" w:ascii="宋体" w:hAnsi="宋体" w:eastAsia="宋体" w:cs="Times New Roman"/>
          <w:b w:val="0"/>
          <w:bCs w:val="0"/>
          <w:sz w:val="24"/>
          <w:szCs w:val="20"/>
        </w:rPr>
        <w:t>年   月   日                             年   月   日                                  年   月   日</w:t>
      </w:r>
    </w:p>
    <w:p>
      <w:pPr>
        <w:widowControl w:val="0"/>
        <w:overflowPunct w:val="0"/>
        <w:autoSpaceDE w:val="0"/>
        <w:autoSpaceDN w:val="0"/>
        <w:snapToGrid/>
        <w:spacing w:after="0" w:line="400" w:lineRule="exact"/>
        <w:jc w:val="both"/>
        <w:textAlignment w:val="baseline"/>
        <w:rPr>
          <w:rFonts w:ascii="宋体" w:hAnsi="宋体" w:eastAsia="宋体" w:cs="Times New Roman"/>
          <w:b w:val="0"/>
          <w:bCs w:val="0"/>
          <w:kern w:val="2"/>
          <w:sz w:val="24"/>
          <w:szCs w:val="20"/>
        </w:rPr>
      </w:pPr>
      <w:r>
        <w:rPr>
          <w:rFonts w:hint="eastAsia" w:ascii="Times New Roman" w:hAnsi="Times New Roman" w:eastAsia="宋体" w:cs="Times New Roman"/>
          <w:b w:val="0"/>
          <w:bCs w:val="0"/>
          <w:sz w:val="24"/>
          <w:szCs w:val="20"/>
        </w:rPr>
        <w:t>注：1.本表适用于新开账户、账户变更和撤户备案。该表一式两份，报财政部门一份，主管部门一份。</w:t>
      </w:r>
    </w:p>
    <w:p>
      <w:pPr>
        <w:widowControl w:val="0"/>
        <w:overflowPunct w:val="0"/>
        <w:autoSpaceDE w:val="0"/>
        <w:autoSpaceDN w:val="0"/>
        <w:snapToGrid/>
        <w:spacing w:after="0" w:line="400" w:lineRule="exact"/>
        <w:ind w:left="1" w:right="-59" w:rightChars="-27" w:firstLine="480"/>
        <w:jc w:val="both"/>
        <w:textAlignment w:val="baseline"/>
        <w:rPr>
          <w:rFonts w:ascii="Times New Roman" w:hAnsi="Times New Roman" w:eastAsia="宋体" w:cs="Times New Roman"/>
          <w:b w:val="0"/>
          <w:bCs w:val="0"/>
          <w:sz w:val="24"/>
          <w:szCs w:val="20"/>
        </w:rPr>
      </w:pPr>
      <w:r>
        <w:rPr>
          <w:rFonts w:hint="eastAsia" w:ascii="Times New Roman" w:hAnsi="Times New Roman" w:eastAsia="宋体" w:cs="Times New Roman"/>
          <w:b w:val="0"/>
          <w:bCs w:val="0"/>
          <w:sz w:val="24"/>
          <w:szCs w:val="20"/>
        </w:rPr>
        <w:t>2.新开账户备案时“现银行账户情况”填写新开账户内容，“原银行账户情况”空白，“变更、撤户说明”中填写“新开户”。</w:t>
      </w:r>
    </w:p>
    <w:p>
      <w:pPr>
        <w:widowControl w:val="0"/>
        <w:overflowPunct w:val="0"/>
        <w:autoSpaceDE w:val="0"/>
        <w:autoSpaceDN w:val="0"/>
        <w:snapToGrid/>
        <w:spacing w:after="0" w:line="400" w:lineRule="exact"/>
        <w:ind w:left="1" w:right="-59" w:rightChars="-27" w:firstLine="480"/>
        <w:jc w:val="both"/>
        <w:textAlignment w:val="baseline"/>
        <w:rPr>
          <w:rFonts w:ascii="Times New Roman" w:hAnsi="Times New Roman" w:eastAsia="宋体" w:cs="Times New Roman"/>
          <w:b w:val="0"/>
          <w:bCs w:val="0"/>
          <w:sz w:val="24"/>
          <w:szCs w:val="20"/>
        </w:rPr>
      </w:pPr>
      <w:r>
        <w:rPr>
          <w:rFonts w:hint="eastAsia" w:ascii="Times New Roman" w:hAnsi="Times New Roman" w:eastAsia="宋体" w:cs="Times New Roman"/>
          <w:b w:val="0"/>
          <w:bCs w:val="0"/>
          <w:sz w:val="24"/>
          <w:szCs w:val="20"/>
        </w:rPr>
        <w:t>3.</w:t>
      </w:r>
      <w:r>
        <w:rPr>
          <w:rFonts w:hint="eastAsia" w:ascii="宋体" w:hAnsi="宋体" w:eastAsia="宋体" w:cs="宋体"/>
          <w:b w:val="0"/>
          <w:bCs w:val="0"/>
          <w:color w:val="000000"/>
          <w:sz w:val="24"/>
          <w:szCs w:val="24"/>
        </w:rPr>
        <w:t>新开或变更银行账户的，在“开户银行选择方式”栏选择“公开招投标”或“集体决策”。</w:t>
      </w:r>
      <w:r>
        <w:rPr>
          <w:rFonts w:hint="eastAsia" w:ascii="Times New Roman" w:hAnsi="Times New Roman" w:eastAsia="宋体" w:cs="Times New Roman"/>
          <w:b w:val="0"/>
          <w:bCs w:val="0"/>
          <w:sz w:val="24"/>
          <w:szCs w:val="20"/>
        </w:rPr>
        <w:t>　　</w:t>
      </w:r>
    </w:p>
    <w:p>
      <w:pPr>
        <w:widowControl w:val="0"/>
        <w:overflowPunct w:val="0"/>
        <w:autoSpaceDE w:val="0"/>
        <w:autoSpaceDN w:val="0"/>
        <w:snapToGrid/>
        <w:spacing w:after="0" w:line="400" w:lineRule="exact"/>
        <w:ind w:left="1" w:right="-59" w:rightChars="-27" w:firstLine="480"/>
        <w:jc w:val="both"/>
        <w:textAlignment w:val="baseline"/>
        <w:rPr>
          <w:b w:val="0"/>
          <w:bCs w:val="0"/>
        </w:rPr>
      </w:pPr>
      <w:r>
        <w:rPr>
          <w:rFonts w:hint="eastAsia" w:ascii="Times New Roman" w:hAnsi="Times New Roman" w:eastAsia="宋体" w:cs="Times New Roman"/>
          <w:b w:val="0"/>
          <w:bCs w:val="0"/>
          <w:sz w:val="24"/>
          <w:szCs w:val="20"/>
        </w:rPr>
        <w:t>4.撤户时“原银行账户情况”填写原账户内容，“现银行账户情况”空白，“变更、撤户说明”中填“撤户”。</w:t>
      </w:r>
    </w:p>
    <w:sectPr>
      <w:pgSz w:w="16838" w:h="11906" w:orient="landscape"/>
      <w:pgMar w:top="1440" w:right="1797" w:bottom="1440" w:left="1797" w:header="851" w:footer="992" w:gutter="0"/>
      <w:pgNumType w:fmt="numberInDash"/>
      <w:cols w:space="0" w:num="1"/>
      <w:docGrid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国标仿宋">
    <w:panose1 w:val="02000500000000000000"/>
    <w:charset w:val="86"/>
    <w:family w:val="auto"/>
    <w:pitch w:val="default"/>
    <w:sig w:usb0="A00002BF" w:usb1="38C77CFA" w:usb2="00000016" w:usb3="00000000" w:csb0="00060007" w:csb1="00000000"/>
  </w:font>
  <w:font w:name="华文行楷">
    <w:panose1 w:val="02010800040101010101"/>
    <w:charset w:val="86"/>
    <w:family w:val="auto"/>
    <w:pitch w:val="default"/>
    <w:sig w:usb0="00000001" w:usb1="080F0000" w:usb2="00000000" w:usb3="00000000" w:csb0="00040000" w:csb1="00000000"/>
  </w:font>
  <w:font w:name="思源黑体 Medium">
    <w:panose1 w:val="020B0500000000000000"/>
    <w:charset w:val="86"/>
    <w:family w:val="auto"/>
    <w:pitch w:val="default"/>
    <w:sig w:usb0="3000008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文泉驿等宽微米黑">
    <w:panose1 w:val="020B0606030804020204"/>
    <w:charset w:val="86"/>
    <w:family w:val="auto"/>
    <w:pitch w:val="default"/>
    <w:sig w:usb0="E10002EF" w:usb1="6BDFFCFB" w:usb2="00800036" w:usb3="00000000" w:csb0="603E019F" w:csb1="DFD70000"/>
  </w:font>
  <w:font w:name="方正隶书_GBK">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joinstyle="miter"/>
          <v:imagedata o:title=""/>
          <o:lock v:ext="edit"/>
          <v:textbox inset="0mm,0mm,0mm,0mm" style="mso-fit-shape-to-text:t;">
            <w:txbxContent>
              <w:p>
                <w:pPr>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E67D4"/>
    <w:rsid w:val="000040D2"/>
    <w:rsid w:val="00015508"/>
    <w:rsid w:val="00054465"/>
    <w:rsid w:val="000601F2"/>
    <w:rsid w:val="00062247"/>
    <w:rsid w:val="000A5765"/>
    <w:rsid w:val="00126249"/>
    <w:rsid w:val="00155FC8"/>
    <w:rsid w:val="001637B7"/>
    <w:rsid w:val="001B4674"/>
    <w:rsid w:val="001D322B"/>
    <w:rsid w:val="00206BBC"/>
    <w:rsid w:val="0021094A"/>
    <w:rsid w:val="00276C42"/>
    <w:rsid w:val="00280042"/>
    <w:rsid w:val="002C1DB6"/>
    <w:rsid w:val="002E2DF5"/>
    <w:rsid w:val="00317E46"/>
    <w:rsid w:val="00373C6E"/>
    <w:rsid w:val="0038384C"/>
    <w:rsid w:val="003A2E8F"/>
    <w:rsid w:val="003A439D"/>
    <w:rsid w:val="003B57DB"/>
    <w:rsid w:val="004206D3"/>
    <w:rsid w:val="00423E50"/>
    <w:rsid w:val="004B4D3C"/>
    <w:rsid w:val="004B51E2"/>
    <w:rsid w:val="004C5E1C"/>
    <w:rsid w:val="004F07DD"/>
    <w:rsid w:val="005259A0"/>
    <w:rsid w:val="00594AAA"/>
    <w:rsid w:val="00595D87"/>
    <w:rsid w:val="005F166E"/>
    <w:rsid w:val="00625D92"/>
    <w:rsid w:val="006645F9"/>
    <w:rsid w:val="006A48E7"/>
    <w:rsid w:val="00716EE0"/>
    <w:rsid w:val="00744EBD"/>
    <w:rsid w:val="0076012D"/>
    <w:rsid w:val="007B1391"/>
    <w:rsid w:val="008144AA"/>
    <w:rsid w:val="00835CDA"/>
    <w:rsid w:val="00871077"/>
    <w:rsid w:val="00874FC9"/>
    <w:rsid w:val="00877064"/>
    <w:rsid w:val="008F4D35"/>
    <w:rsid w:val="009442E1"/>
    <w:rsid w:val="00992CB8"/>
    <w:rsid w:val="009D2520"/>
    <w:rsid w:val="009E595D"/>
    <w:rsid w:val="009E67D4"/>
    <w:rsid w:val="009E74EF"/>
    <w:rsid w:val="009F06F5"/>
    <w:rsid w:val="009F0BE3"/>
    <w:rsid w:val="00A41965"/>
    <w:rsid w:val="00A42C61"/>
    <w:rsid w:val="00A75821"/>
    <w:rsid w:val="00A772FE"/>
    <w:rsid w:val="00A826A9"/>
    <w:rsid w:val="00A85915"/>
    <w:rsid w:val="00AA524F"/>
    <w:rsid w:val="00AB56CA"/>
    <w:rsid w:val="00B01087"/>
    <w:rsid w:val="00B27471"/>
    <w:rsid w:val="00B3169E"/>
    <w:rsid w:val="00B54A14"/>
    <w:rsid w:val="00B61382"/>
    <w:rsid w:val="00B7310A"/>
    <w:rsid w:val="00B849EA"/>
    <w:rsid w:val="00B92AE2"/>
    <w:rsid w:val="00BA247E"/>
    <w:rsid w:val="00BA2656"/>
    <w:rsid w:val="00BB1721"/>
    <w:rsid w:val="00BC3A9C"/>
    <w:rsid w:val="00BE54DF"/>
    <w:rsid w:val="00BE7B76"/>
    <w:rsid w:val="00BF75DF"/>
    <w:rsid w:val="00C55533"/>
    <w:rsid w:val="00C77842"/>
    <w:rsid w:val="00C871B9"/>
    <w:rsid w:val="00C9343C"/>
    <w:rsid w:val="00CA69E6"/>
    <w:rsid w:val="00CA7028"/>
    <w:rsid w:val="00CB4334"/>
    <w:rsid w:val="00CC4A55"/>
    <w:rsid w:val="00CD6E94"/>
    <w:rsid w:val="00CE6C85"/>
    <w:rsid w:val="00D0262C"/>
    <w:rsid w:val="00D06A05"/>
    <w:rsid w:val="00D15154"/>
    <w:rsid w:val="00D2245B"/>
    <w:rsid w:val="00DB5843"/>
    <w:rsid w:val="00DD6BA7"/>
    <w:rsid w:val="00E36464"/>
    <w:rsid w:val="00E65612"/>
    <w:rsid w:val="00EB7252"/>
    <w:rsid w:val="00ED1CAA"/>
    <w:rsid w:val="00EF1858"/>
    <w:rsid w:val="00F04620"/>
    <w:rsid w:val="00F153DA"/>
    <w:rsid w:val="00FC781A"/>
    <w:rsid w:val="00FE4AE8"/>
    <w:rsid w:val="00FF69E0"/>
    <w:rsid w:val="029A71B3"/>
    <w:rsid w:val="1D6FDA1E"/>
    <w:rsid w:val="1D7F3042"/>
    <w:rsid w:val="23B31505"/>
    <w:rsid w:val="2B645C27"/>
    <w:rsid w:val="2F3E7229"/>
    <w:rsid w:val="3BAF3F04"/>
    <w:rsid w:val="3DF0D166"/>
    <w:rsid w:val="4467490F"/>
    <w:rsid w:val="58220562"/>
    <w:rsid w:val="6B9E37D2"/>
    <w:rsid w:val="6FA15421"/>
    <w:rsid w:val="7AE33663"/>
    <w:rsid w:val="BFEF5860"/>
    <w:rsid w:val="CF753CD5"/>
    <w:rsid w:val="D7FFC76D"/>
    <w:rsid w:val="D8F7F411"/>
    <w:rsid w:val="DFFEF4B7"/>
    <w:rsid w:val="EFCF3408"/>
    <w:rsid w:val="FFCE5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annotation text"/>
    <w:basedOn w:val="1"/>
    <w:link w:val="15"/>
    <w:qFormat/>
    <w:uiPriority w:val="0"/>
  </w:style>
  <w:style w:type="paragraph" w:styleId="4">
    <w:name w:val="Balloon Text"/>
    <w:basedOn w:val="1"/>
    <w:link w:val="14"/>
    <w:qFormat/>
    <w:uiPriority w:val="0"/>
    <w:pPr>
      <w:spacing w:after="0"/>
    </w:pPr>
    <w:rPr>
      <w:sz w:val="18"/>
      <w:szCs w:val="18"/>
    </w:rPr>
  </w:style>
  <w:style w:type="paragraph" w:styleId="5">
    <w:name w:val="footer"/>
    <w:basedOn w:val="1"/>
    <w:qFormat/>
    <w:uiPriority w:val="0"/>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6">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6"/>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2">
    <w:name w:val="页眉 Char"/>
    <w:basedOn w:val="9"/>
    <w:link w:val="6"/>
    <w:qFormat/>
    <w:uiPriority w:val="0"/>
    <w:rPr>
      <w:rFonts w:ascii="Tahoma" w:hAnsi="Tahoma" w:eastAsia="微软雅黑"/>
      <w:sz w:val="18"/>
      <w:szCs w:val="18"/>
    </w:rPr>
  </w:style>
  <w:style w:type="character" w:customStyle="1" w:styleId="13">
    <w:name w:val="文档结构图 Char"/>
    <w:basedOn w:val="9"/>
    <w:link w:val="2"/>
    <w:qFormat/>
    <w:uiPriority w:val="0"/>
    <w:rPr>
      <w:rFonts w:ascii="宋体" w:hAnsi="Tahoma" w:eastAsia="宋体"/>
      <w:sz w:val="18"/>
      <w:szCs w:val="18"/>
    </w:rPr>
  </w:style>
  <w:style w:type="character" w:customStyle="1" w:styleId="14">
    <w:name w:val="批注框文本 Char"/>
    <w:basedOn w:val="9"/>
    <w:link w:val="4"/>
    <w:qFormat/>
    <w:uiPriority w:val="0"/>
    <w:rPr>
      <w:rFonts w:ascii="Tahoma" w:hAnsi="Tahoma" w:eastAsia="微软雅黑"/>
      <w:sz w:val="18"/>
      <w:szCs w:val="18"/>
    </w:rPr>
  </w:style>
  <w:style w:type="character" w:customStyle="1" w:styleId="15">
    <w:name w:val="批注文字 Char"/>
    <w:basedOn w:val="9"/>
    <w:link w:val="3"/>
    <w:qFormat/>
    <w:uiPriority w:val="0"/>
    <w:rPr>
      <w:rFonts w:ascii="Tahoma" w:hAnsi="Tahoma" w:eastAsia="微软雅黑"/>
      <w:sz w:val="22"/>
      <w:szCs w:val="22"/>
    </w:rPr>
  </w:style>
  <w:style w:type="character" w:customStyle="1" w:styleId="16">
    <w:name w:val="批注主题 Char"/>
    <w:basedOn w:val="15"/>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7CEFF-D268-4D43-BAC7-FF28FA3F2A19}">
  <ds:schemaRefs/>
</ds:datastoreItem>
</file>

<file path=docProps/app.xml><?xml version="1.0" encoding="utf-8"?>
<Properties xmlns="http://schemas.openxmlformats.org/officeDocument/2006/extended-properties" xmlns:vt="http://schemas.openxmlformats.org/officeDocument/2006/docPropsVTypes">
  <Template>Normal</Template>
  <Company>东阳</Company>
  <Pages>17</Pages>
  <Words>7192</Words>
  <Characters>7250</Characters>
  <Lines>58</Lines>
  <Paragraphs>16</Paragraphs>
  <TotalTime>1882</TotalTime>
  <ScaleCrop>false</ScaleCrop>
  <LinksUpToDate>false</LinksUpToDate>
  <CharactersWithSpaces>7609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dycz-zxt</cp:lastModifiedBy>
  <cp:lastPrinted>2021-06-02T23:10:00Z</cp:lastPrinted>
  <dcterms:modified xsi:type="dcterms:W3CDTF">2025-05-15T16:53:14Z</dcterms:modified>
  <dc:title>金华市市级预算单位银行账户管理</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D9890D2998304803B832DC903FD44789_13</vt:lpwstr>
  </property>
  <property fmtid="{D5CDD505-2E9C-101B-9397-08002B2CF9AE}" pid="4" name="KSOTemplateDocerSaveRecord">
    <vt:lpwstr>eyJoZGlkIjoiNWUyZTYzNzI3OTRhZjA3NzU4N2JiOGQ5ZDMwNzFkMzgiLCJ1c2VySWQiOiIxNjkzNTgwNzU2In0=</vt:lpwstr>
  </property>
</Properties>
</file>