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关于《东阳市横店镇深塘区块征收集体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所有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土地上房屋补偿安置方案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（征求意见稿）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 w:val="0"/>
          <w:bCs/>
          <w:sz w:val="21"/>
          <w:szCs w:val="2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起草说明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为加快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推进横店镇农房集聚区（三期）公共服务配套设施建设项目建设工作，需征收项目范围内集体土地上的房屋，结合我市实际，起草了《东阳市横店镇深塘区块征收集体所有土地上房屋补偿安置方案（征求意见稿）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一、起草依据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根据《中华人民共和国土地管理法》《中华人民共和国土地管理法实施条例》《浙江省土地管理条例》《浙江省土地征收程序规定》（浙自然资规〔2022〕4号）的规定，结合征收范围内被征收房屋实际情况，制定本方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二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spacing w:val="0"/>
          <w:w w:val="10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napToGrid w:val="0"/>
          <w:spacing w:val="0"/>
          <w:w w:val="100"/>
          <w:kern w:val="0"/>
          <w:sz w:val="32"/>
          <w:szCs w:val="32"/>
          <w:shd w:val="clear" w:color="auto" w:fill="auto"/>
          <w:lang w:bidi="ar"/>
        </w:rPr>
        <w:t>（一）征收范围</w:t>
      </w:r>
      <w:r>
        <w:rPr>
          <w:rFonts w:hint="default" w:ascii="Times New Roman" w:hAnsi="Times New Roman" w:eastAsia="楷体_GB2312" w:cs="Times New Roman"/>
          <w:snapToGrid w:val="0"/>
          <w:spacing w:val="0"/>
          <w:w w:val="100"/>
          <w:kern w:val="0"/>
          <w:sz w:val="32"/>
          <w:szCs w:val="32"/>
          <w:shd w:val="clear" w:color="auto" w:fill="auto"/>
          <w:lang w:val="en-US" w:eastAsia="zh-CN" w:bidi="ar"/>
        </w:rPr>
        <w:t>和基本情况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详见附件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: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东阳市横店镇2023-016、2023-022、2023-087、2023-088号地块征收勘测定界图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工作主体和实施主体：东阳市横店镇人民政府。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napToGrid w:val="0"/>
          <w:spacing w:val="0"/>
          <w:w w:val="10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snapToGrid w:val="0"/>
          <w:spacing w:val="0"/>
          <w:w w:val="100"/>
          <w:kern w:val="0"/>
          <w:sz w:val="32"/>
          <w:szCs w:val="32"/>
          <w:shd w:val="clear" w:color="auto" w:fill="auto"/>
          <w:lang w:val="en-US" w:eastAsia="zh-CN" w:bidi="ar"/>
        </w:rPr>
        <w:t>（二）被征收房屋和安置方式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1.被征收房屋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住宅房屋，包括征收范围内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城市主干道沿街房屋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和除沿街房屋外的其他垂直式住宅房屋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企事业单位、集体经济组织、工业企业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非住宅房屋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2.安置方式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分为宅基地安置、平面式房屋产权调换和房票安置，安置对象可以选择其中的一种方式进行安置，也可以选择组合安置。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宅基地安置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安置区块规划间为36㎡/间。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安置地块位于下莲塘小区，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宅基地安排方式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建房规则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等另行制定。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可以选择宅基地安置的安置对象（集体土地上房屋以“农村宅基地建房审批户”为单位）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可安置占地面积大于等于72㎡的安置对象。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安置对象的父母和子女，由双方申请，经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房屋征收补偿面积认定小组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组织相关部门审核同意后，可以合并一起安置，合并安置视同一个安置对象。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宅基地预评估价格为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13195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元/平方米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平面式房屋产权调换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安置房源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用于平面式产权调换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房屋位于横店镇农房集聚区(三期)范围内，土地性质为国有出让，建筑面积分为91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.57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㎡-100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.95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㎡（A户型）、111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.34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㎡-118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.73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㎡（B户型）、132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.75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㎡-138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.72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㎡（C户型）、148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.35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㎡-152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.40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㎡（D户型）、181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.49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㎡-182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.42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㎡（E户型）等5种户型，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具体户型的建筑面积以不动产权证登记为准。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平面式住宅安置房市场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评估价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  <w:highlight w:val="none"/>
        </w:rPr>
        <w:t>为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u w:val="single"/>
          <w:lang w:val="en-US" w:eastAsia="zh-CN"/>
        </w:rPr>
        <w:t xml:space="preserve">5500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元/平方米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平面式住宅安置房建设综合成本价2903元/平方米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安置房土地性质为国有出让性质，交房时需按选择的安置房分摊占地面积补缴出让金。出让金标准为住宅用地区片评估价504元/平方米。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选择平面式房屋产权调换时，可安置建筑面积不得少于71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安置房的选择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采用抽签方式进行选房，具体操作办法另行制定。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安置对象可以根据户型自由组合，选择后仍有剩余的可安置建筑面积且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少于71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㎡，剩余部分按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房票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安置方式结算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Style w:val="12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选择平面式房屋产权调换的，每个安置对象在选购车位时可以按照一个标准车位市场评估价的50%给予奖补。标准车位的价格在选房办法中明确。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2"/>
          <w:szCs w:val="32"/>
          <w:lang w:val="en-US" w:eastAsia="zh-CN"/>
        </w:rPr>
        <w:t>（三）被征收房屋的奖励补助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房票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安置</w:t>
      </w:r>
      <w:r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>、搬迁费、临时安置费、停产停业损失、房屋评估奖、签约奖、腾空奖、100%签约腾空奖等奖励、补助标准及“户”的认定按《东阳市2025年房屋征收奖励、补助标准和其他事项》（东建局〔2025〕19号）执行</w:t>
      </w:r>
      <w:r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沿街房屋底层街面房部分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的停业停产损失，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按实际用于商业和生产经营部分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底层街面房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市场评估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价值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的5％给予一次性补偿。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被征收房屋的合法庭院（集体土地）按600元/㎡的标准给予一次性经济补偿。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2"/>
          <w:szCs w:val="32"/>
          <w:lang w:val="en-US" w:eastAsia="zh-CN"/>
        </w:rPr>
        <w:t>（四）其他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b/>
          <w:sz w:val="24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本方案未提及的事项按国家、省和《东阳市征收集体所有土地上房屋补偿实施意见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2025年修订版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》等有关法规规定执行，或者会同相关部门根据依法依规、科学合理的原则另行确定。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          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D3945"/>
    <w:rsid w:val="0C93031D"/>
    <w:rsid w:val="0CC23A70"/>
    <w:rsid w:val="0DD56305"/>
    <w:rsid w:val="179B4F9A"/>
    <w:rsid w:val="4313416E"/>
    <w:rsid w:val="435D3945"/>
    <w:rsid w:val="4D322738"/>
    <w:rsid w:val="6313717D"/>
    <w:rsid w:val="6AF41D53"/>
    <w:rsid w:val="7E0D3463"/>
    <w:rsid w:val="FEFE9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/>
      <w:kern w:val="0"/>
    </w:rPr>
  </w:style>
  <w:style w:type="paragraph" w:styleId="3">
    <w:name w:val="Body Text First Indent"/>
    <w:basedOn w:val="2"/>
    <w:next w:val="2"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paragraph" w:styleId="4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hint="eastAsia" w:ascii="等线" w:hAnsi="等线" w:eastAsia="等线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qFormat/>
    <w:uiPriority w:val="0"/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1401</Words>
  <Characters>1523</Characters>
  <Lines>0</Lines>
  <Paragraphs>0</Paragraphs>
  <TotalTime>29</TotalTime>
  <ScaleCrop>false</ScaleCrop>
  <LinksUpToDate>false</LinksUpToDate>
  <CharactersWithSpaces>1543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2025-04-14T15:09:00Z</dcterms:created>
  <dc:creator>S</dc:creator>
  <cp:lastModifiedBy>admin</cp:lastModifiedBy>
  <cp:lastPrinted>2025-07-09T13:05:00Z</cp:lastPrinted>
  <dcterms:modified xsi:type="dcterms:W3CDTF">2025-07-15T15:08:12Z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1710681CD7294817B7E9E76C82B1B20B_11</vt:lpwstr>
  </property>
  <property fmtid="{D5CDD505-2E9C-101B-9397-08002B2CF9AE}" pid="4" name="KSOTemplateDocerSaveRecord">
    <vt:lpwstr>eyJoZGlkIjoiY2JkYTI0N2EyYzYzMTdhYmNhYTRmZjY3NGFkZjc1ZmEiLCJ1c2VySWQiOiI5NDM0OTUwIn0=</vt:lpwstr>
  </property>
</Properties>
</file>