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hAnsi="仿宋" w:eastAsia="方正小标宋简体"/>
          <w:sz w:val="44"/>
        </w:rPr>
      </w:pPr>
      <w:r>
        <w:rPr>
          <w:rFonts w:hint="eastAsia" w:ascii="方正小标宋简体" w:hAnsi="仿宋" w:eastAsia="方正小标宋简体"/>
          <w:sz w:val="44"/>
          <w:lang w:eastAsia="zh-CN"/>
        </w:rPr>
        <w:t>临海市</w:t>
      </w:r>
      <w:r>
        <w:rPr>
          <w:rFonts w:hint="eastAsia" w:ascii="方正小标宋简体" w:hAnsi="仿宋" w:eastAsia="方正小标宋简体"/>
          <w:sz w:val="44"/>
        </w:rPr>
        <w:t>特殊膳食食品运动营养</w:t>
      </w:r>
    </w:p>
    <w:p>
      <w:pPr>
        <w:spacing w:line="590" w:lineRule="exact"/>
        <w:jc w:val="center"/>
        <w:rPr>
          <w:rFonts w:hint="default" w:ascii="方正小标宋简体" w:hAnsi="仿宋" w:eastAsia="方正小标宋简体"/>
          <w:sz w:val="44"/>
          <w:lang w:val="en-US" w:eastAsia="zh-CN"/>
        </w:rPr>
      </w:pPr>
      <w:r>
        <w:rPr>
          <w:rFonts w:hint="eastAsia" w:ascii="方正小标宋简体" w:hAnsi="仿宋" w:eastAsia="方正小标宋简体"/>
          <w:sz w:val="44"/>
        </w:rPr>
        <w:t>补充品生产许可审查方案</w:t>
      </w:r>
      <w:r>
        <w:rPr>
          <w:rFonts w:hint="eastAsia" w:ascii="方正小标宋简体" w:hAnsi="仿宋" w:eastAsia="方正小标宋简体"/>
          <w:sz w:val="44"/>
          <w:lang w:eastAsia="zh-CN"/>
        </w:rPr>
        <w:t>（</w:t>
      </w:r>
      <w:r>
        <w:rPr>
          <w:rFonts w:hint="eastAsia" w:ascii="方正小标宋简体" w:hAnsi="仿宋" w:eastAsia="方正小标宋简体"/>
          <w:sz w:val="44"/>
          <w:lang w:val="en-US" w:eastAsia="zh-CN"/>
        </w:rPr>
        <w:t>征求意见稿）</w:t>
      </w:r>
    </w:p>
    <w:p>
      <w:pPr>
        <w:pStyle w:val="2"/>
        <w:rPr>
          <w:rFonts w:hint="eastAsia"/>
        </w:rPr>
      </w:pP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sz w:val="36"/>
          <w:szCs w:val="36"/>
        </w:rPr>
      </w:pPr>
      <w:r>
        <w:rPr>
          <w:rFonts w:hint="eastAsia" w:ascii="方正小标宋简体" w:hAnsi="宋体" w:eastAsia="方正小标宋简体"/>
          <w:sz w:val="36"/>
          <w:szCs w:val="36"/>
        </w:rPr>
        <w:t>第一章　总　则</w:t>
      </w:r>
    </w:p>
    <w:p>
      <w:pPr>
        <w:tabs>
          <w:tab w:val="left" w:pos="790"/>
          <w:tab w:val="left" w:pos="1264"/>
        </w:tabs>
        <w:overflowPunct w:val="0"/>
        <w:adjustRightInd w:val="0"/>
        <w:snapToGrid w:val="0"/>
        <w:spacing w:line="560" w:lineRule="exact"/>
        <w:ind w:firstLine="624"/>
        <w:rPr>
          <w:rFonts w:hAnsi="宋体"/>
          <w:szCs w:val="30"/>
          <w:highlight w:val="none"/>
        </w:rPr>
      </w:pPr>
      <w:r>
        <w:rPr>
          <w:rFonts w:hint="eastAsia" w:ascii="黑体" w:hAnsi="黑体" w:eastAsia="黑体" w:cs="黑体"/>
          <w:szCs w:val="30"/>
        </w:rPr>
        <w:t>第一条</w:t>
      </w:r>
      <w:r>
        <w:rPr>
          <w:rFonts w:hint="eastAsia" w:hAnsi="宋体"/>
          <w:szCs w:val="30"/>
        </w:rPr>
        <w:t>　</w:t>
      </w:r>
      <w:r>
        <w:rPr>
          <w:rFonts w:hint="eastAsia" w:hAnsi="宋体"/>
          <w:szCs w:val="30"/>
          <w:highlight w:val="none"/>
        </w:rPr>
        <w:t>为做好</w:t>
      </w:r>
      <w:r>
        <w:rPr>
          <w:rFonts w:hint="eastAsia" w:hAnsi="宋体"/>
          <w:szCs w:val="30"/>
          <w:highlight w:val="none"/>
          <w:lang w:val="en-US" w:eastAsia="zh-CN"/>
        </w:rPr>
        <w:t>临海市</w:t>
      </w:r>
      <w:r>
        <w:rPr>
          <w:rFonts w:hint="eastAsia" w:hAnsi="宋体"/>
          <w:szCs w:val="30"/>
          <w:highlight w:val="none"/>
        </w:rPr>
        <w:t>运动营养补充品生产许可审查工作，依据《中华人民共和国食品安全法》《中华人民共和国食品安全法实施条例》《食品生产许可管理办法》及相关食品安全国家标准等规定，制定本方案。</w:t>
      </w:r>
    </w:p>
    <w:p>
      <w:pPr>
        <w:tabs>
          <w:tab w:val="left" w:pos="790"/>
          <w:tab w:val="left" w:pos="1264"/>
        </w:tabs>
        <w:overflowPunct w:val="0"/>
        <w:adjustRightInd w:val="0"/>
        <w:snapToGrid w:val="0"/>
        <w:spacing w:line="560" w:lineRule="exact"/>
        <w:ind w:firstLine="624"/>
        <w:rPr>
          <w:rFonts w:hint="eastAsia" w:hAnsi="宋体"/>
          <w:szCs w:val="30"/>
          <w:highlight w:val="none"/>
        </w:rPr>
      </w:pPr>
      <w:r>
        <w:rPr>
          <w:rFonts w:hint="eastAsia" w:ascii="黑体" w:hAnsi="黑体" w:eastAsia="黑体" w:cs="黑体"/>
          <w:szCs w:val="30"/>
          <w:highlight w:val="none"/>
        </w:rPr>
        <w:t>第二条</w:t>
      </w:r>
      <w:r>
        <w:rPr>
          <w:rFonts w:hint="eastAsia" w:hAnsi="宋体"/>
          <w:szCs w:val="30"/>
          <w:highlight w:val="none"/>
        </w:rPr>
        <w:t>　本方案适用于</w:t>
      </w:r>
      <w:r>
        <w:rPr>
          <w:rFonts w:hint="eastAsia" w:hAnsi="宋体"/>
          <w:szCs w:val="30"/>
          <w:highlight w:val="none"/>
          <w:lang w:eastAsia="zh-CN"/>
        </w:rPr>
        <w:t>临海市</w:t>
      </w:r>
      <w:r>
        <w:rPr>
          <w:rFonts w:hint="eastAsia" w:hAnsi="宋体"/>
          <w:szCs w:val="30"/>
          <w:highlight w:val="none"/>
        </w:rPr>
        <w:t>运动营养补充品生产许可审查工作，应当结合《食品生产许可审查通则》使用。</w:t>
      </w:r>
    </w:p>
    <w:p>
      <w:pPr>
        <w:spacing w:line="560" w:lineRule="exact"/>
        <w:ind w:firstLine="640" w:firstLineChars="200"/>
        <w:rPr>
          <w:rFonts w:hint="eastAsia" w:ascii="仿宋" w:hAnsi="仿宋"/>
          <w:highlight w:val="none"/>
        </w:rPr>
      </w:pPr>
      <w:r>
        <w:rPr>
          <w:rFonts w:hint="eastAsia" w:ascii="黑体" w:hAnsi="黑体" w:eastAsia="黑体" w:cs="黑体"/>
          <w:szCs w:val="30"/>
          <w:highlight w:val="none"/>
        </w:rPr>
        <w:t>第三条</w:t>
      </w:r>
      <w:r>
        <w:rPr>
          <w:rFonts w:hint="eastAsia" w:hAnsi="宋体"/>
          <w:szCs w:val="30"/>
          <w:highlight w:val="none"/>
        </w:rPr>
        <w:t>　</w:t>
      </w:r>
      <w:r>
        <w:rPr>
          <w:rFonts w:hint="eastAsia" w:ascii="仿宋" w:hAnsi="仿宋"/>
          <w:highlight w:val="none"/>
        </w:rPr>
        <w:t>本方案中所称“运动营养补充品”执行《食品安全国家标准 运动营养食品通则》（</w:t>
      </w:r>
      <w:r>
        <w:rPr>
          <w:rFonts w:ascii="仿宋" w:hAnsi="仿宋"/>
          <w:highlight w:val="none"/>
        </w:rPr>
        <w:t>GB 24154</w:t>
      </w:r>
      <w:r>
        <w:rPr>
          <w:rFonts w:hint="eastAsia" w:ascii="仿宋" w:hAnsi="仿宋"/>
          <w:highlight w:val="none"/>
        </w:rPr>
        <w:t>）运动营养食品</w:t>
      </w:r>
      <w:r>
        <w:rPr>
          <w:rFonts w:hint="eastAsia" w:ascii="仿宋" w:hAnsi="仿宋"/>
          <w:highlight w:val="none"/>
          <w:lang w:val="en-US" w:eastAsia="zh-CN"/>
        </w:rPr>
        <w:t>的定义</w:t>
      </w:r>
      <w:r>
        <w:rPr>
          <w:rFonts w:hint="eastAsia" w:ascii="仿宋" w:hAnsi="仿宋"/>
          <w:highlight w:val="none"/>
          <w:lang w:eastAsia="zh-CN"/>
        </w:rPr>
        <w:t>，</w:t>
      </w:r>
      <w:r>
        <w:rPr>
          <w:rFonts w:hint="eastAsia" w:ascii="仿宋" w:hAnsi="仿宋"/>
          <w:highlight w:val="none"/>
          <w:lang w:val="en-US" w:eastAsia="zh-CN"/>
        </w:rPr>
        <w:t>指的是</w:t>
      </w:r>
      <w:r>
        <w:rPr>
          <w:rFonts w:hint="eastAsia" w:ascii="仿宋" w:hAnsi="仿宋"/>
          <w:highlight w:val="none"/>
        </w:rPr>
        <w:t>为满足运动人群（指每周参加体育锻炼</w:t>
      </w:r>
      <w:r>
        <w:rPr>
          <w:rFonts w:ascii="仿宋" w:hAnsi="仿宋"/>
          <w:highlight w:val="none"/>
        </w:rPr>
        <w:t>3</w:t>
      </w:r>
      <w:r>
        <w:rPr>
          <w:rFonts w:hint="eastAsia" w:ascii="仿宋" w:hAnsi="仿宋"/>
          <w:highlight w:val="none"/>
        </w:rPr>
        <w:t>次及以上、每次持续时间</w:t>
      </w:r>
      <w:r>
        <w:rPr>
          <w:rFonts w:ascii="仿宋" w:hAnsi="仿宋"/>
          <w:highlight w:val="none"/>
        </w:rPr>
        <w:t>30min</w:t>
      </w:r>
      <w:r>
        <w:rPr>
          <w:rFonts w:hint="eastAsia" w:ascii="仿宋" w:hAnsi="仿宋"/>
          <w:highlight w:val="none"/>
        </w:rPr>
        <w:t>及以上、每次运动强度达到中等及以上的人群）的生理代谢状态、运动能力及对某些营养成分的特殊需求而专门加工的食品。</w:t>
      </w:r>
    </w:p>
    <w:p>
      <w:pPr>
        <w:spacing w:line="560" w:lineRule="exact"/>
        <w:ind w:firstLine="640" w:firstLineChars="200"/>
        <w:rPr>
          <w:rFonts w:hint="eastAsia" w:ascii="仿宋" w:hAnsi="仿宋"/>
          <w:i w:val="0"/>
          <w:iCs w:val="0"/>
          <w:color w:val="auto"/>
          <w:sz w:val="32"/>
          <w:szCs w:val="32"/>
          <w:highlight w:val="none"/>
          <w:lang w:val="en-US" w:eastAsia="zh-CN"/>
        </w:rPr>
      </w:pPr>
      <w:r>
        <w:rPr>
          <w:rFonts w:hint="eastAsia" w:ascii="仿宋" w:hAnsi="仿宋"/>
          <w:i w:val="0"/>
          <w:iCs w:val="0"/>
          <w:color w:val="auto"/>
          <w:sz w:val="32"/>
          <w:szCs w:val="32"/>
          <w:highlight w:val="none"/>
        </w:rPr>
        <w:t>运动营养补充品</w:t>
      </w:r>
      <w:r>
        <w:rPr>
          <w:rFonts w:hint="eastAsia" w:ascii="仿宋" w:hAnsi="仿宋"/>
          <w:i w:val="0"/>
          <w:iCs w:val="0"/>
          <w:color w:val="auto"/>
          <w:sz w:val="32"/>
          <w:szCs w:val="32"/>
          <w:highlight w:val="none"/>
          <w:lang w:eastAsia="zh-CN"/>
        </w:rPr>
        <w:t>的</w:t>
      </w:r>
      <w:r>
        <w:rPr>
          <w:rFonts w:hint="eastAsia" w:ascii="仿宋" w:hAnsi="仿宋"/>
          <w:i w:val="0"/>
          <w:iCs w:val="0"/>
          <w:color w:val="auto"/>
          <w:sz w:val="32"/>
          <w:szCs w:val="32"/>
          <w:highlight w:val="none"/>
        </w:rPr>
        <w:t>申证类别为特殊膳食食品，</w:t>
      </w:r>
      <w:r>
        <w:rPr>
          <w:rFonts w:hint="eastAsia" w:ascii="仿宋" w:hAnsi="仿宋"/>
          <w:i w:val="0"/>
          <w:iCs w:val="0"/>
          <w:color w:val="auto"/>
          <w:sz w:val="32"/>
          <w:szCs w:val="32"/>
          <w:highlight w:val="none"/>
          <w:lang w:eastAsia="zh-CN"/>
        </w:rPr>
        <w:t>生产许可类别、类别编号、类别名称、品种明细及执行标准等见表</w:t>
      </w:r>
      <w:r>
        <w:rPr>
          <w:rFonts w:hint="eastAsia" w:ascii="仿宋" w:hAnsi="仿宋"/>
          <w:i w:val="0"/>
          <w:iCs w:val="0"/>
          <w:color w:val="auto"/>
          <w:sz w:val="32"/>
          <w:szCs w:val="32"/>
          <w:highlight w:val="none"/>
          <w:lang w:val="en-US" w:eastAsia="zh-CN"/>
        </w:rPr>
        <w:t>1。</w:t>
      </w:r>
    </w:p>
    <w:p>
      <w:pPr>
        <w:pStyle w:val="2"/>
        <w:ind w:firstLine="1400" w:firstLineChars="500"/>
        <w:rPr>
          <w:rFonts w:hint="default"/>
          <w:color w:val="auto"/>
          <w:highlight w:val="none"/>
          <w:lang w:val="en-US" w:eastAsia="zh-CN"/>
        </w:rPr>
      </w:pPr>
      <w:r>
        <w:rPr>
          <w:rFonts w:hint="eastAsia" w:ascii="仿宋" w:hAnsi="仿宋"/>
          <w:i w:val="0"/>
          <w:iCs w:val="0"/>
          <w:color w:val="auto"/>
          <w:sz w:val="28"/>
          <w:szCs w:val="28"/>
          <w:highlight w:val="none"/>
          <w:lang w:val="en-US" w:eastAsia="zh-CN"/>
        </w:rPr>
        <w:t>表1 运动营养补充品生产许了可类别目录列表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619"/>
        <w:gridCol w:w="963"/>
        <w:gridCol w:w="3721"/>
        <w:gridCol w:w="1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blHeader/>
          <w:jc w:val="center"/>
        </w:trPr>
        <w:tc>
          <w:tcPr>
            <w:tcW w:w="125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jc w:val="center"/>
              <w:rPr>
                <w:rFonts w:hint="eastAsia" w:ascii="黑体" w:hAnsi="黑体" w:eastAsia="黑体" w:cs="黑体"/>
                <w:b/>
                <w:bCs w:val="0"/>
                <w:sz w:val="21"/>
                <w:szCs w:val="21"/>
                <w:highlight w:val="none"/>
              </w:rPr>
            </w:pPr>
            <w:r>
              <w:rPr>
                <w:rFonts w:hint="eastAsia" w:ascii="黑体" w:hAnsi="黑体" w:eastAsia="黑体" w:cs="黑体"/>
                <w:b/>
                <w:bCs w:val="0"/>
                <w:sz w:val="21"/>
                <w:szCs w:val="21"/>
                <w:highlight w:val="none"/>
              </w:rPr>
              <w:t>申证类别</w:t>
            </w:r>
          </w:p>
        </w:tc>
        <w:tc>
          <w:tcPr>
            <w:tcW w:w="6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jc w:val="center"/>
              <w:rPr>
                <w:rFonts w:hint="eastAsia" w:ascii="黑体" w:hAnsi="黑体" w:eastAsia="黑体" w:cs="黑体"/>
                <w:b/>
                <w:bCs w:val="0"/>
                <w:sz w:val="21"/>
                <w:szCs w:val="21"/>
                <w:highlight w:val="none"/>
              </w:rPr>
            </w:pPr>
            <w:r>
              <w:rPr>
                <w:rFonts w:hint="eastAsia" w:ascii="黑体" w:hAnsi="黑体" w:eastAsia="黑体" w:cs="黑体"/>
                <w:b/>
                <w:bCs w:val="0"/>
                <w:sz w:val="21"/>
                <w:szCs w:val="21"/>
                <w:highlight w:val="none"/>
              </w:rPr>
              <w:t>类别编号</w:t>
            </w:r>
          </w:p>
        </w:tc>
        <w:tc>
          <w:tcPr>
            <w:tcW w:w="963"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jc w:val="center"/>
              <w:rPr>
                <w:rFonts w:hint="eastAsia" w:ascii="黑体" w:hAnsi="黑体" w:eastAsia="黑体" w:cs="黑体"/>
                <w:b/>
                <w:bCs w:val="0"/>
                <w:sz w:val="21"/>
                <w:szCs w:val="21"/>
                <w:highlight w:val="none"/>
              </w:rPr>
            </w:pPr>
            <w:r>
              <w:rPr>
                <w:rFonts w:hint="eastAsia" w:ascii="黑体" w:hAnsi="黑体" w:eastAsia="黑体" w:cs="黑体"/>
                <w:b/>
                <w:bCs w:val="0"/>
                <w:sz w:val="21"/>
                <w:szCs w:val="21"/>
                <w:highlight w:val="none"/>
              </w:rPr>
              <w:t>类别</w:t>
            </w:r>
          </w:p>
          <w:p>
            <w:pPr>
              <w:spacing w:line="320" w:lineRule="exact"/>
              <w:ind w:left="64" w:leftChars="20" w:right="64" w:rightChars="20"/>
              <w:jc w:val="center"/>
              <w:rPr>
                <w:rFonts w:hint="eastAsia" w:ascii="黑体" w:hAnsi="黑体" w:eastAsia="黑体" w:cs="黑体"/>
                <w:b/>
                <w:bCs w:val="0"/>
                <w:sz w:val="21"/>
                <w:szCs w:val="21"/>
                <w:highlight w:val="none"/>
              </w:rPr>
            </w:pPr>
            <w:r>
              <w:rPr>
                <w:rFonts w:hint="eastAsia" w:ascii="黑体" w:hAnsi="黑体" w:eastAsia="黑体" w:cs="黑体"/>
                <w:b/>
                <w:bCs w:val="0"/>
                <w:sz w:val="21"/>
                <w:szCs w:val="21"/>
                <w:highlight w:val="none"/>
              </w:rPr>
              <w:t>名称</w:t>
            </w:r>
          </w:p>
        </w:tc>
        <w:tc>
          <w:tcPr>
            <w:tcW w:w="372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jc w:val="center"/>
              <w:rPr>
                <w:rFonts w:hint="eastAsia" w:ascii="黑体" w:hAnsi="黑体" w:eastAsia="黑体" w:cs="黑体"/>
                <w:b/>
                <w:bCs w:val="0"/>
                <w:sz w:val="21"/>
                <w:szCs w:val="21"/>
                <w:highlight w:val="none"/>
              </w:rPr>
            </w:pPr>
            <w:r>
              <w:rPr>
                <w:rFonts w:hint="eastAsia" w:ascii="黑体" w:hAnsi="黑体" w:eastAsia="黑体" w:cs="黑体"/>
                <w:b/>
                <w:bCs w:val="0"/>
                <w:sz w:val="21"/>
                <w:szCs w:val="21"/>
                <w:highlight w:val="none"/>
              </w:rPr>
              <w:t>品种明细</w:t>
            </w:r>
          </w:p>
        </w:tc>
        <w:tc>
          <w:tcPr>
            <w:tcW w:w="16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jc w:val="center"/>
              <w:rPr>
                <w:rFonts w:hint="eastAsia" w:ascii="黑体" w:hAnsi="黑体" w:eastAsia="黑体" w:cs="黑体"/>
                <w:b/>
                <w:bCs w:val="0"/>
                <w:sz w:val="21"/>
                <w:szCs w:val="21"/>
                <w:highlight w:val="none"/>
              </w:rPr>
            </w:pPr>
            <w:r>
              <w:rPr>
                <w:rFonts w:hint="eastAsia" w:ascii="黑体" w:hAnsi="黑体" w:eastAsia="黑体" w:cs="黑体"/>
                <w:b/>
                <w:bCs w:val="0"/>
                <w:sz w:val="21"/>
                <w:szCs w:val="21"/>
                <w:highlight w:val="none"/>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1" w:hRule="atLeast"/>
          <w:jc w:val="center"/>
        </w:trPr>
        <w:tc>
          <w:tcPr>
            <w:tcW w:w="1256"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特殊膳食食品</w:t>
            </w:r>
          </w:p>
        </w:tc>
        <w:tc>
          <w:tcPr>
            <w:tcW w:w="6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3003</w:t>
            </w:r>
          </w:p>
        </w:tc>
        <w:tc>
          <w:tcPr>
            <w:tcW w:w="963"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其他特殊膳食食品</w:t>
            </w:r>
          </w:p>
        </w:tc>
        <w:tc>
          <w:tcPr>
            <w:tcW w:w="3721"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其他特殊膳食食品：</w:t>
            </w:r>
            <w:r>
              <w:rPr>
                <w:rFonts w:hint="eastAsia" w:ascii="仿宋" w:hAnsi="仿宋" w:eastAsia="仿宋" w:cs="仿宋"/>
                <w:color w:val="auto"/>
                <w:sz w:val="21"/>
                <w:szCs w:val="21"/>
                <w:highlight w:val="none"/>
              </w:rPr>
              <w:t>运动营养</w:t>
            </w:r>
            <w:r>
              <w:rPr>
                <w:rFonts w:hint="eastAsia" w:ascii="仿宋" w:hAnsi="仿宋" w:eastAsia="仿宋" w:cs="仿宋"/>
                <w:color w:val="auto"/>
                <w:sz w:val="21"/>
                <w:szCs w:val="21"/>
                <w:highlight w:val="none"/>
                <w:lang w:eastAsia="zh-CN"/>
              </w:rPr>
              <w:t>补充品</w:t>
            </w:r>
            <w:r>
              <w:rPr>
                <w:rFonts w:hint="eastAsia" w:ascii="仿宋" w:hAnsi="仿宋" w:eastAsia="仿宋" w:cs="仿宋"/>
                <w:color w:val="auto"/>
                <w:sz w:val="21"/>
                <w:szCs w:val="21"/>
                <w:highlight w:val="none"/>
              </w:rPr>
              <w:t>〔补充能量类（具体产品名称）、控制能量类（具体产品名称）、补充蛋白质类（具体产品名称）、速度力量类（具体产品名称）、耐力类（具体产品名称）、运动后恢复类（具体产品名称）〕</w:t>
            </w:r>
          </w:p>
        </w:tc>
        <w:tc>
          <w:tcPr>
            <w:tcW w:w="16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spacing w:line="320" w:lineRule="exact"/>
              <w:ind w:left="64" w:leftChars="20" w:right="64" w:rightChars="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《食品安全国家标准</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运动营养食品通则》（GB 24154）</w:t>
            </w:r>
          </w:p>
        </w:tc>
      </w:tr>
    </w:tbl>
    <w:p>
      <w:pPr>
        <w:spacing w:line="560" w:lineRule="exact"/>
        <w:ind w:firstLine="640" w:firstLineChars="200"/>
        <w:rPr>
          <w:rFonts w:hint="default" w:ascii="仿宋" w:hAnsi="仿宋" w:eastAsia="仿宋"/>
          <w:color w:val="auto"/>
          <w:highlight w:val="none"/>
          <w:lang w:val="en-US" w:eastAsia="zh-CN"/>
        </w:rPr>
      </w:pPr>
      <w:r>
        <w:rPr>
          <w:rFonts w:hint="eastAsia" w:ascii="黑体" w:hAnsi="黑体" w:eastAsia="黑体" w:cs="黑体"/>
          <w:szCs w:val="30"/>
          <w:highlight w:val="none"/>
        </w:rPr>
        <w:t>第四条</w:t>
      </w:r>
      <w:r>
        <w:rPr>
          <w:rFonts w:hint="eastAsia" w:hAnsi="宋体"/>
          <w:szCs w:val="30"/>
          <w:highlight w:val="none"/>
        </w:rPr>
        <w:t>　</w:t>
      </w:r>
      <w:r>
        <w:rPr>
          <w:rFonts w:hint="eastAsia" w:ascii="仿宋" w:hAnsi="仿宋"/>
          <w:highlight w:val="none"/>
        </w:rPr>
        <w:t>不得以分装方式生产运动营养补充品，生产运动营养补充品大包装产品且不生产最终销售包装产品的不予生产许可；仅有包装场地、工序、设备，没有完整的生产条件，不予生产许可</w:t>
      </w:r>
      <w:r>
        <w:rPr>
          <w:rFonts w:hint="eastAsia" w:ascii="仿宋" w:hAnsi="仿宋"/>
          <w:color w:val="auto"/>
          <w:highlight w:val="none"/>
        </w:rPr>
        <w:t>。</w:t>
      </w:r>
      <w:r>
        <w:rPr>
          <w:rFonts w:hint="eastAsia" w:ascii="仿宋" w:hAnsi="仿宋"/>
          <w:color w:val="auto"/>
          <w:highlight w:val="none"/>
          <w:lang w:val="en-US" w:eastAsia="zh-CN"/>
        </w:rPr>
        <w:t>运动营养补充品中食品添加剂的使用可参考《食品安全国家标准食品添加剂使用标准》（GB 2760）中相同或相近食品类别中允许使用的添加剂种类和使用量。</w:t>
      </w:r>
    </w:p>
    <w:p>
      <w:pPr>
        <w:spacing w:line="560" w:lineRule="exact"/>
        <w:ind w:firstLine="640" w:firstLineChars="200"/>
        <w:rPr>
          <w:rFonts w:ascii="仿宋" w:hAnsi="仿宋"/>
          <w:highlight w:val="none"/>
        </w:rPr>
      </w:pPr>
      <w:r>
        <w:rPr>
          <w:rFonts w:hint="eastAsia" w:ascii="黑体" w:hAnsi="黑体" w:eastAsia="黑体" w:cs="黑体"/>
          <w:szCs w:val="30"/>
          <w:highlight w:val="none"/>
        </w:rPr>
        <w:t>第五条</w:t>
      </w:r>
      <w:r>
        <w:rPr>
          <w:rFonts w:hint="eastAsia" w:hAnsi="宋体"/>
          <w:szCs w:val="30"/>
          <w:highlight w:val="none"/>
        </w:rPr>
        <w:t>　</w:t>
      </w:r>
      <w:r>
        <w:rPr>
          <w:rFonts w:hint="eastAsia" w:ascii="仿宋" w:hAnsi="仿宋"/>
          <w:highlight w:val="none"/>
        </w:rPr>
        <w:t>本方案中引用的文件、标准通过引用成为本方案的内容。凡是引用文件、标准，其最新版本（包括所有的修改单）适用于本方案。</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cs="Times New Roman"/>
          <w:sz w:val="36"/>
          <w:szCs w:val="36"/>
          <w:highlight w:val="none"/>
        </w:rPr>
      </w:pPr>
      <w:r>
        <w:rPr>
          <w:rFonts w:hint="eastAsia" w:ascii="方正小标宋简体" w:hAnsi="宋体" w:eastAsia="方正小标宋简体" w:cs="Times New Roman"/>
          <w:sz w:val="36"/>
          <w:szCs w:val="36"/>
          <w:highlight w:val="none"/>
        </w:rPr>
        <w:t>第二章　生产场所</w:t>
      </w:r>
    </w:p>
    <w:p>
      <w:pPr>
        <w:tabs>
          <w:tab w:val="left" w:pos="790"/>
          <w:tab w:val="left" w:pos="1264"/>
        </w:tabs>
        <w:overflowPunct w:val="0"/>
        <w:adjustRightInd w:val="0"/>
        <w:snapToGrid w:val="0"/>
        <w:spacing w:line="560" w:lineRule="exact"/>
        <w:ind w:firstLine="624"/>
        <w:rPr>
          <w:rFonts w:hint="eastAsia" w:hAnsi="宋体"/>
          <w:szCs w:val="30"/>
          <w:highlight w:val="none"/>
        </w:rPr>
      </w:pPr>
      <w:r>
        <w:rPr>
          <w:rFonts w:hint="eastAsia" w:ascii="黑体" w:hAnsi="黑体" w:eastAsia="黑体" w:cs="黑体"/>
          <w:szCs w:val="30"/>
          <w:highlight w:val="none"/>
        </w:rPr>
        <w:t>第六条</w:t>
      </w:r>
      <w:r>
        <w:rPr>
          <w:rFonts w:hint="eastAsia" w:hAnsi="宋体"/>
          <w:szCs w:val="30"/>
          <w:highlight w:val="none"/>
        </w:rPr>
        <w:t>　</w:t>
      </w:r>
      <w:r>
        <w:rPr>
          <w:rFonts w:hint="eastAsia" w:hAnsi="宋体"/>
          <w:color w:val="auto"/>
          <w:szCs w:val="30"/>
          <w:highlight w:val="none"/>
        </w:rPr>
        <w:t>选址</w:t>
      </w:r>
      <w:r>
        <w:rPr>
          <w:rFonts w:hint="eastAsia" w:ascii="Times New Roman" w:hAnsi="宋体" w:eastAsia="仿宋" w:cs="Times New Roman"/>
          <w:color w:val="auto"/>
          <w:kern w:val="2"/>
          <w:sz w:val="32"/>
          <w:szCs w:val="30"/>
          <w:highlight w:val="none"/>
          <w:lang w:bidi="ar"/>
        </w:rPr>
        <w:t>及厂区环境、厂房和车间</w:t>
      </w:r>
      <w:r>
        <w:rPr>
          <w:rFonts w:hint="eastAsia" w:hAnsi="宋体"/>
          <w:color w:val="auto"/>
          <w:szCs w:val="30"/>
          <w:highlight w:val="none"/>
          <w:lang w:bidi="ar"/>
        </w:rPr>
        <w:t>，</w:t>
      </w:r>
      <w:r>
        <w:rPr>
          <w:rFonts w:hint="eastAsia" w:hAnsi="宋体"/>
          <w:color w:val="auto"/>
          <w:szCs w:val="30"/>
          <w:highlight w:val="none"/>
        </w:rPr>
        <w:t>包括设计、内部建筑结构、仓储等生产设施、辅助设施，应当符合《食品安全国家标准</w:t>
      </w:r>
      <w:r>
        <w:rPr>
          <w:rFonts w:hAnsi="宋体"/>
          <w:color w:val="auto"/>
          <w:szCs w:val="30"/>
          <w:highlight w:val="none"/>
          <w:lang w:val="en"/>
        </w:rPr>
        <w:t>　</w:t>
      </w:r>
      <w:r>
        <w:rPr>
          <w:rFonts w:hint="eastAsia" w:hAnsi="宋体"/>
          <w:color w:val="auto"/>
          <w:szCs w:val="30"/>
          <w:highlight w:val="none"/>
        </w:rPr>
        <w:t>食品生产通用卫生规范》（GB 14881）</w:t>
      </w:r>
      <w:r>
        <w:rPr>
          <w:rFonts w:hint="eastAsia" w:hAnsi="宋体"/>
          <w:color w:val="auto"/>
          <w:szCs w:val="30"/>
          <w:highlight w:val="none"/>
          <w:lang w:eastAsia="zh-CN"/>
        </w:rPr>
        <w:t>、</w:t>
      </w:r>
      <w:r>
        <w:rPr>
          <w:rFonts w:hint="eastAsia" w:hAnsi="宋体"/>
          <w:color w:val="auto"/>
          <w:szCs w:val="30"/>
          <w:highlight w:val="none"/>
        </w:rPr>
        <w:t>相关规定。</w:t>
      </w:r>
    </w:p>
    <w:p>
      <w:pPr>
        <w:tabs>
          <w:tab w:val="left" w:pos="790"/>
          <w:tab w:val="left" w:pos="1264"/>
        </w:tabs>
        <w:overflowPunct w:val="0"/>
        <w:adjustRightInd w:val="0"/>
        <w:snapToGrid w:val="0"/>
        <w:spacing w:line="560" w:lineRule="exact"/>
        <w:ind w:firstLine="624"/>
        <w:rPr>
          <w:rFonts w:hint="eastAsia" w:hAnsi="宋体"/>
          <w:szCs w:val="30"/>
          <w:highlight w:val="none"/>
        </w:rPr>
      </w:pPr>
      <w:r>
        <w:rPr>
          <w:rFonts w:hint="eastAsia" w:ascii="黑体" w:hAnsi="黑体" w:eastAsia="黑体" w:cs="黑体"/>
          <w:szCs w:val="30"/>
          <w:highlight w:val="none"/>
        </w:rPr>
        <w:t>第七条</w:t>
      </w:r>
      <w:r>
        <w:rPr>
          <w:rFonts w:hint="eastAsia" w:hAnsi="宋体"/>
          <w:szCs w:val="30"/>
          <w:highlight w:val="none"/>
        </w:rPr>
        <w:t>　生产车间及辅助设施的设置应当按生产流程需要及卫生要求，有序而合理布局，根据生产流程、生产操作需要和清洁度的要求进行分隔，避免交叉污染。</w:t>
      </w:r>
      <w:r>
        <w:rPr>
          <w:rFonts w:hint="eastAsia" w:hAnsi="宋体"/>
          <w:color w:val="auto"/>
          <w:szCs w:val="30"/>
          <w:highlight w:val="none"/>
          <w:lang w:eastAsia="zh-CN"/>
        </w:rPr>
        <w:t>生产车间通常包括原辅料预处理、称量配料、预混料造粒（干法、湿法）（工艺必要时）、杀菌（灭菌）、混合、成型、干燥以及包装（罐装）等工序。</w:t>
      </w:r>
      <w:r>
        <w:rPr>
          <w:rFonts w:hint="eastAsia" w:hAnsi="宋体"/>
          <w:color w:val="auto"/>
          <w:szCs w:val="30"/>
          <w:highlight w:val="none"/>
        </w:rPr>
        <w:t>企业可以</w:t>
      </w:r>
      <w:r>
        <w:rPr>
          <w:rFonts w:hint="eastAsia" w:hAnsi="宋体"/>
          <w:szCs w:val="30"/>
          <w:highlight w:val="none"/>
        </w:rPr>
        <w:t>根据产品的实际生产工艺需求适当调整工序的种类。生产车间内应区分清洁作业区、准清洁作业区和一般作业区，具体划分见表</w:t>
      </w:r>
      <w:r>
        <w:rPr>
          <w:rFonts w:hint="eastAsia" w:hAnsi="宋体"/>
          <w:szCs w:val="30"/>
          <w:highlight w:val="none"/>
          <w:lang w:val="en-US" w:eastAsia="zh-CN"/>
        </w:rPr>
        <w:t>2</w:t>
      </w:r>
      <w:r>
        <w:rPr>
          <w:rFonts w:hint="eastAsia" w:hAnsi="宋体"/>
          <w:szCs w:val="30"/>
          <w:highlight w:val="none"/>
        </w:rPr>
        <w:t>。</w:t>
      </w:r>
    </w:p>
    <w:p>
      <w:pPr>
        <w:tabs>
          <w:tab w:val="left" w:pos="790"/>
          <w:tab w:val="left" w:pos="1264"/>
        </w:tabs>
        <w:overflowPunct w:val="0"/>
        <w:adjustRightInd w:val="0"/>
        <w:snapToGrid w:val="0"/>
        <w:spacing w:line="560" w:lineRule="exact"/>
        <w:ind w:firstLine="624"/>
        <w:jc w:val="center"/>
        <w:rPr>
          <w:rFonts w:hint="eastAsia" w:ascii="仿宋" w:hAnsi="仿宋"/>
          <w:highlight w:val="none"/>
        </w:rPr>
      </w:pPr>
      <w:r>
        <w:rPr>
          <w:rFonts w:hint="eastAsia" w:ascii="仿宋" w:hAnsi="仿宋"/>
          <w:highlight w:val="none"/>
        </w:rPr>
        <w:t>表</w:t>
      </w:r>
      <w:r>
        <w:rPr>
          <w:rFonts w:hint="eastAsia" w:ascii="仿宋" w:hAnsi="仿宋"/>
          <w:highlight w:val="none"/>
          <w:lang w:val="en-US" w:eastAsia="zh-CN"/>
        </w:rPr>
        <w:t>2</w:t>
      </w:r>
      <w:r>
        <w:rPr>
          <w:rFonts w:hint="eastAsia" w:ascii="仿宋" w:hAnsi="仿宋"/>
          <w:highlight w:val="none"/>
        </w:rPr>
        <w:t xml:space="preserve"> 运动营养补充品企业生产车间</w:t>
      </w:r>
    </w:p>
    <w:p>
      <w:pPr>
        <w:tabs>
          <w:tab w:val="left" w:pos="790"/>
          <w:tab w:val="left" w:pos="1264"/>
        </w:tabs>
        <w:overflowPunct w:val="0"/>
        <w:adjustRightInd w:val="0"/>
        <w:snapToGrid w:val="0"/>
        <w:spacing w:line="560" w:lineRule="exact"/>
        <w:ind w:firstLine="624"/>
        <w:jc w:val="center"/>
        <w:rPr>
          <w:rFonts w:hint="eastAsia" w:ascii="仿宋" w:hAnsi="仿宋"/>
          <w:highlight w:val="none"/>
        </w:rPr>
      </w:pPr>
      <w:r>
        <w:rPr>
          <w:rFonts w:hint="eastAsia" w:ascii="仿宋" w:hAnsi="仿宋"/>
          <w:highlight w:val="none"/>
        </w:rPr>
        <w:t>及清洁作业区划分表</w:t>
      </w:r>
    </w:p>
    <w:tbl>
      <w:tblPr>
        <w:tblStyle w:val="5"/>
        <w:tblW w:w="87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29"/>
        <w:gridCol w:w="1733"/>
        <w:gridCol w:w="3332"/>
        <w:gridCol w:w="2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4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ascii="宋体" w:hAnsi="宋体" w:eastAsia="宋体"/>
                <w:b/>
                <w:sz w:val="21"/>
                <w:szCs w:val="21"/>
                <w:highlight w:val="none"/>
              </w:rPr>
            </w:pPr>
            <w:r>
              <w:rPr>
                <w:rFonts w:hint="eastAsia" w:ascii="宋体" w:hAnsi="宋体" w:eastAsia="宋体"/>
                <w:b/>
                <w:sz w:val="21"/>
                <w:szCs w:val="21"/>
                <w:highlight w:val="none"/>
              </w:rPr>
              <w:t>序号</w:t>
            </w:r>
          </w:p>
        </w:tc>
        <w:tc>
          <w:tcPr>
            <w:tcW w:w="102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ascii="宋体" w:hAnsi="宋体" w:eastAsia="宋体"/>
                <w:b/>
                <w:sz w:val="21"/>
                <w:szCs w:val="21"/>
                <w:highlight w:val="none"/>
              </w:rPr>
            </w:pPr>
            <w:r>
              <w:rPr>
                <w:rFonts w:hint="eastAsia" w:ascii="宋体" w:hAnsi="宋体" w:eastAsia="宋体"/>
                <w:b/>
                <w:sz w:val="21"/>
                <w:szCs w:val="21"/>
                <w:highlight w:val="none"/>
              </w:rPr>
              <w:t>产品</w:t>
            </w:r>
          </w:p>
          <w:p>
            <w:pPr>
              <w:spacing w:line="310" w:lineRule="exact"/>
              <w:ind w:left="64" w:leftChars="20" w:right="64" w:rightChars="20"/>
              <w:jc w:val="center"/>
              <w:rPr>
                <w:rFonts w:hint="eastAsia" w:ascii="宋体" w:hAnsi="宋体" w:eastAsia="宋体"/>
                <w:b/>
                <w:sz w:val="21"/>
                <w:szCs w:val="21"/>
                <w:highlight w:val="none"/>
                <w:lang w:eastAsia="zh-CN"/>
              </w:rPr>
            </w:pPr>
            <w:r>
              <w:rPr>
                <w:rFonts w:hint="eastAsia" w:ascii="宋体" w:hAnsi="宋体" w:eastAsia="宋体"/>
                <w:b/>
                <w:sz w:val="21"/>
                <w:szCs w:val="21"/>
                <w:highlight w:val="none"/>
                <w:lang w:val="en-US" w:eastAsia="zh-CN"/>
              </w:rPr>
              <w:t>类别</w:t>
            </w:r>
          </w:p>
        </w:tc>
        <w:tc>
          <w:tcPr>
            <w:tcW w:w="173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ascii="宋体" w:hAnsi="宋体" w:eastAsia="宋体"/>
                <w:b/>
                <w:sz w:val="21"/>
                <w:szCs w:val="21"/>
                <w:highlight w:val="none"/>
              </w:rPr>
            </w:pPr>
            <w:r>
              <w:rPr>
                <w:rFonts w:hint="eastAsia" w:ascii="宋体" w:hAnsi="宋体" w:eastAsia="宋体"/>
                <w:b/>
                <w:sz w:val="21"/>
                <w:szCs w:val="21"/>
                <w:highlight w:val="none"/>
              </w:rPr>
              <w:t>清洁作业区</w:t>
            </w:r>
          </w:p>
        </w:tc>
        <w:tc>
          <w:tcPr>
            <w:tcW w:w="333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ascii="宋体" w:hAnsi="宋体" w:eastAsia="宋体"/>
                <w:b/>
                <w:sz w:val="21"/>
                <w:szCs w:val="21"/>
                <w:highlight w:val="none"/>
              </w:rPr>
            </w:pPr>
            <w:r>
              <w:rPr>
                <w:rFonts w:hint="eastAsia" w:ascii="宋体" w:hAnsi="宋体" w:eastAsia="宋体"/>
                <w:b/>
                <w:sz w:val="21"/>
                <w:szCs w:val="21"/>
                <w:highlight w:val="none"/>
              </w:rPr>
              <w:t>准清洁作业区</w:t>
            </w:r>
          </w:p>
        </w:tc>
        <w:tc>
          <w:tcPr>
            <w:tcW w:w="221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ascii="宋体" w:hAnsi="宋体" w:eastAsia="宋体"/>
                <w:b/>
                <w:sz w:val="21"/>
                <w:szCs w:val="21"/>
                <w:highlight w:val="none"/>
              </w:rPr>
            </w:pPr>
            <w:r>
              <w:rPr>
                <w:rFonts w:hint="eastAsia" w:ascii="宋体" w:hAnsi="宋体" w:eastAsia="宋体"/>
                <w:b/>
                <w:sz w:val="21"/>
                <w:szCs w:val="21"/>
                <w:highlight w:val="none"/>
              </w:rPr>
              <w:t>一般作业区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hint="eastAsia" w:ascii="宋体" w:hAnsi="宋体" w:eastAsia="宋体"/>
                <w:sz w:val="21"/>
                <w:szCs w:val="21"/>
                <w:highlight w:val="none"/>
              </w:rPr>
            </w:pPr>
            <w:r>
              <w:rPr>
                <w:rFonts w:hint="eastAsia" w:ascii="宋体" w:hAnsi="宋体" w:eastAsia="宋体"/>
                <w:sz w:val="21"/>
                <w:szCs w:val="21"/>
                <w:highlight w:val="none"/>
              </w:rPr>
              <w:t>1</w:t>
            </w:r>
          </w:p>
        </w:tc>
        <w:tc>
          <w:tcPr>
            <w:tcW w:w="102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液</w:t>
            </w:r>
            <w:r>
              <w:rPr>
                <w:rFonts w:hint="eastAsia" w:ascii="仿宋" w:hAnsi="仿宋" w:cs="仿宋"/>
                <w:sz w:val="21"/>
                <w:szCs w:val="21"/>
                <w:highlight w:val="none"/>
                <w:lang w:val="en-US" w:eastAsia="zh-CN"/>
              </w:rPr>
              <w:t>体</w:t>
            </w:r>
            <w:r>
              <w:rPr>
                <w:rFonts w:hint="eastAsia" w:ascii="仿宋" w:hAnsi="仿宋" w:eastAsia="仿宋" w:cs="仿宋"/>
                <w:sz w:val="21"/>
                <w:szCs w:val="21"/>
                <w:highlight w:val="none"/>
                <w:lang w:val="en-US" w:eastAsia="zh-CN"/>
              </w:rPr>
              <w:t>类</w:t>
            </w:r>
          </w:p>
        </w:tc>
        <w:tc>
          <w:tcPr>
            <w:tcW w:w="1733"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before="120" w:beforeLines="50"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灌装工序（非后杀菌工艺）、包材消毒清洁</w:t>
            </w:r>
            <w:r>
              <w:rPr>
                <w:rFonts w:hint="eastAsia" w:ascii="仿宋" w:hAnsi="仿宋" w:cs="仿宋"/>
                <w:sz w:val="21"/>
                <w:szCs w:val="21"/>
                <w:highlight w:val="none"/>
                <w:lang w:val="en-US" w:eastAsia="zh-CN"/>
              </w:rPr>
              <w:t>工序</w:t>
            </w:r>
            <w:r>
              <w:rPr>
                <w:rFonts w:hint="eastAsia" w:ascii="仿宋" w:hAnsi="仿宋" w:eastAsia="仿宋" w:cs="仿宋"/>
                <w:sz w:val="21"/>
                <w:szCs w:val="21"/>
                <w:highlight w:val="none"/>
              </w:rPr>
              <w:t>（非后杀菌工艺）</w:t>
            </w:r>
            <w:r>
              <w:rPr>
                <w:rFonts w:hint="eastAsia" w:ascii="仿宋" w:hAnsi="仿宋" w:cs="仿宋"/>
                <w:sz w:val="21"/>
                <w:szCs w:val="21"/>
                <w:highlight w:val="none"/>
                <w:lang w:val="en-US" w:eastAsia="zh-CN"/>
              </w:rPr>
              <w:t>等</w:t>
            </w:r>
          </w:p>
        </w:tc>
        <w:tc>
          <w:tcPr>
            <w:tcW w:w="3332"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before="120" w:beforeLines="50" w:line="24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原料加工处理工序、配料投料混合工序、洗瓶（罐）工序、灌装工序（后杀菌工艺）、包材消毒清洁</w:t>
            </w:r>
            <w:r>
              <w:rPr>
                <w:rFonts w:hint="eastAsia" w:ascii="仿宋" w:hAnsi="仿宋" w:cs="仿宋"/>
                <w:sz w:val="21"/>
                <w:szCs w:val="21"/>
                <w:highlight w:val="none"/>
                <w:lang w:val="en-US" w:eastAsia="zh-CN"/>
              </w:rPr>
              <w:t>工序</w:t>
            </w:r>
            <w:r>
              <w:rPr>
                <w:rFonts w:hint="eastAsia" w:ascii="仿宋" w:hAnsi="仿宋" w:eastAsia="仿宋" w:cs="仿宋"/>
                <w:sz w:val="21"/>
                <w:szCs w:val="21"/>
                <w:highlight w:val="none"/>
              </w:rPr>
              <w:t>（后杀菌工艺）</w:t>
            </w:r>
            <w:r>
              <w:rPr>
                <w:rFonts w:hint="eastAsia" w:ascii="仿宋" w:hAnsi="仿宋" w:eastAsia="仿宋" w:cs="仿宋"/>
                <w:color w:val="auto"/>
                <w:sz w:val="21"/>
                <w:szCs w:val="21"/>
                <w:highlight w:val="none"/>
              </w:rPr>
              <w:t>、</w:t>
            </w:r>
            <w:r>
              <w:rPr>
                <w:rFonts w:hint="eastAsia" w:ascii="仿宋" w:hAnsi="仿宋" w:cs="仿宋"/>
                <w:color w:val="auto"/>
                <w:sz w:val="21"/>
                <w:szCs w:val="21"/>
                <w:highlight w:val="none"/>
                <w:lang w:val="en-US" w:eastAsia="zh-CN"/>
              </w:rPr>
              <w:t>杀菌工序</w:t>
            </w:r>
            <w:r>
              <w:rPr>
                <w:rFonts w:hint="eastAsia" w:ascii="仿宋" w:hAnsi="仿宋" w:eastAsia="仿宋" w:cs="仿宋"/>
                <w:color w:val="auto"/>
                <w:sz w:val="21"/>
                <w:szCs w:val="21"/>
                <w:highlight w:val="none"/>
              </w:rPr>
              <w:t>、冷却工序、其他加工工序</w:t>
            </w:r>
            <w:r>
              <w:rPr>
                <w:rFonts w:hint="eastAsia" w:ascii="仿宋" w:hAnsi="仿宋" w:cs="仿宋"/>
                <w:color w:val="auto"/>
                <w:sz w:val="21"/>
                <w:szCs w:val="21"/>
                <w:highlight w:val="none"/>
                <w:lang w:val="en-US" w:eastAsia="zh-CN"/>
              </w:rPr>
              <w:t>等</w:t>
            </w:r>
          </w:p>
        </w:tc>
        <w:tc>
          <w:tcPr>
            <w:tcW w:w="2212"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before="120" w:beforeLines="50" w:line="24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1"/>
                <w:szCs w:val="21"/>
                <w:highlight w:val="none"/>
              </w:rPr>
              <w:t>原料挑选预清洗工序、冷冻冷藏工序、原料仓库、包装材料仓库、外包装工序及成品仓库等</w:t>
            </w:r>
            <w:r>
              <w:rPr>
                <w:rFonts w:hint="eastAsia" w:ascii="仿宋" w:hAnsi="仿宋" w:cs="仿宋"/>
                <w:sz w:val="21"/>
                <w:szCs w:val="21"/>
                <w:highlight w:val="none"/>
                <w:lang w:eastAsia="zh-CN"/>
              </w:rPr>
              <w:t>、</w:t>
            </w:r>
            <w:r>
              <w:rPr>
                <w:rFonts w:hint="eastAsia" w:ascii="仿宋" w:hAnsi="仿宋" w:cs="仿宋"/>
                <w:sz w:val="21"/>
                <w:szCs w:val="21"/>
                <w:highlight w:val="none"/>
                <w:lang w:val="en-US" w:eastAsia="zh-CN"/>
              </w:rPr>
              <w:t>杀菌工序（后杀菌）</w:t>
            </w:r>
            <w:r>
              <w:rPr>
                <w:rFonts w:hint="eastAsia" w:ascii="仿宋" w:hAnsi="仿宋" w:cs="仿宋"/>
                <w:sz w:val="21"/>
                <w:szCs w:val="21"/>
                <w:highlight w:val="none"/>
                <w:lang w:eastAsia="zh-CN"/>
              </w:rPr>
              <w:t>、</w:t>
            </w:r>
            <w:r>
              <w:rPr>
                <w:rFonts w:hint="eastAsia" w:ascii="仿宋" w:hAnsi="仿宋" w:cs="仿宋"/>
                <w:sz w:val="21"/>
                <w:szCs w:val="21"/>
                <w:highlight w:val="none"/>
                <w:lang w:val="en-US" w:eastAsia="zh-CN"/>
              </w:rPr>
              <w:t>水处理工序等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hint="eastAsia" w:ascii="宋体" w:hAnsi="宋体" w:eastAsia="宋体"/>
                <w:sz w:val="21"/>
                <w:szCs w:val="21"/>
                <w:highlight w:val="none"/>
              </w:rPr>
            </w:pPr>
            <w:r>
              <w:rPr>
                <w:rFonts w:hint="eastAsia" w:ascii="宋体" w:hAnsi="宋体" w:eastAsia="宋体"/>
                <w:sz w:val="21"/>
                <w:szCs w:val="21"/>
                <w:highlight w:val="none"/>
              </w:rPr>
              <w:t>2</w:t>
            </w:r>
          </w:p>
        </w:tc>
        <w:tc>
          <w:tcPr>
            <w:tcW w:w="102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固</w:t>
            </w:r>
            <w:r>
              <w:rPr>
                <w:rFonts w:hint="eastAsia" w:ascii="仿宋" w:hAnsi="仿宋" w:cs="仿宋"/>
                <w:sz w:val="21"/>
                <w:szCs w:val="21"/>
                <w:highlight w:val="none"/>
                <w:lang w:eastAsia="zh-CN"/>
              </w:rPr>
              <w:t>体</w:t>
            </w:r>
            <w:r>
              <w:rPr>
                <w:rFonts w:hint="eastAsia" w:ascii="仿宋" w:hAnsi="仿宋" w:eastAsia="仿宋" w:cs="仿宋"/>
                <w:sz w:val="21"/>
                <w:szCs w:val="21"/>
                <w:highlight w:val="none"/>
              </w:rPr>
              <w:t>类</w:t>
            </w:r>
            <w:r>
              <w:rPr>
                <w:rFonts w:hint="eastAsia" w:ascii="仿宋" w:hAnsi="仿宋" w:cs="仿宋"/>
                <w:sz w:val="21"/>
                <w:szCs w:val="21"/>
                <w:highlight w:val="none"/>
                <w:lang w:eastAsia="zh-CN"/>
              </w:rPr>
              <w:t>（</w:t>
            </w:r>
            <w:r>
              <w:rPr>
                <w:rFonts w:hint="eastAsia" w:ascii="仿宋" w:hAnsi="仿宋" w:cs="仿宋"/>
                <w:sz w:val="21"/>
                <w:szCs w:val="21"/>
                <w:highlight w:val="none"/>
                <w:lang w:val="en-US" w:eastAsia="zh-CN"/>
              </w:rPr>
              <w:t>粉状、块状、粒状等</w:t>
            </w:r>
            <w:r>
              <w:rPr>
                <w:rFonts w:hint="eastAsia" w:ascii="仿宋" w:hAnsi="仿宋" w:cs="仿宋"/>
                <w:sz w:val="21"/>
                <w:szCs w:val="21"/>
                <w:highlight w:val="none"/>
                <w:lang w:eastAsia="zh-CN"/>
              </w:rPr>
              <w:t>）</w:t>
            </w:r>
          </w:p>
        </w:tc>
        <w:tc>
          <w:tcPr>
            <w:tcW w:w="173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配料工序、混料工序、成型工序、冷却工序、半成品暂存</w:t>
            </w:r>
            <w:r>
              <w:rPr>
                <w:rFonts w:hint="eastAsia" w:ascii="仿宋" w:hAnsi="仿宋" w:cs="仿宋"/>
                <w:sz w:val="21"/>
                <w:szCs w:val="21"/>
                <w:highlight w:val="none"/>
                <w:lang w:val="en-US" w:eastAsia="zh-CN"/>
              </w:rPr>
              <w:t>工序</w:t>
            </w:r>
            <w:r>
              <w:rPr>
                <w:rFonts w:hint="eastAsia" w:ascii="仿宋" w:hAnsi="仿宋" w:eastAsia="仿宋" w:cs="仿宋"/>
                <w:sz w:val="21"/>
                <w:szCs w:val="21"/>
                <w:highlight w:val="none"/>
              </w:rPr>
              <w:t>、内包装工序等</w:t>
            </w:r>
          </w:p>
        </w:tc>
        <w:tc>
          <w:tcPr>
            <w:tcW w:w="333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原料加工处理工序（湿法）、投料工序（湿法）、干燥工序或</w:t>
            </w:r>
            <w:r>
              <w:rPr>
                <w:rFonts w:hint="eastAsia" w:ascii="仿宋" w:hAnsi="仿宋" w:cs="仿宋"/>
                <w:sz w:val="21"/>
                <w:szCs w:val="21"/>
                <w:highlight w:val="none"/>
                <w:lang w:val="en-US" w:eastAsia="zh-CN"/>
              </w:rPr>
              <w:t>造粒</w:t>
            </w:r>
            <w:r>
              <w:rPr>
                <w:rFonts w:hint="eastAsia" w:ascii="仿宋" w:hAnsi="仿宋" w:eastAsia="仿宋" w:cs="仿宋"/>
                <w:sz w:val="21"/>
                <w:szCs w:val="21"/>
                <w:highlight w:val="none"/>
              </w:rPr>
              <w:t>工序、</w:t>
            </w:r>
            <w:r>
              <w:rPr>
                <w:rFonts w:hint="eastAsia" w:ascii="仿宋" w:hAnsi="仿宋" w:cs="仿宋"/>
                <w:sz w:val="21"/>
                <w:szCs w:val="21"/>
                <w:highlight w:val="none"/>
                <w:lang w:val="en-US" w:eastAsia="zh-CN"/>
              </w:rPr>
              <w:t>膨化工序、</w:t>
            </w:r>
            <w:r>
              <w:rPr>
                <w:rFonts w:hint="eastAsia" w:ascii="仿宋" w:hAnsi="仿宋" w:eastAsia="仿宋" w:cs="仿宋"/>
                <w:sz w:val="21"/>
                <w:szCs w:val="21"/>
                <w:highlight w:val="none"/>
              </w:rPr>
              <w:t>烘烤工序、原辅料外包装清洁</w:t>
            </w:r>
            <w:r>
              <w:rPr>
                <w:rFonts w:hint="eastAsia" w:ascii="仿宋" w:hAnsi="仿宋" w:cs="仿宋"/>
                <w:sz w:val="21"/>
                <w:szCs w:val="21"/>
                <w:highlight w:val="none"/>
                <w:lang w:val="en-US" w:eastAsia="zh-CN"/>
              </w:rPr>
              <w:t>工序</w:t>
            </w:r>
            <w:r>
              <w:rPr>
                <w:rFonts w:hint="eastAsia" w:ascii="仿宋" w:hAnsi="仿宋" w:eastAsia="仿宋" w:cs="仿宋"/>
                <w:sz w:val="21"/>
                <w:szCs w:val="21"/>
                <w:highlight w:val="none"/>
              </w:rPr>
              <w:t>、理罐（听）以及其他加工工序等</w:t>
            </w:r>
          </w:p>
        </w:tc>
        <w:tc>
          <w:tcPr>
            <w:tcW w:w="2212"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原料仓库、包装材料仓库、外包装工序及成品仓库等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jc w:val="center"/>
              <w:rPr>
                <w:rFonts w:hint="eastAsia" w:ascii="宋体" w:hAnsi="宋体" w:eastAsia="宋体"/>
                <w:sz w:val="21"/>
                <w:szCs w:val="21"/>
                <w:highlight w:val="none"/>
              </w:rPr>
            </w:pPr>
            <w:r>
              <w:rPr>
                <w:rFonts w:hint="eastAsia" w:ascii="宋体" w:hAnsi="宋体" w:eastAsia="宋体"/>
                <w:sz w:val="21"/>
                <w:szCs w:val="21"/>
                <w:highlight w:val="none"/>
              </w:rPr>
              <w:t>3</w:t>
            </w:r>
          </w:p>
        </w:tc>
        <w:tc>
          <w:tcPr>
            <w:tcW w:w="102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1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半固</w:t>
            </w:r>
            <w:r>
              <w:rPr>
                <w:rFonts w:hint="eastAsia" w:ascii="仿宋" w:hAnsi="仿宋" w:cs="仿宋"/>
                <w:sz w:val="21"/>
                <w:szCs w:val="21"/>
                <w:highlight w:val="none"/>
                <w:lang w:eastAsia="zh-CN"/>
              </w:rPr>
              <w:t>体</w:t>
            </w:r>
            <w:r>
              <w:rPr>
                <w:rFonts w:hint="eastAsia" w:ascii="仿宋" w:hAnsi="仿宋" w:eastAsia="仿宋" w:cs="仿宋"/>
                <w:sz w:val="21"/>
                <w:szCs w:val="21"/>
                <w:highlight w:val="none"/>
              </w:rPr>
              <w:t>类</w:t>
            </w:r>
          </w:p>
        </w:tc>
        <w:tc>
          <w:tcPr>
            <w:tcW w:w="1733"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before="120" w:beforeLines="50"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灌装工序（非后杀菌工艺）、包材消毒清洁</w:t>
            </w:r>
            <w:r>
              <w:rPr>
                <w:rFonts w:hint="eastAsia" w:ascii="仿宋" w:hAnsi="仿宋" w:cs="仿宋"/>
                <w:sz w:val="21"/>
                <w:szCs w:val="21"/>
                <w:highlight w:val="none"/>
                <w:lang w:val="en-US" w:eastAsia="zh-CN"/>
              </w:rPr>
              <w:t>工序</w:t>
            </w:r>
            <w:r>
              <w:rPr>
                <w:rFonts w:hint="eastAsia" w:ascii="仿宋" w:hAnsi="仿宋" w:eastAsia="仿宋" w:cs="仿宋"/>
                <w:sz w:val="21"/>
                <w:szCs w:val="21"/>
                <w:highlight w:val="none"/>
              </w:rPr>
              <w:t>（非后杀菌工艺）</w:t>
            </w:r>
            <w:r>
              <w:rPr>
                <w:rFonts w:hint="eastAsia" w:ascii="仿宋" w:hAnsi="仿宋" w:cs="仿宋"/>
                <w:sz w:val="21"/>
                <w:szCs w:val="21"/>
                <w:highlight w:val="none"/>
                <w:lang w:val="en-US" w:eastAsia="zh-CN"/>
              </w:rPr>
              <w:t>等</w:t>
            </w:r>
          </w:p>
        </w:tc>
        <w:tc>
          <w:tcPr>
            <w:tcW w:w="3332"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before="120" w:beforeLines="50" w:line="24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原料加工处理工序、配料投料混合工序、洗瓶（罐）工序、灌装工序（后杀菌工艺）、</w:t>
            </w:r>
            <w:r>
              <w:rPr>
                <w:rFonts w:hint="eastAsia" w:ascii="仿宋" w:hAnsi="仿宋" w:eastAsia="仿宋" w:cs="仿宋"/>
                <w:color w:val="auto"/>
                <w:sz w:val="21"/>
                <w:szCs w:val="21"/>
                <w:highlight w:val="none"/>
              </w:rPr>
              <w:t>包材消毒清洁</w:t>
            </w:r>
            <w:r>
              <w:rPr>
                <w:rFonts w:hint="eastAsia" w:ascii="仿宋" w:hAnsi="仿宋" w:cs="仿宋"/>
                <w:color w:val="auto"/>
                <w:sz w:val="21"/>
                <w:szCs w:val="21"/>
                <w:highlight w:val="none"/>
                <w:lang w:val="en-US" w:eastAsia="zh-CN"/>
              </w:rPr>
              <w:t>工序</w:t>
            </w:r>
            <w:r>
              <w:rPr>
                <w:rFonts w:hint="eastAsia" w:ascii="仿宋" w:hAnsi="仿宋" w:eastAsia="仿宋" w:cs="仿宋"/>
                <w:color w:val="auto"/>
                <w:sz w:val="21"/>
                <w:szCs w:val="21"/>
                <w:highlight w:val="none"/>
              </w:rPr>
              <w:t>（后杀菌工艺）、</w:t>
            </w:r>
            <w:r>
              <w:rPr>
                <w:rFonts w:hint="eastAsia" w:ascii="仿宋" w:hAnsi="仿宋" w:cs="仿宋"/>
                <w:color w:val="auto"/>
                <w:sz w:val="21"/>
                <w:szCs w:val="21"/>
                <w:highlight w:val="none"/>
                <w:lang w:val="en-US" w:eastAsia="zh-CN"/>
              </w:rPr>
              <w:t>杀菌工序</w:t>
            </w:r>
            <w:r>
              <w:rPr>
                <w:rFonts w:hint="eastAsia" w:ascii="仿宋" w:hAnsi="仿宋" w:eastAsia="仿宋" w:cs="仿宋"/>
                <w:color w:val="auto"/>
                <w:sz w:val="21"/>
                <w:szCs w:val="21"/>
                <w:highlight w:val="none"/>
              </w:rPr>
              <w:t>、冷却工序、其他加工工序</w:t>
            </w:r>
            <w:r>
              <w:rPr>
                <w:rFonts w:hint="eastAsia" w:ascii="仿宋" w:hAnsi="仿宋" w:cs="仿宋"/>
                <w:color w:val="auto"/>
                <w:sz w:val="21"/>
                <w:szCs w:val="21"/>
                <w:highlight w:val="none"/>
                <w:lang w:val="en-US" w:eastAsia="zh-CN"/>
              </w:rPr>
              <w:t>等</w:t>
            </w:r>
            <w:r>
              <w:rPr>
                <w:rFonts w:hint="eastAsia" w:ascii="仿宋" w:hAnsi="仿宋" w:cs="仿宋"/>
                <w:color w:val="auto"/>
                <w:sz w:val="21"/>
                <w:szCs w:val="21"/>
                <w:highlight w:val="none"/>
                <w:lang w:eastAsia="zh-CN"/>
              </w:rPr>
              <w:t>。</w:t>
            </w:r>
          </w:p>
        </w:tc>
        <w:tc>
          <w:tcPr>
            <w:tcW w:w="2212"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widowControl/>
              <w:spacing w:before="120" w:beforeLines="50" w:line="240" w:lineRule="auto"/>
              <w:jc w:val="left"/>
              <w:rPr>
                <w:rFonts w:hint="default" w:ascii="仿宋" w:hAnsi="仿宋" w:eastAsia="仿宋" w:cs="仿宋"/>
                <w:sz w:val="21"/>
                <w:szCs w:val="21"/>
                <w:highlight w:val="none"/>
                <w:lang w:val="en-US"/>
              </w:rPr>
            </w:pPr>
            <w:r>
              <w:rPr>
                <w:rFonts w:hint="eastAsia" w:ascii="仿宋" w:hAnsi="仿宋" w:eastAsia="仿宋" w:cs="仿宋"/>
                <w:sz w:val="21"/>
                <w:szCs w:val="21"/>
                <w:highlight w:val="none"/>
              </w:rPr>
              <w:t>原料挑选预清洗工序、冷冻冷藏工序、原料仓库、包装材料仓库、外包装工序及成品仓库</w:t>
            </w:r>
            <w:r>
              <w:rPr>
                <w:rFonts w:hint="eastAsia" w:ascii="仿宋" w:hAnsi="仿宋" w:cs="仿宋"/>
                <w:sz w:val="21"/>
                <w:szCs w:val="21"/>
                <w:highlight w:val="none"/>
                <w:lang w:eastAsia="zh-CN"/>
              </w:rPr>
              <w:t>、</w:t>
            </w:r>
            <w:r>
              <w:rPr>
                <w:rFonts w:hint="eastAsia" w:ascii="仿宋" w:hAnsi="仿宋" w:cs="仿宋"/>
                <w:sz w:val="21"/>
                <w:szCs w:val="21"/>
                <w:highlight w:val="none"/>
                <w:lang w:val="en-US" w:eastAsia="zh-CN"/>
              </w:rPr>
              <w:t>杀菌工序（后杀菌）等</w:t>
            </w:r>
          </w:p>
        </w:tc>
      </w:tr>
    </w:tbl>
    <w:p>
      <w:pPr>
        <w:tabs>
          <w:tab w:val="left" w:pos="624"/>
          <w:tab w:val="center" w:pos="4365"/>
        </w:tabs>
        <w:spacing w:before="93" w:beforeLines="30" w:after="93" w:afterLines="30" w:line="590" w:lineRule="exact"/>
        <w:ind w:firstLine="640" w:firstLineChars="200"/>
        <w:jc w:val="left"/>
        <w:rPr>
          <w:rFonts w:hint="eastAsia" w:ascii="仿宋" w:hAnsi="仿宋" w:eastAsia="仿宋" w:cs="仿宋"/>
          <w:sz w:val="30"/>
          <w:szCs w:val="30"/>
          <w:highlight w:val="none"/>
          <w:lang w:eastAsia="zh-CN"/>
        </w:rPr>
      </w:pPr>
      <w:r>
        <w:rPr>
          <w:rFonts w:hint="eastAsia" w:ascii="黑体" w:hAnsi="黑体" w:eastAsia="黑体" w:cs="黑体"/>
          <w:szCs w:val="30"/>
          <w:highlight w:val="none"/>
        </w:rPr>
        <w:t>第八条</w:t>
      </w:r>
      <w:r>
        <w:rPr>
          <w:rFonts w:hint="eastAsia" w:hAnsi="宋体"/>
          <w:szCs w:val="30"/>
          <w:highlight w:val="none"/>
        </w:rPr>
        <w:t>　</w:t>
      </w:r>
      <w:r>
        <w:rPr>
          <w:rFonts w:hint="eastAsia" w:ascii="仿宋" w:hAnsi="仿宋" w:eastAsia="仿宋" w:cs="仿宋"/>
          <w:sz w:val="30"/>
          <w:szCs w:val="30"/>
          <w:highlight w:val="none"/>
        </w:rPr>
        <w:t>清洁作业区应规定空气洁净度要求，液</w:t>
      </w:r>
      <w:r>
        <w:rPr>
          <w:rFonts w:hint="eastAsia" w:ascii="仿宋" w:hAnsi="仿宋" w:cs="仿宋"/>
          <w:sz w:val="30"/>
          <w:szCs w:val="30"/>
          <w:highlight w:val="none"/>
          <w:lang w:eastAsia="zh-CN"/>
        </w:rPr>
        <w:t>体</w:t>
      </w:r>
      <w:r>
        <w:rPr>
          <w:rFonts w:hint="eastAsia" w:ascii="仿宋" w:hAnsi="仿宋" w:eastAsia="仿宋" w:cs="仿宋"/>
          <w:sz w:val="30"/>
          <w:szCs w:val="30"/>
          <w:highlight w:val="none"/>
        </w:rPr>
        <w:t>类、半固</w:t>
      </w:r>
      <w:r>
        <w:rPr>
          <w:rFonts w:hint="eastAsia" w:ascii="仿宋" w:hAnsi="仿宋" w:cs="仿宋"/>
          <w:sz w:val="30"/>
          <w:szCs w:val="30"/>
          <w:highlight w:val="none"/>
          <w:lang w:eastAsia="zh-CN"/>
        </w:rPr>
        <w:t>体</w:t>
      </w:r>
      <w:r>
        <w:rPr>
          <w:rFonts w:hint="eastAsia" w:ascii="仿宋" w:hAnsi="仿宋" w:eastAsia="仿宋" w:cs="仿宋"/>
          <w:sz w:val="30"/>
          <w:szCs w:val="30"/>
          <w:highlight w:val="none"/>
        </w:rPr>
        <w:t>类产品按表3执行或静态时空气洁净度达到10万级以上；固</w:t>
      </w:r>
      <w:r>
        <w:rPr>
          <w:rFonts w:hint="eastAsia" w:ascii="仿宋" w:hAnsi="仿宋" w:cs="仿宋"/>
          <w:sz w:val="30"/>
          <w:szCs w:val="30"/>
          <w:highlight w:val="none"/>
          <w:lang w:eastAsia="zh-CN"/>
        </w:rPr>
        <w:t>体</w:t>
      </w:r>
      <w:r>
        <w:rPr>
          <w:rFonts w:hint="eastAsia" w:ascii="仿宋" w:hAnsi="仿宋" w:eastAsia="仿宋" w:cs="仿宋"/>
          <w:sz w:val="30"/>
          <w:szCs w:val="30"/>
          <w:highlight w:val="none"/>
        </w:rPr>
        <w:t>类产品需安装初效和中效空气净化设备。</w:t>
      </w:r>
      <w:bookmarkStart w:id="12" w:name="_GoBack"/>
      <w:bookmarkEnd w:id="12"/>
    </w:p>
    <w:p>
      <w:pPr>
        <w:tabs>
          <w:tab w:val="left" w:pos="624"/>
          <w:tab w:val="center" w:pos="4365"/>
        </w:tabs>
        <w:spacing w:before="93" w:beforeLines="30" w:after="93" w:afterLines="30" w:line="590" w:lineRule="exact"/>
        <w:ind w:firstLine="640" w:firstLineChars="200"/>
        <w:jc w:val="center"/>
        <w:rPr>
          <w:rFonts w:hint="eastAsia" w:ascii="仿宋" w:hAnsi="仿宋"/>
          <w:highlight w:val="none"/>
        </w:rPr>
      </w:pPr>
      <w:r>
        <w:rPr>
          <w:rFonts w:hint="eastAsia" w:ascii="仿宋" w:hAnsi="仿宋"/>
          <w:highlight w:val="none"/>
        </w:rPr>
        <w:t>表</w:t>
      </w:r>
      <w:r>
        <w:rPr>
          <w:rFonts w:hint="eastAsia" w:ascii="仿宋" w:hAnsi="仿宋"/>
          <w:highlight w:val="none"/>
          <w:lang w:val="en-US" w:eastAsia="zh-CN"/>
        </w:rPr>
        <w:t>3</w:t>
      </w:r>
      <w:r>
        <w:rPr>
          <w:rFonts w:hint="eastAsia" w:ascii="仿宋" w:hAnsi="仿宋"/>
          <w:highlight w:val="none"/>
        </w:rPr>
        <w:t xml:space="preserve"> 生产清洁作业区标准控制表</w:t>
      </w:r>
    </w:p>
    <w:tbl>
      <w:tblPr>
        <w:tblStyle w:val="5"/>
        <w:tblW w:w="9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1554"/>
        <w:gridCol w:w="2016"/>
        <w:gridCol w:w="1595"/>
        <w:gridCol w:w="1151"/>
        <w:gridCol w:w="1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1138" w:type="dxa"/>
            <w:vMerge w:val="restart"/>
            <w:tcBorders>
              <w:top w:val="single" w:color="000000" w:sz="2" w:space="0"/>
              <w:left w:val="single" w:color="auto" w:sz="4" w:space="0"/>
              <w:bottom w:val="single" w:color="auto" w:sz="4"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项目</w:t>
            </w:r>
          </w:p>
        </w:tc>
        <w:tc>
          <w:tcPr>
            <w:tcW w:w="1554" w:type="dxa"/>
            <w:vMerge w:val="restart"/>
            <w:tcBorders>
              <w:top w:val="single" w:color="000000" w:sz="2" w:space="0"/>
              <w:left w:val="single" w:color="000000" w:sz="2" w:space="0"/>
              <w:bottom w:val="single" w:color="auto" w:sz="4"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内容</w:t>
            </w:r>
          </w:p>
        </w:tc>
        <w:tc>
          <w:tcPr>
            <w:tcW w:w="2016" w:type="dxa"/>
            <w:vMerge w:val="restart"/>
            <w:tcBorders>
              <w:top w:val="single" w:color="000000" w:sz="2" w:space="0"/>
              <w:left w:val="single" w:color="000000" w:sz="2" w:space="0"/>
              <w:bottom w:val="single" w:color="auto" w:sz="4"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检测方法</w:t>
            </w:r>
          </w:p>
        </w:tc>
        <w:tc>
          <w:tcPr>
            <w:tcW w:w="2746" w:type="dxa"/>
            <w:gridSpan w:val="2"/>
            <w:tcBorders>
              <w:top w:val="single" w:color="000000" w:sz="2" w:space="0"/>
              <w:left w:val="single" w:color="000000" w:sz="2" w:space="0"/>
              <w:bottom w:val="single" w:color="auto" w:sz="4"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控制要求</w:t>
            </w:r>
          </w:p>
        </w:tc>
        <w:tc>
          <w:tcPr>
            <w:tcW w:w="1627" w:type="dxa"/>
            <w:vMerge w:val="restart"/>
            <w:tcBorders>
              <w:top w:val="single" w:color="000000" w:sz="2" w:space="0"/>
              <w:left w:val="single" w:color="000000" w:sz="2"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监控频次*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113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p>
        </w:tc>
        <w:tc>
          <w:tcPr>
            <w:tcW w:w="155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p>
        </w:tc>
        <w:tc>
          <w:tcPr>
            <w:tcW w:w="201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p>
        </w:tc>
        <w:tc>
          <w:tcPr>
            <w:tcW w:w="15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动态</w:t>
            </w:r>
          </w:p>
        </w:tc>
        <w:tc>
          <w:tcPr>
            <w:tcW w:w="11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静态</w:t>
            </w:r>
          </w:p>
        </w:tc>
        <w:tc>
          <w:tcPr>
            <w:tcW w:w="1627" w:type="dxa"/>
            <w:vMerge w:val="continue"/>
            <w:tcBorders>
              <w:left w:val="single" w:color="000000" w:sz="2" w:space="0"/>
              <w:bottom w:val="single" w:color="auto" w:sz="4"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b/>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vMerge w:val="restart"/>
            <w:tcBorders>
              <w:top w:val="single" w:color="auto" w:sz="4"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悬浮粒子</w:t>
            </w:r>
          </w:p>
        </w:tc>
        <w:tc>
          <w:tcPr>
            <w:tcW w:w="1554"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≥0.5μm</w:t>
            </w:r>
          </w:p>
        </w:tc>
        <w:tc>
          <w:tcPr>
            <w:tcW w:w="2016"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GB/T 16292</w:t>
            </w:r>
          </w:p>
        </w:tc>
        <w:tc>
          <w:tcPr>
            <w:tcW w:w="1595"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151"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≤35</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0000</w:t>
            </w:r>
            <w:r>
              <w:rPr>
                <w:rFonts w:hint="eastAsia" w:ascii="仿宋" w:hAnsi="仿宋" w:eastAsia="仿宋" w:cs="仿宋"/>
                <w:sz w:val="21"/>
                <w:szCs w:val="21"/>
                <w:highlight w:val="none"/>
                <w:lang w:val="en-US" w:eastAsia="zh-CN"/>
              </w:rPr>
              <w:t>个</w:t>
            </w:r>
            <w:r>
              <w:rPr>
                <w:rFonts w:hint="eastAsia" w:ascii="仿宋" w:hAnsi="仿宋" w:eastAsia="仿宋" w:cs="仿宋"/>
                <w:sz w:val="21"/>
                <w:szCs w:val="21"/>
                <w:highlight w:val="none"/>
              </w:rPr>
              <w:t>/m</w:t>
            </w:r>
            <w:r>
              <w:rPr>
                <w:rFonts w:hint="eastAsia" w:ascii="仿宋" w:hAnsi="仿宋" w:eastAsia="仿宋" w:cs="仿宋"/>
                <w:sz w:val="21"/>
                <w:szCs w:val="21"/>
                <w:highlight w:val="none"/>
                <w:vertAlign w:val="superscript"/>
              </w:rPr>
              <w:t>3</w:t>
            </w:r>
          </w:p>
        </w:tc>
        <w:tc>
          <w:tcPr>
            <w:tcW w:w="1627" w:type="dxa"/>
            <w:tcBorders>
              <w:top w:val="single" w:color="auto" w:sz="4"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1次/年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vMerge w:val="continue"/>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p>
        </w:tc>
        <w:tc>
          <w:tcPr>
            <w:tcW w:w="15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≥5.0μm</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GB/T 16292</w:t>
            </w:r>
          </w:p>
        </w:tc>
        <w:tc>
          <w:tcPr>
            <w:tcW w:w="159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15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rPr>
              <w:t>000</w:t>
            </w:r>
            <w:r>
              <w:rPr>
                <w:rFonts w:hint="eastAsia" w:ascii="仿宋" w:hAnsi="仿宋" w:eastAsia="仿宋" w:cs="仿宋"/>
                <w:sz w:val="21"/>
                <w:szCs w:val="21"/>
                <w:highlight w:val="none"/>
                <w:lang w:val="en-US" w:eastAsia="zh-CN"/>
              </w:rPr>
              <w:t>个</w:t>
            </w:r>
            <w:r>
              <w:rPr>
                <w:rFonts w:hint="eastAsia" w:ascii="仿宋" w:hAnsi="仿宋" w:eastAsia="仿宋" w:cs="仿宋"/>
                <w:sz w:val="21"/>
                <w:szCs w:val="21"/>
                <w:highlight w:val="none"/>
              </w:rPr>
              <w:t>/m</w:t>
            </w:r>
            <w:r>
              <w:rPr>
                <w:rFonts w:hint="eastAsia" w:ascii="仿宋" w:hAnsi="仿宋" w:eastAsia="仿宋" w:cs="仿宋"/>
                <w:sz w:val="21"/>
                <w:szCs w:val="21"/>
                <w:highlight w:val="none"/>
                <w:vertAlign w:val="superscript"/>
              </w:rPr>
              <w:t>3</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1次/年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vMerge w:val="restart"/>
            <w:tcBorders>
              <w:top w:val="single" w:color="000000" w:sz="2" w:space="0"/>
              <w:left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微生物最大允许数</w:t>
            </w:r>
          </w:p>
        </w:tc>
        <w:tc>
          <w:tcPr>
            <w:tcW w:w="15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浮游菌</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GB/T 16293</w:t>
            </w:r>
          </w:p>
        </w:tc>
        <w:tc>
          <w:tcPr>
            <w:tcW w:w="159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≤200 cfu/m</w:t>
            </w:r>
            <w:r>
              <w:rPr>
                <w:rFonts w:hint="eastAsia" w:ascii="仿宋" w:hAnsi="仿宋" w:eastAsia="仿宋" w:cs="仿宋"/>
                <w:sz w:val="21"/>
                <w:szCs w:val="21"/>
                <w:highlight w:val="none"/>
                <w:vertAlign w:val="superscript"/>
              </w:rPr>
              <w:t>3</w:t>
            </w:r>
          </w:p>
        </w:tc>
        <w:tc>
          <w:tcPr>
            <w:tcW w:w="115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vMerge w:val="continue"/>
            <w:tcBorders>
              <w:left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p>
        </w:tc>
        <w:tc>
          <w:tcPr>
            <w:tcW w:w="15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沉降菌</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GB/T 16294</w:t>
            </w:r>
          </w:p>
        </w:tc>
        <w:tc>
          <w:tcPr>
            <w:tcW w:w="159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≤100 cfu/4h</w:t>
            </w:r>
          </w:p>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（φ90mm）</w:t>
            </w:r>
          </w:p>
        </w:tc>
        <w:tc>
          <w:tcPr>
            <w:tcW w:w="115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vMerge w:val="continue"/>
            <w:tcBorders>
              <w:left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p>
        </w:tc>
        <w:tc>
          <w:tcPr>
            <w:tcW w:w="1554" w:type="dxa"/>
            <w:vMerge w:val="restart"/>
            <w:tcBorders>
              <w:top w:val="single" w:color="000000" w:sz="2" w:space="0"/>
              <w:left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表面微生物</w:t>
            </w:r>
            <w:r>
              <w:rPr>
                <w:rFonts w:hint="eastAsia" w:ascii="仿宋" w:hAnsi="仿宋" w:cs="仿宋"/>
                <w:sz w:val="21"/>
                <w:szCs w:val="21"/>
                <w:highlight w:val="none"/>
                <w:vertAlign w:val="superscript"/>
                <w:lang w:val="en-US" w:eastAsia="zh-CN"/>
              </w:rPr>
              <w:t>a</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1）</w:t>
            </w:r>
            <w:r>
              <w:rPr>
                <w:rFonts w:hint="eastAsia" w:ascii="仿宋" w:hAnsi="仿宋" w:eastAsia="仿宋" w:cs="仿宋"/>
                <w:sz w:val="21"/>
                <w:szCs w:val="21"/>
                <w:highlight w:val="none"/>
                <w:lang w:val="en-US" w:eastAsia="zh-CN"/>
              </w:rPr>
              <w:t xml:space="preserve">直接采样使用55mm皿测定      </w:t>
            </w:r>
          </w:p>
        </w:tc>
        <w:tc>
          <w:tcPr>
            <w:tcW w:w="159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≤50cfu/皿</w:t>
            </w:r>
          </w:p>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（φ55mm）</w:t>
            </w:r>
          </w:p>
        </w:tc>
        <w:tc>
          <w:tcPr>
            <w:tcW w:w="115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vMerge w:val="continue"/>
            <w:tcBorders>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p>
        </w:tc>
        <w:tc>
          <w:tcPr>
            <w:tcW w:w="1554" w:type="dxa"/>
            <w:vMerge w:val="continue"/>
            <w:tcBorders>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cs="仿宋"/>
                <w:sz w:val="21"/>
                <w:szCs w:val="21"/>
                <w:highlight w:val="none"/>
                <w:lang w:val="en-US" w:eastAsia="zh-CN"/>
              </w:rPr>
              <w:t>2）</w:t>
            </w:r>
            <w:r>
              <w:rPr>
                <w:rFonts w:hint="eastAsia" w:ascii="仿宋" w:hAnsi="仿宋" w:eastAsia="仿宋" w:cs="仿宋"/>
                <w:sz w:val="21"/>
                <w:szCs w:val="21"/>
                <w:highlight w:val="none"/>
              </w:rPr>
              <w:t>参照GB 15982采样，按GB 4789.2计数</w:t>
            </w:r>
          </w:p>
        </w:tc>
        <w:tc>
          <w:tcPr>
            <w:tcW w:w="159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≤50cfu</w:t>
            </w:r>
            <w:r>
              <w:rPr>
                <w:rFonts w:hint="eastAsia" w:ascii="仿宋" w:hAnsi="仿宋" w:eastAsia="仿宋" w:cs="仿宋"/>
                <w:sz w:val="21"/>
                <w:szCs w:val="21"/>
                <w:highlight w:val="none"/>
                <w:lang w:val="en-US" w:eastAsia="zh-CN"/>
              </w:rPr>
              <w:t>/25cm</w:t>
            </w:r>
            <w:r>
              <w:rPr>
                <w:rFonts w:hint="eastAsia" w:ascii="仿宋" w:hAnsi="仿宋" w:eastAsia="仿宋" w:cs="仿宋"/>
                <w:sz w:val="21"/>
                <w:szCs w:val="21"/>
                <w:highlight w:val="none"/>
                <w:vertAlign w:val="superscript"/>
                <w:lang w:val="en-US" w:eastAsia="zh-CN"/>
              </w:rPr>
              <w:t>2</w:t>
            </w:r>
          </w:p>
        </w:tc>
        <w:tc>
          <w:tcPr>
            <w:tcW w:w="115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压差</w:t>
            </w:r>
          </w:p>
        </w:tc>
        <w:tc>
          <w:tcPr>
            <w:tcW w:w="15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清洁作业区与非清洁作业区之间</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通过压差计测量</w:t>
            </w:r>
          </w:p>
        </w:tc>
        <w:tc>
          <w:tcPr>
            <w:tcW w:w="274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≥10Pa</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2次/班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换气</w:t>
            </w:r>
            <w:r>
              <w:rPr>
                <w:rFonts w:hint="eastAsia" w:ascii="仿宋" w:hAnsi="仿宋" w:cs="仿宋"/>
                <w:sz w:val="21"/>
                <w:szCs w:val="21"/>
                <w:highlight w:val="none"/>
                <w:vertAlign w:val="superscript"/>
                <w:lang w:val="en-US" w:eastAsia="zh-CN"/>
              </w:rPr>
              <w:t>b</w:t>
            </w:r>
          </w:p>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次数</w:t>
            </w:r>
          </w:p>
        </w:tc>
        <w:tc>
          <w:tcPr>
            <w:tcW w:w="15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通过测定风速验证换气次数</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通过风速仪</w:t>
            </w:r>
            <w:r>
              <w:rPr>
                <w:rFonts w:hint="eastAsia" w:ascii="仿宋" w:hAnsi="仿宋" w:eastAsia="仿宋" w:cs="仿宋"/>
                <w:sz w:val="21"/>
                <w:szCs w:val="21"/>
                <w:highlight w:val="none"/>
                <w:lang w:val="en-US" w:eastAsia="zh-CN"/>
              </w:rPr>
              <w:t>或风量罩</w:t>
            </w:r>
            <w:r>
              <w:rPr>
                <w:rFonts w:hint="eastAsia" w:ascii="仿宋" w:hAnsi="仿宋" w:eastAsia="仿宋" w:cs="仿宋"/>
                <w:sz w:val="21"/>
                <w:szCs w:val="21"/>
                <w:highlight w:val="none"/>
              </w:rPr>
              <w:t>测定</w:t>
            </w:r>
          </w:p>
        </w:tc>
        <w:tc>
          <w:tcPr>
            <w:tcW w:w="274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≥10次/h</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更换高效过滤器时委外检测及年度委外检测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温度</w:t>
            </w:r>
            <w:r>
              <w:rPr>
                <w:rFonts w:hint="eastAsia" w:ascii="仿宋" w:hAnsi="仿宋" w:cs="仿宋"/>
                <w:sz w:val="21"/>
                <w:szCs w:val="21"/>
                <w:highlight w:val="none"/>
                <w:vertAlign w:val="superscript"/>
                <w:lang w:val="en-US" w:eastAsia="zh-CN"/>
              </w:rPr>
              <w:t>c</w:t>
            </w:r>
          </w:p>
        </w:tc>
        <w:tc>
          <w:tcPr>
            <w:tcW w:w="15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通过温度</w:t>
            </w:r>
            <w:r>
              <w:rPr>
                <w:rFonts w:hint="eastAsia" w:ascii="仿宋" w:hAnsi="仿宋" w:eastAsia="仿宋" w:cs="仿宋"/>
                <w:sz w:val="21"/>
                <w:szCs w:val="21"/>
                <w:highlight w:val="none"/>
                <w:lang w:val="en-US" w:eastAsia="zh-CN"/>
              </w:rPr>
              <w:t>计量器具</w:t>
            </w:r>
            <w:r>
              <w:rPr>
                <w:rFonts w:hint="eastAsia" w:ascii="仿宋" w:hAnsi="仿宋" w:eastAsia="仿宋" w:cs="仿宋"/>
                <w:sz w:val="21"/>
                <w:szCs w:val="21"/>
                <w:highlight w:val="none"/>
              </w:rPr>
              <w:t>测定</w:t>
            </w:r>
          </w:p>
        </w:tc>
        <w:tc>
          <w:tcPr>
            <w:tcW w:w="274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—25℃</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2次/班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3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相对</w:t>
            </w:r>
            <w:r>
              <w:rPr>
                <w:rFonts w:hint="eastAsia" w:ascii="仿宋" w:hAnsi="仿宋" w:cs="仿宋"/>
                <w:sz w:val="21"/>
                <w:szCs w:val="21"/>
                <w:highlight w:val="none"/>
                <w:vertAlign w:val="superscript"/>
                <w:lang w:val="en-US" w:eastAsia="zh-CN"/>
              </w:rPr>
              <w:t>c</w:t>
            </w:r>
          </w:p>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湿度</w:t>
            </w:r>
          </w:p>
        </w:tc>
        <w:tc>
          <w:tcPr>
            <w:tcW w:w="1554"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2016"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通过湿度</w:t>
            </w:r>
            <w:r>
              <w:rPr>
                <w:rFonts w:hint="eastAsia" w:ascii="仿宋" w:hAnsi="仿宋" w:eastAsia="仿宋" w:cs="仿宋"/>
                <w:sz w:val="21"/>
                <w:szCs w:val="21"/>
                <w:highlight w:val="none"/>
                <w:lang w:val="en-US" w:eastAsia="zh-CN"/>
              </w:rPr>
              <w:t>计量器具</w:t>
            </w:r>
            <w:r>
              <w:rPr>
                <w:rFonts w:hint="eastAsia" w:ascii="仿宋" w:hAnsi="仿宋" w:eastAsia="仿宋" w:cs="仿宋"/>
                <w:sz w:val="21"/>
                <w:szCs w:val="21"/>
                <w:highlight w:val="none"/>
              </w:rPr>
              <w:t>测定</w:t>
            </w:r>
          </w:p>
        </w:tc>
        <w:tc>
          <w:tcPr>
            <w:tcW w:w="2746" w:type="dxa"/>
            <w:gridSpan w:val="2"/>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≤65%</w:t>
            </w:r>
          </w:p>
        </w:tc>
        <w:tc>
          <w:tcPr>
            <w:tcW w:w="1627"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2次/班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081" w:type="dxa"/>
            <w:gridSpan w:val="6"/>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00" w:lineRule="exact"/>
              <w:ind w:left="64" w:leftChars="20" w:right="64" w:rightChars="20"/>
              <w:rPr>
                <w:rFonts w:hint="eastAsia" w:ascii="仿宋" w:hAnsi="仿宋" w:cs="仿宋"/>
                <w:sz w:val="21"/>
                <w:szCs w:val="21"/>
                <w:highlight w:val="none"/>
                <w:lang w:val="en-US" w:eastAsia="zh-CN"/>
              </w:rPr>
            </w:pPr>
            <w:r>
              <w:rPr>
                <w:rFonts w:hint="eastAsia" w:ascii="仿宋" w:hAnsi="仿宋" w:cs="仿宋"/>
                <w:sz w:val="21"/>
                <w:szCs w:val="21"/>
                <w:highlight w:val="none"/>
                <w:lang w:val="en-US" w:eastAsia="zh-CN"/>
              </w:rPr>
              <w:t>a：可在方法1)和方法2)中选择一种方法进行监控,方法1)不适用于不规则表面的取样。</w:t>
            </w:r>
          </w:p>
          <w:p>
            <w:pPr>
              <w:spacing w:line="300" w:lineRule="exact"/>
              <w:ind w:left="64" w:leftChars="20" w:right="64" w:rightChars="20"/>
              <w:rPr>
                <w:rFonts w:hint="eastAsia" w:ascii="仿宋" w:hAnsi="仿宋" w:cs="仿宋"/>
                <w:sz w:val="21"/>
                <w:szCs w:val="21"/>
                <w:highlight w:val="none"/>
                <w:lang w:val="en-US" w:eastAsia="zh-CN"/>
              </w:rPr>
            </w:pPr>
            <w:r>
              <w:rPr>
                <w:rFonts w:hint="eastAsia" w:ascii="仿宋" w:hAnsi="仿宋" w:cs="仿宋"/>
                <w:sz w:val="21"/>
                <w:szCs w:val="21"/>
                <w:highlight w:val="none"/>
                <w:lang w:val="en-US" w:eastAsia="zh-CN"/>
              </w:rPr>
              <w:t>b：换气次数通过风速进行转换后测定。计算公式为:N=3600SV/A,监测时通过风速计算。其中,N——换气次数,次/h；S——风口通风面积,m</w:t>
            </w:r>
            <w:r>
              <w:rPr>
                <w:rFonts w:hint="eastAsia" w:ascii="仿宋" w:hAnsi="仿宋" w:cs="仿宋"/>
                <w:sz w:val="21"/>
                <w:szCs w:val="21"/>
                <w:highlight w:val="none"/>
                <w:vertAlign w:val="superscript"/>
                <w:lang w:val="en-US" w:eastAsia="zh-CN"/>
              </w:rPr>
              <w:t>2</w:t>
            </w:r>
            <w:r>
              <w:rPr>
                <w:rFonts w:hint="eastAsia" w:ascii="仿宋" w:hAnsi="仿宋" w:cs="仿宋"/>
                <w:sz w:val="21"/>
                <w:szCs w:val="21"/>
                <w:highlight w:val="none"/>
                <w:lang w:val="en-US" w:eastAsia="zh-CN"/>
              </w:rPr>
              <w:t>;A——车间容积,m</w:t>
            </w:r>
            <w:r>
              <w:rPr>
                <w:rFonts w:hint="eastAsia" w:ascii="仿宋" w:hAnsi="仿宋" w:cs="仿宋"/>
                <w:sz w:val="21"/>
                <w:szCs w:val="21"/>
                <w:highlight w:val="none"/>
                <w:vertAlign w:val="superscript"/>
                <w:lang w:val="en-US" w:eastAsia="zh-CN"/>
              </w:rPr>
              <w:t>3</w:t>
            </w:r>
            <w:r>
              <w:rPr>
                <w:rFonts w:hint="eastAsia" w:ascii="仿宋" w:hAnsi="仿宋" w:cs="仿宋"/>
                <w:sz w:val="21"/>
                <w:szCs w:val="21"/>
                <w:highlight w:val="none"/>
                <w:lang w:val="en-US" w:eastAsia="zh-CN"/>
              </w:rPr>
              <w:t>；V——测得风口平均风速,m/s。换气次数适用于层高小于4.0m的清洁作业区。层高4.0m以上的清洁作业区可适当调整换气次数,但应确保清洁作业区的洁净度。</w:t>
            </w:r>
          </w:p>
          <w:p>
            <w:pPr>
              <w:spacing w:line="300" w:lineRule="exact"/>
              <w:ind w:left="64" w:leftChars="20" w:right="64" w:rightChars="20"/>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c：特殊工序所在房间,应当根据产品及操作的性质制定温度、相对湿度等参数并说明,这些参数不应对规定的洁净度造成不良影响。如布局在清洁作业区的喷雾干燥塔区域以及杀菌或灭菌工序区域等。</w:t>
            </w:r>
          </w:p>
        </w:tc>
      </w:tr>
    </w:tbl>
    <w:p>
      <w:pPr>
        <w:tabs>
          <w:tab w:val="left" w:pos="0"/>
          <w:tab w:val="left" w:pos="425"/>
        </w:tabs>
        <w:snapToGrid w:val="0"/>
        <w:spacing w:line="540" w:lineRule="exact"/>
        <w:rPr>
          <w:rFonts w:hint="eastAsia" w:ascii="仿宋" w:hAnsi="仿宋"/>
          <w:highlight w:val="none"/>
        </w:rPr>
      </w:pPr>
      <w:r>
        <w:rPr>
          <w:rFonts w:hint="eastAsia" w:ascii="仿宋" w:hAnsi="仿宋"/>
          <w:highlight w:val="none"/>
        </w:rPr>
        <w:t>*备注：在工艺设备安装完毕或重大改造后应对清洁作业区的空气洁净度进行</w:t>
      </w:r>
      <w:r>
        <w:rPr>
          <w:rFonts w:hint="eastAsia" w:ascii="仿宋" w:hAnsi="仿宋"/>
          <w:highlight w:val="none"/>
          <w:lang w:val="en-US" w:eastAsia="zh-CN"/>
        </w:rPr>
        <w:t>检测，</w:t>
      </w:r>
      <w:r>
        <w:rPr>
          <w:rFonts w:hint="eastAsia" w:ascii="仿宋" w:hAnsi="仿宋"/>
          <w:highlight w:val="none"/>
        </w:rPr>
        <w:t>符合要求后方可投入生产。</w:t>
      </w:r>
    </w:p>
    <w:p>
      <w:pPr>
        <w:tabs>
          <w:tab w:val="left" w:pos="0"/>
          <w:tab w:val="left" w:pos="425"/>
        </w:tabs>
        <w:snapToGrid w:val="0"/>
        <w:spacing w:line="540" w:lineRule="exact"/>
        <w:ind w:firstLine="640" w:firstLineChars="200"/>
        <w:rPr>
          <w:rFonts w:hint="eastAsia" w:ascii="仿宋" w:hAnsi="仿宋"/>
          <w:highlight w:val="none"/>
        </w:rPr>
      </w:pPr>
      <w:r>
        <w:rPr>
          <w:rFonts w:hint="eastAsia" w:ascii="黑体" w:hAnsi="黑体" w:eastAsia="黑体" w:cs="黑体"/>
          <w:szCs w:val="30"/>
          <w:highlight w:val="none"/>
        </w:rPr>
        <w:t>第九条</w:t>
      </w:r>
      <w:r>
        <w:rPr>
          <w:rFonts w:hint="eastAsia" w:hAnsi="宋体"/>
          <w:szCs w:val="30"/>
          <w:highlight w:val="none"/>
        </w:rPr>
        <w:t>　</w:t>
      </w:r>
      <w:r>
        <w:rPr>
          <w:rFonts w:hint="eastAsia" w:ascii="仿宋" w:hAnsi="仿宋"/>
          <w:color w:val="auto"/>
          <w:highlight w:val="none"/>
        </w:rPr>
        <w:t>生产车间应保持环境整洁，防止虫害的侵入及孳生。车间的墙壁、地面、顶棚、门窗等应当符合《</w:t>
      </w:r>
      <w:r>
        <w:rPr>
          <w:rFonts w:hint="eastAsia" w:hAnsi="宋体"/>
          <w:color w:val="auto"/>
          <w:szCs w:val="30"/>
          <w:highlight w:val="none"/>
        </w:rPr>
        <w:t>食品生产许可审查通则</w:t>
      </w:r>
      <w:r>
        <w:rPr>
          <w:rFonts w:hint="eastAsia" w:ascii="仿宋" w:hAnsi="仿宋"/>
          <w:color w:val="auto"/>
          <w:highlight w:val="none"/>
        </w:rPr>
        <w:t>》及《</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14881）中相关要求。</w:t>
      </w:r>
    </w:p>
    <w:p>
      <w:pPr>
        <w:widowControl/>
        <w:tabs>
          <w:tab w:val="left" w:pos="0"/>
          <w:tab w:val="left" w:pos="425"/>
        </w:tabs>
        <w:snapToGrid w:val="0"/>
        <w:spacing w:line="540" w:lineRule="exact"/>
        <w:ind w:firstLine="640" w:firstLineChars="200"/>
        <w:rPr>
          <w:rFonts w:hint="eastAsia" w:ascii="仿宋" w:hAnsi="仿宋"/>
          <w:highlight w:val="none"/>
        </w:rPr>
      </w:pPr>
      <w:r>
        <w:rPr>
          <w:rFonts w:hint="eastAsia" w:ascii="黑体" w:hAnsi="黑体" w:eastAsia="黑体" w:cs="黑体"/>
          <w:szCs w:val="30"/>
          <w:highlight w:val="none"/>
        </w:rPr>
        <w:t>第十条</w:t>
      </w:r>
      <w:r>
        <w:rPr>
          <w:rFonts w:hint="eastAsia" w:hAnsi="宋体"/>
          <w:szCs w:val="30"/>
          <w:highlight w:val="none"/>
        </w:rPr>
        <w:t>　</w:t>
      </w:r>
      <w:r>
        <w:rPr>
          <w:rFonts w:hint="eastAsia" w:ascii="仿宋" w:hAnsi="仿宋"/>
          <w:color w:val="auto"/>
          <w:highlight w:val="none"/>
        </w:rPr>
        <w:t>产尘车间（如原料粉碎、干燥物料或产品的取样、称量、混合、包装等）应当采取适当的除尘或粉尘收集措施，防止粉尘扩散，避免交叉污染。</w:t>
      </w:r>
    </w:p>
    <w:p>
      <w:pPr>
        <w:tabs>
          <w:tab w:val="left" w:pos="0"/>
          <w:tab w:val="left" w:pos="425"/>
        </w:tabs>
        <w:snapToGrid w:val="0"/>
        <w:spacing w:line="540" w:lineRule="exact"/>
        <w:ind w:firstLine="640" w:firstLineChars="200"/>
        <w:rPr>
          <w:rFonts w:hint="eastAsia" w:ascii="仿宋" w:hAnsi="仿宋"/>
          <w:highlight w:val="none"/>
        </w:rPr>
      </w:pPr>
      <w:r>
        <w:rPr>
          <w:rFonts w:hint="eastAsia" w:ascii="黑体" w:hAnsi="黑体" w:eastAsia="黑体" w:cs="黑体"/>
          <w:szCs w:val="30"/>
          <w:highlight w:val="none"/>
        </w:rPr>
        <w:t>第十一条</w:t>
      </w:r>
      <w:r>
        <w:rPr>
          <w:rFonts w:hint="eastAsia" w:hAnsi="宋体"/>
          <w:szCs w:val="30"/>
          <w:highlight w:val="none"/>
        </w:rPr>
        <w:t>　</w:t>
      </w:r>
      <w:r>
        <w:rPr>
          <w:rFonts w:hint="eastAsia" w:ascii="仿宋" w:hAnsi="仿宋"/>
          <w:highlight w:val="none"/>
        </w:rPr>
        <w:t>清洁作业区、准清洁作业区的对外出入口应装设能自动关闭（如安装自动感应器或闭门器等）的门或空气幕。原料、包装材料、废弃物、设备等进出清洁作业区时，应有防止交叉污染的措施。</w:t>
      </w:r>
    </w:p>
    <w:p>
      <w:pPr>
        <w:tabs>
          <w:tab w:val="left" w:pos="0"/>
          <w:tab w:val="left" w:pos="425"/>
        </w:tabs>
        <w:snapToGrid w:val="0"/>
        <w:spacing w:line="540" w:lineRule="exact"/>
        <w:ind w:firstLine="640" w:firstLineChars="200"/>
        <w:rPr>
          <w:rFonts w:hint="eastAsia" w:ascii="仿宋" w:hAnsi="仿宋"/>
          <w:highlight w:val="none"/>
        </w:rPr>
      </w:pPr>
      <w:r>
        <w:rPr>
          <w:rFonts w:hint="eastAsia" w:ascii="黑体" w:hAnsi="黑体" w:eastAsia="黑体" w:cs="黑体"/>
          <w:szCs w:val="30"/>
          <w:highlight w:val="none"/>
        </w:rPr>
        <w:t>第十二条</w:t>
      </w:r>
      <w:r>
        <w:rPr>
          <w:rFonts w:hint="eastAsia" w:hAnsi="宋体"/>
          <w:szCs w:val="30"/>
          <w:highlight w:val="none"/>
        </w:rPr>
        <w:t>　</w:t>
      </w:r>
      <w:r>
        <w:rPr>
          <w:rFonts w:hint="eastAsia" w:ascii="仿宋" w:hAnsi="仿宋"/>
          <w:highlight w:val="none"/>
        </w:rPr>
        <w:t>清洁作业区需保持干燥，并尽量减少供排水设施和系统。如无法避免，应有防止污染的措施。</w:t>
      </w:r>
    </w:p>
    <w:p>
      <w:pPr>
        <w:tabs>
          <w:tab w:val="left" w:pos="0"/>
          <w:tab w:val="left" w:pos="425"/>
        </w:tabs>
        <w:snapToGrid w:val="0"/>
        <w:spacing w:line="540" w:lineRule="exact"/>
        <w:ind w:firstLine="640" w:firstLineChars="200"/>
        <w:rPr>
          <w:rFonts w:hint="eastAsia" w:ascii="仿宋" w:hAnsi="仿宋"/>
          <w:color w:val="auto"/>
          <w:highlight w:val="none"/>
        </w:rPr>
      </w:pPr>
      <w:r>
        <w:rPr>
          <w:rFonts w:hint="eastAsia" w:ascii="黑体" w:hAnsi="黑体" w:eastAsia="黑体" w:cs="黑体"/>
          <w:szCs w:val="30"/>
          <w:highlight w:val="none"/>
        </w:rPr>
        <w:t>第十三条</w:t>
      </w:r>
      <w:r>
        <w:rPr>
          <w:rFonts w:hint="eastAsia" w:hAnsi="宋体"/>
          <w:szCs w:val="30"/>
          <w:highlight w:val="none"/>
        </w:rPr>
        <w:t>　</w:t>
      </w:r>
      <w:r>
        <w:rPr>
          <w:rFonts w:hint="eastAsia" w:ascii="仿宋" w:hAnsi="仿宋"/>
          <w:color w:val="auto"/>
          <w:highlight w:val="none"/>
        </w:rPr>
        <w:t>库房设施应当符合《</w:t>
      </w:r>
      <w:r>
        <w:rPr>
          <w:rFonts w:hint="eastAsia" w:hAnsi="宋体"/>
          <w:color w:val="auto"/>
          <w:szCs w:val="30"/>
          <w:highlight w:val="none"/>
        </w:rPr>
        <w:t>食品生产许可审查通则</w:t>
      </w:r>
      <w:r>
        <w:rPr>
          <w:rFonts w:hint="eastAsia" w:ascii="仿宋" w:hAnsi="仿宋"/>
          <w:color w:val="auto"/>
          <w:highlight w:val="none"/>
        </w:rPr>
        <w:t>》及《</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14881）中的相关要求。</w:t>
      </w:r>
    </w:p>
    <w:p>
      <w:pPr>
        <w:widowControl/>
        <w:tabs>
          <w:tab w:val="left" w:pos="0"/>
          <w:tab w:val="left" w:pos="425"/>
        </w:tabs>
        <w:snapToGrid/>
        <w:spacing w:line="240" w:lineRule="auto"/>
        <w:ind w:firstLine="640" w:firstLineChars="200"/>
        <w:jc w:val="left"/>
        <w:rPr>
          <w:rFonts w:hint="eastAsia" w:ascii="仿宋" w:hAnsi="仿宋"/>
          <w:color w:val="auto"/>
          <w:highlight w:val="none"/>
        </w:rPr>
      </w:pPr>
      <w:r>
        <w:rPr>
          <w:rFonts w:hint="eastAsia" w:ascii="仿宋" w:hAnsi="仿宋"/>
          <w:color w:val="auto"/>
          <w:highlight w:val="none"/>
        </w:rPr>
        <w:t>接收</w:t>
      </w:r>
      <w:r>
        <w:rPr>
          <w:rFonts w:hint="eastAsia" w:ascii="仿宋" w:hAnsi="仿宋" w:eastAsia="仿宋" w:cs="Times New Roman"/>
          <w:color w:val="auto"/>
          <w:kern w:val="2"/>
          <w:sz w:val="32"/>
          <w:szCs w:val="32"/>
          <w:highlight w:val="none"/>
          <w:lang w:bidi="ar"/>
        </w:rPr>
        <w:t>、发放和发运区域</w:t>
      </w:r>
      <w:r>
        <w:rPr>
          <w:rFonts w:hint="eastAsia" w:ascii="仿宋" w:hAnsi="仿宋"/>
          <w:color w:val="auto"/>
          <w:highlight w:val="none"/>
        </w:rPr>
        <w:t>的布局和设施</w:t>
      </w:r>
      <w:r>
        <w:rPr>
          <w:rFonts w:hint="eastAsia" w:ascii="仿宋" w:hAnsi="仿宋" w:eastAsia="仿宋" w:cs="Times New Roman"/>
          <w:color w:val="auto"/>
          <w:kern w:val="2"/>
          <w:sz w:val="32"/>
          <w:szCs w:val="32"/>
          <w:highlight w:val="none"/>
          <w:lang w:bidi="ar"/>
        </w:rPr>
        <w:t>应能保护物料、产品免受外界天气（如雨、雪等）的影响。接收区</w:t>
      </w:r>
      <w:r>
        <w:rPr>
          <w:rFonts w:hint="eastAsia" w:ascii="仿宋" w:hAnsi="仿宋"/>
          <w:color w:val="auto"/>
          <w:highlight w:val="none"/>
        </w:rPr>
        <w:t>应能确保食品原料、食品添加剂和包装材料在进入仓储区前可对外包装进行必要的清洁。</w:t>
      </w:r>
    </w:p>
    <w:p>
      <w:pPr>
        <w:tabs>
          <w:tab w:val="left" w:pos="0"/>
          <w:tab w:val="left" w:pos="425"/>
        </w:tabs>
        <w:snapToGrid w:val="0"/>
        <w:spacing w:line="540" w:lineRule="exact"/>
        <w:ind w:firstLine="640" w:firstLineChars="200"/>
        <w:rPr>
          <w:rFonts w:hint="eastAsia" w:ascii="方正小标宋简体" w:hAnsi="宋体" w:eastAsia="方正小标宋简体"/>
          <w:sz w:val="36"/>
          <w:szCs w:val="36"/>
          <w:highlight w:val="none"/>
        </w:rPr>
      </w:pPr>
      <w:r>
        <w:rPr>
          <w:rFonts w:hint="eastAsia" w:ascii="仿宋" w:hAnsi="仿宋"/>
          <w:color w:val="auto"/>
          <w:highlight w:val="none"/>
        </w:rPr>
        <w:t>原辅料、半成品、成品、包装材料等应当依据性质的不同分设贮存场所，必要时应设有具备温度监控设施的冷藏（冻）库。同一仓库贮存性质不同物品时，应适当分离或分隔（如分类、分架、分区存放等），并有明显的标识。</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cs="Times New Roman"/>
          <w:sz w:val="36"/>
          <w:szCs w:val="36"/>
          <w:highlight w:val="none"/>
        </w:rPr>
      </w:pPr>
      <w:r>
        <w:rPr>
          <w:rFonts w:hint="eastAsia" w:ascii="方正小标宋简体" w:hAnsi="宋体" w:eastAsia="方正小标宋简体" w:cs="Times New Roman"/>
          <w:sz w:val="36"/>
          <w:szCs w:val="36"/>
          <w:highlight w:val="none"/>
        </w:rPr>
        <w:t>第三章　设备设施</w:t>
      </w:r>
    </w:p>
    <w:p>
      <w:pPr>
        <w:snapToGrid w:val="0"/>
        <w:spacing w:line="560" w:lineRule="exact"/>
        <w:ind w:firstLine="640" w:firstLineChars="200"/>
        <w:outlineLvl w:val="1"/>
        <w:rPr>
          <w:rFonts w:hint="eastAsia" w:ascii="仿宋" w:hAnsi="仿宋"/>
          <w:highlight w:val="none"/>
          <w:lang w:val="en-US" w:eastAsia="zh-CN"/>
        </w:rPr>
      </w:pPr>
      <w:r>
        <w:rPr>
          <w:rFonts w:hint="eastAsia" w:ascii="黑体" w:hAnsi="黑体" w:eastAsia="黑体" w:cs="黑体"/>
          <w:szCs w:val="30"/>
          <w:highlight w:val="none"/>
        </w:rPr>
        <w:t>第十四条</w:t>
      </w:r>
      <w:r>
        <w:rPr>
          <w:rFonts w:hint="eastAsia" w:hAnsi="宋体"/>
          <w:szCs w:val="30"/>
          <w:highlight w:val="none"/>
        </w:rPr>
        <w:t>　</w:t>
      </w:r>
      <w:r>
        <w:rPr>
          <w:rFonts w:hint="eastAsia" w:ascii="仿宋" w:hAnsi="仿宋"/>
          <w:color w:val="auto"/>
          <w:highlight w:val="none"/>
        </w:rPr>
        <w:t>企业设备设施，包括生产设备、供排水设施、清洁消毒设施、废弃物存放设施、个人卫生设施、通风设施、照明设施、温控设施、检验设备设施等应当符合《</w:t>
      </w:r>
      <w:r>
        <w:rPr>
          <w:rFonts w:hint="eastAsia" w:hAnsi="宋体"/>
          <w:color w:val="auto"/>
          <w:szCs w:val="30"/>
          <w:highlight w:val="none"/>
        </w:rPr>
        <w:t>食品生产许可审查通则</w:t>
      </w:r>
      <w:r>
        <w:rPr>
          <w:rFonts w:hint="eastAsia" w:ascii="仿宋" w:hAnsi="仿宋"/>
          <w:color w:val="auto"/>
          <w:highlight w:val="none"/>
        </w:rPr>
        <w:t>》和《</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14881）的</w:t>
      </w:r>
      <w:r>
        <w:rPr>
          <w:rFonts w:hint="eastAsia" w:ascii="仿宋" w:hAnsi="仿宋"/>
          <w:color w:val="auto"/>
          <w:highlight w:val="none"/>
          <w:lang w:val="en-US" w:eastAsia="zh-CN"/>
        </w:rPr>
        <w:t>相关</w:t>
      </w:r>
      <w:r>
        <w:rPr>
          <w:rFonts w:hint="eastAsia" w:ascii="仿宋" w:hAnsi="仿宋"/>
          <w:color w:val="auto"/>
          <w:highlight w:val="none"/>
        </w:rPr>
        <w:t>要求。</w:t>
      </w:r>
    </w:p>
    <w:p>
      <w:pPr>
        <w:widowControl/>
        <w:snapToGrid w:val="0"/>
        <w:spacing w:line="560" w:lineRule="exact"/>
        <w:ind w:firstLine="640" w:firstLineChars="200"/>
        <w:outlineLvl w:val="1"/>
        <w:rPr>
          <w:rFonts w:hint="eastAsia" w:ascii="仿宋" w:hAnsi="仿宋" w:eastAsia="仿宋" w:cs="Times New Roman"/>
          <w:color w:val="auto"/>
          <w:kern w:val="2"/>
          <w:sz w:val="32"/>
          <w:szCs w:val="32"/>
          <w:highlight w:val="none"/>
          <w:lang w:bidi="ar"/>
        </w:rPr>
      </w:pPr>
      <w:r>
        <w:rPr>
          <w:rFonts w:hint="eastAsia" w:ascii="黑体" w:hAnsi="黑体" w:eastAsia="黑体" w:cs="黑体"/>
          <w:szCs w:val="30"/>
          <w:highlight w:val="none"/>
        </w:rPr>
        <w:t>第十五条</w:t>
      </w:r>
      <w:r>
        <w:rPr>
          <w:rFonts w:hint="eastAsia" w:hAnsi="宋体"/>
          <w:szCs w:val="30"/>
          <w:highlight w:val="none"/>
        </w:rPr>
        <w:t>　</w:t>
      </w:r>
      <w:r>
        <w:rPr>
          <w:rFonts w:hint="eastAsia" w:ascii="仿宋" w:hAnsi="仿宋"/>
          <w:color w:val="auto"/>
          <w:highlight w:val="none"/>
        </w:rPr>
        <w:t>企业应当配备与生产的产品品种、数量相适应的生产设备，设备的材质、性能和精度应能满足生产加工的要求，</w:t>
      </w:r>
      <w:r>
        <w:rPr>
          <w:rFonts w:hint="eastAsia" w:ascii="仿宋" w:hAnsi="仿宋" w:eastAsia="仿宋" w:cs="Times New Roman"/>
          <w:color w:val="auto"/>
          <w:kern w:val="2"/>
          <w:sz w:val="32"/>
          <w:szCs w:val="32"/>
          <w:highlight w:val="none"/>
          <w:lang w:bidi="ar"/>
        </w:rPr>
        <w:t>固定管道设施应有管道内物料名称和流向标识。</w:t>
      </w:r>
    </w:p>
    <w:p>
      <w:pPr>
        <w:widowControl/>
        <w:snapToGrid w:val="0"/>
        <w:spacing w:line="560" w:lineRule="exact"/>
        <w:ind w:firstLine="640" w:firstLineChars="200"/>
        <w:outlineLvl w:val="1"/>
        <w:rPr>
          <w:rFonts w:hint="eastAsia" w:hAnsi="宋体"/>
          <w:szCs w:val="30"/>
          <w:highlight w:val="none"/>
        </w:rPr>
      </w:pPr>
      <w:r>
        <w:rPr>
          <w:rFonts w:hint="eastAsia" w:ascii="仿宋" w:hAnsi="仿宋"/>
          <w:highlight w:val="none"/>
        </w:rPr>
        <w:t>企业</w:t>
      </w:r>
      <w:r>
        <w:rPr>
          <w:rFonts w:hint="default" w:ascii="Times New Roman" w:hAnsi="宋体" w:cs="Times New Roman"/>
          <w:szCs w:val="30"/>
          <w:highlight w:val="none"/>
        </w:rPr>
        <w:t>生产设备和设施</w:t>
      </w:r>
      <w:r>
        <w:rPr>
          <w:rFonts w:hint="eastAsia" w:ascii="Times New Roman" w:hAnsi="宋体" w:cs="Times New Roman"/>
          <w:szCs w:val="30"/>
          <w:highlight w:val="none"/>
          <w:lang w:val="en-US" w:eastAsia="zh-CN"/>
        </w:rPr>
        <w:t>的配备应与产品加工工艺相符</w:t>
      </w:r>
      <w:r>
        <w:rPr>
          <w:rFonts w:hint="eastAsia" w:hAnsi="宋体"/>
          <w:szCs w:val="30"/>
          <w:highlight w:val="none"/>
        </w:rPr>
        <w:t>，具体见表</w:t>
      </w:r>
      <w:r>
        <w:rPr>
          <w:rFonts w:hint="eastAsia" w:hAnsi="宋体"/>
          <w:szCs w:val="30"/>
          <w:highlight w:val="none"/>
          <w:lang w:val="en-US" w:eastAsia="zh-CN"/>
        </w:rPr>
        <w:t>4</w:t>
      </w:r>
      <w:r>
        <w:rPr>
          <w:rFonts w:hint="eastAsia" w:hAnsi="宋体"/>
          <w:szCs w:val="30"/>
          <w:highlight w:val="none"/>
        </w:rPr>
        <w:t>。</w:t>
      </w:r>
    </w:p>
    <w:p>
      <w:pPr>
        <w:tabs>
          <w:tab w:val="left" w:pos="790"/>
          <w:tab w:val="left" w:pos="1264"/>
        </w:tabs>
        <w:overflowPunct w:val="0"/>
        <w:adjustRightInd w:val="0"/>
        <w:snapToGrid w:val="0"/>
        <w:spacing w:line="560" w:lineRule="exact"/>
        <w:ind w:firstLine="624"/>
        <w:jc w:val="center"/>
        <w:rPr>
          <w:rFonts w:hint="eastAsia" w:hAnsi="宋体"/>
          <w:szCs w:val="30"/>
          <w:highlight w:val="none"/>
        </w:rPr>
      </w:pPr>
      <w:r>
        <w:rPr>
          <w:rFonts w:hint="eastAsia" w:hAnsi="宋体"/>
          <w:szCs w:val="30"/>
          <w:highlight w:val="none"/>
        </w:rPr>
        <w:t>表</w:t>
      </w:r>
      <w:r>
        <w:rPr>
          <w:rFonts w:hint="eastAsia" w:ascii="宋体" w:hAnsi="宋体" w:eastAsia="宋体" w:cs="宋体"/>
          <w:szCs w:val="30"/>
          <w:highlight w:val="none"/>
          <w:lang w:val="en-US" w:eastAsia="zh-CN"/>
        </w:rPr>
        <w:t>4</w:t>
      </w:r>
      <w:r>
        <w:rPr>
          <w:rFonts w:hint="eastAsia" w:hAnsi="宋体"/>
          <w:szCs w:val="30"/>
          <w:highlight w:val="none"/>
        </w:rPr>
        <w:t>运动营养补充品基本生产工艺和设备</w:t>
      </w:r>
    </w:p>
    <w:tbl>
      <w:tblPr>
        <w:tblStyle w:val="5"/>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649"/>
        <w:gridCol w:w="1639"/>
        <w:gridCol w:w="2888"/>
        <w:gridCol w:w="3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top"/>
          </w:tcPr>
          <w:p>
            <w:pPr>
              <w:spacing w:line="32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类别</w:t>
            </w: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基本生产工艺</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生产设备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生产设备要求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restart"/>
            <w:tcBorders>
              <w:top w:val="single" w:color="000000" w:sz="2" w:space="0"/>
              <w:left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液体类</w:t>
            </w: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原料预处理</w:t>
            </w:r>
            <w:r>
              <w:rPr>
                <w:rFonts w:hint="eastAsia" w:ascii="仿宋" w:hAnsi="仿宋" w:cs="仿宋"/>
                <w:sz w:val="21"/>
                <w:szCs w:val="21"/>
                <w:highlight w:val="none"/>
                <w:lang w:eastAsia="zh-CN"/>
              </w:rPr>
              <w:t>（若有此工艺）</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预处理设备（如分选设备、洗涤设备、过滤设备等）、水处理设备</w:t>
            </w:r>
            <w:r>
              <w:rPr>
                <w:rFonts w:hint="eastAsia" w:ascii="仿宋" w:hAnsi="仿宋" w:cs="仿宋"/>
                <w:color w:val="auto"/>
                <w:sz w:val="21"/>
                <w:szCs w:val="21"/>
                <w:highlight w:val="none"/>
                <w:lang w:eastAsia="zh-CN"/>
              </w:rPr>
              <w:t>（</w:t>
            </w:r>
            <w:r>
              <w:rPr>
                <w:rFonts w:hint="eastAsia" w:ascii="仿宋" w:hAnsi="仿宋" w:cs="仿宋"/>
                <w:color w:val="auto"/>
                <w:sz w:val="21"/>
                <w:szCs w:val="21"/>
                <w:highlight w:val="none"/>
                <w:lang w:val="en-US" w:eastAsia="zh-CN"/>
              </w:rPr>
              <w:t>必要时</w:t>
            </w:r>
            <w:r>
              <w:rPr>
                <w:rFonts w:hint="eastAsia" w:ascii="仿宋" w:hAnsi="仿宋" w:cs="仿宋"/>
                <w:color w:val="auto"/>
                <w:sz w:val="21"/>
                <w:szCs w:val="21"/>
                <w:highlight w:val="none"/>
                <w:lang w:eastAsia="zh-CN"/>
              </w:rPr>
              <w:t>）等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处理设备材质、性能、精度匹配生产工艺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配料</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称量设备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称量设备的量程、精度应匹配生产投料的要求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3</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混合</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color w:val="auto"/>
                <w:sz w:val="21"/>
                <w:szCs w:val="21"/>
                <w:highlight w:val="none"/>
              </w:rPr>
            </w:pPr>
            <w:r>
              <w:rPr>
                <w:rFonts w:hint="eastAsia" w:ascii="仿宋" w:hAnsi="仿宋" w:cs="仿宋"/>
                <w:color w:val="auto"/>
                <w:sz w:val="21"/>
                <w:szCs w:val="21"/>
                <w:highlight w:val="none"/>
                <w:lang w:eastAsia="zh-CN"/>
              </w:rPr>
              <w:t>预混设备</w:t>
            </w:r>
            <w:r>
              <w:rPr>
                <w:rFonts w:hint="eastAsia" w:ascii="仿宋" w:hAnsi="仿宋" w:eastAsia="仿宋" w:cs="仿宋"/>
                <w:color w:val="auto"/>
                <w:sz w:val="21"/>
                <w:szCs w:val="21"/>
                <w:highlight w:val="none"/>
              </w:rPr>
              <w:t>、混合设备等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应具备与相同或相似类别的食品工艺要求相应的设备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default" w:ascii="仿宋" w:hAnsi="仿宋" w:cs="仿宋"/>
                <w:sz w:val="21"/>
                <w:szCs w:val="21"/>
                <w:highlight w:val="none"/>
                <w:lang w:val="en-US" w:eastAsia="zh-CN"/>
              </w:rPr>
            </w:pPr>
            <w:r>
              <w:rPr>
                <w:rFonts w:hint="eastAsia" w:ascii="仿宋" w:hAnsi="仿宋" w:cs="仿宋"/>
                <w:sz w:val="21"/>
                <w:szCs w:val="21"/>
                <w:highlight w:val="none"/>
                <w:lang w:val="en-US" w:eastAsia="zh-CN"/>
              </w:rPr>
              <w:t>4</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过滤</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color w:val="auto"/>
                <w:kern w:val="2"/>
                <w:sz w:val="21"/>
                <w:szCs w:val="21"/>
                <w:highlight w:val="none"/>
                <w:lang w:val="en-US" w:eastAsia="zh-CN" w:bidi="ar-SA"/>
              </w:rPr>
            </w:pPr>
            <w:r>
              <w:rPr>
                <w:rFonts w:hint="eastAsia" w:ascii="仿宋" w:hAnsi="仿宋" w:cs="仿宋"/>
                <w:color w:val="auto"/>
                <w:sz w:val="21"/>
                <w:szCs w:val="21"/>
                <w:highlight w:val="none"/>
                <w:lang w:val="en-US" w:eastAsia="zh-CN"/>
              </w:rPr>
              <w:t>过滤设备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应具备符合产品性质的相应设备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5</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灌装</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全自动灌装设备、包装材料清洁设备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灌装设备应带有自动质量计量</w:t>
            </w:r>
            <w:r>
              <w:rPr>
                <w:rFonts w:hint="eastAsia" w:ascii="仿宋" w:hAnsi="仿宋" w:cs="仿宋"/>
                <w:sz w:val="21"/>
                <w:szCs w:val="21"/>
                <w:highlight w:val="none"/>
                <w:lang w:eastAsia="zh-CN"/>
              </w:rPr>
              <w:t>和剔除</w:t>
            </w:r>
            <w:r>
              <w:rPr>
                <w:rFonts w:hint="eastAsia" w:ascii="仿宋" w:hAnsi="仿宋" w:eastAsia="仿宋" w:cs="仿宋"/>
                <w:sz w:val="21"/>
                <w:szCs w:val="21"/>
                <w:highlight w:val="none"/>
                <w:lang w:val="en-US" w:eastAsia="zh-CN"/>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6</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杀菌</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杀菌</w:t>
            </w:r>
            <w:r>
              <w:rPr>
                <w:rFonts w:hint="eastAsia" w:ascii="仿宋" w:hAnsi="仿宋" w:eastAsia="仿宋" w:cs="仿宋"/>
                <w:color w:val="auto"/>
                <w:sz w:val="21"/>
                <w:szCs w:val="21"/>
                <w:highlight w:val="none"/>
              </w:rPr>
              <w:t>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带自动温度记录仪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649" w:type="dxa"/>
            <w:vMerge w:val="continue"/>
            <w:tcBorders>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7</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清洗</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CIP清洗设备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带有自动循环系统，</w:t>
            </w:r>
            <w:r>
              <w:rPr>
                <w:rFonts w:hint="eastAsia" w:ascii="仿宋" w:hAnsi="仿宋" w:eastAsia="仿宋" w:cs="仿宋"/>
                <w:sz w:val="21"/>
                <w:szCs w:val="21"/>
                <w:highlight w:val="none"/>
              </w:rPr>
              <w:t>应具备</w:t>
            </w:r>
            <w:r>
              <w:rPr>
                <w:rFonts w:hint="eastAsia" w:ascii="仿宋" w:hAnsi="仿宋" w:eastAsia="仿宋" w:cs="仿宋"/>
                <w:sz w:val="21"/>
                <w:szCs w:val="21"/>
                <w:highlight w:val="none"/>
                <w:lang w:val="en-US" w:eastAsia="zh-CN"/>
              </w:rPr>
              <w:t>碱罐、酸罐和水罐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restart"/>
            <w:tcBorders>
              <w:top w:val="single" w:color="000000" w:sz="2" w:space="0"/>
              <w:left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固</w:t>
            </w:r>
            <w:r>
              <w:rPr>
                <w:rFonts w:hint="eastAsia" w:ascii="仿宋" w:hAnsi="仿宋" w:cs="仿宋"/>
                <w:sz w:val="21"/>
                <w:szCs w:val="21"/>
                <w:highlight w:val="none"/>
                <w:lang w:eastAsia="zh-CN"/>
              </w:rPr>
              <w:t>体</w:t>
            </w:r>
            <w:r>
              <w:rPr>
                <w:rFonts w:hint="eastAsia" w:ascii="仿宋" w:hAnsi="仿宋" w:eastAsia="仿宋" w:cs="仿宋"/>
                <w:sz w:val="21"/>
                <w:szCs w:val="21"/>
                <w:highlight w:val="none"/>
              </w:rPr>
              <w:t>类</w:t>
            </w:r>
            <w:r>
              <w:rPr>
                <w:rFonts w:hint="eastAsia" w:ascii="仿宋" w:hAnsi="仿宋" w:cs="仿宋"/>
                <w:sz w:val="21"/>
                <w:szCs w:val="21"/>
                <w:highlight w:val="none"/>
                <w:lang w:eastAsia="zh-CN"/>
              </w:rPr>
              <w:t>（</w:t>
            </w:r>
            <w:r>
              <w:rPr>
                <w:rFonts w:hint="eastAsia" w:ascii="仿宋" w:hAnsi="仿宋" w:cs="仿宋"/>
                <w:sz w:val="21"/>
                <w:szCs w:val="21"/>
                <w:highlight w:val="none"/>
                <w:lang w:val="en-US" w:eastAsia="zh-CN"/>
              </w:rPr>
              <w:t>粉状、块状、粒状等。</w:t>
            </w:r>
            <w:r>
              <w:rPr>
                <w:rFonts w:hint="eastAsia" w:ascii="仿宋" w:hAnsi="仿宋" w:cs="仿宋"/>
                <w:sz w:val="21"/>
                <w:szCs w:val="21"/>
                <w:highlight w:val="none"/>
                <w:lang w:eastAsia="zh-CN"/>
              </w:rPr>
              <w:t>）</w:t>
            </w: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原料处理（若有此工艺）</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预处理设备（如分选设备、洗涤设备、过滤设备等）、水处理设备</w:t>
            </w:r>
            <w:r>
              <w:rPr>
                <w:rFonts w:hint="eastAsia" w:ascii="仿宋" w:hAnsi="仿宋" w:cs="仿宋"/>
                <w:sz w:val="21"/>
                <w:szCs w:val="21"/>
                <w:highlight w:val="none"/>
                <w:lang w:eastAsia="zh-CN"/>
              </w:rPr>
              <w:t>（必要时）等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cs="仿宋"/>
                <w:sz w:val="21"/>
                <w:szCs w:val="21"/>
                <w:highlight w:val="none"/>
                <w:lang w:eastAsia="zh-CN"/>
              </w:rPr>
              <w:t>处理设备材质、性能、精度匹配生产工艺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2</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配料</w:t>
            </w:r>
            <w:r>
              <w:rPr>
                <w:rFonts w:hint="eastAsia" w:ascii="仿宋" w:hAnsi="仿宋" w:eastAsia="仿宋" w:cs="仿宋"/>
                <w:sz w:val="21"/>
                <w:szCs w:val="21"/>
                <w:highlight w:val="none"/>
              </w:rPr>
              <w:t>混合</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称量设备、混合设备、贮存设备等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称量设备的量程、精度应匹配生产投料的要求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3</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成型（若有此工艺）</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成型设备等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cs="仿宋"/>
                <w:sz w:val="21"/>
                <w:szCs w:val="21"/>
                <w:highlight w:val="none"/>
                <w:lang w:eastAsia="zh-CN"/>
              </w:rPr>
              <w:t>成型设备材质符合要求；性能精度匹配生产工艺要求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center"/>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4</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包装</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cs="仿宋"/>
                <w:sz w:val="21"/>
                <w:szCs w:val="21"/>
                <w:highlight w:val="none"/>
                <w:lang w:eastAsia="zh-CN"/>
              </w:rPr>
              <w:t>全</w:t>
            </w:r>
            <w:r>
              <w:rPr>
                <w:rFonts w:hint="eastAsia" w:ascii="仿宋" w:hAnsi="仿宋" w:eastAsia="仿宋" w:cs="仿宋"/>
                <w:sz w:val="21"/>
                <w:szCs w:val="21"/>
                <w:highlight w:val="none"/>
              </w:rPr>
              <w:t>自动包装机</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带有自动质量计量和剔除系统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lang w:eastAsia="zh-CN"/>
              </w:rPr>
            </w:pPr>
            <w:r>
              <w:rPr>
                <w:rFonts w:hint="eastAsia" w:ascii="仿宋" w:hAnsi="仿宋" w:cs="仿宋"/>
                <w:sz w:val="21"/>
                <w:szCs w:val="21"/>
                <w:highlight w:val="none"/>
                <w:lang w:val="en-US" w:eastAsia="zh-CN"/>
              </w:rPr>
              <w:t>5</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在线或成品金属检测</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X光异物监控设备或金属检测设备（或其它能检测出金属的设备）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自动控制；能检测出球径≥2mm金属，</w:t>
            </w:r>
            <w:r>
              <w:rPr>
                <w:rFonts w:hint="eastAsia" w:ascii="仿宋" w:hAnsi="仿宋" w:cs="仿宋"/>
                <w:sz w:val="21"/>
                <w:szCs w:val="21"/>
                <w:highlight w:val="none"/>
                <w:lang w:eastAsia="zh-CN"/>
              </w:rPr>
              <w:t>并配备</w:t>
            </w:r>
            <w:r>
              <w:rPr>
                <w:rFonts w:hint="eastAsia" w:ascii="仿宋" w:hAnsi="仿宋" w:cs="仿宋"/>
                <w:sz w:val="21"/>
                <w:szCs w:val="21"/>
                <w:highlight w:val="none"/>
                <w:lang w:val="en-US" w:eastAsia="zh-CN"/>
              </w:rPr>
              <w:t>剔除</w:t>
            </w:r>
            <w:r>
              <w:rPr>
                <w:rFonts w:hint="eastAsia" w:ascii="仿宋" w:hAnsi="仿宋" w:cs="仿宋"/>
                <w:sz w:val="21"/>
                <w:szCs w:val="21"/>
                <w:highlight w:val="none"/>
                <w:lang w:eastAsia="zh-CN"/>
              </w:rPr>
              <w:t>设备（必要时），保证产品不含金属和其他异物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restart"/>
            <w:tcBorders>
              <w:left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半固</w:t>
            </w:r>
            <w:r>
              <w:rPr>
                <w:rFonts w:hint="eastAsia" w:ascii="仿宋" w:hAnsi="仿宋" w:cs="仿宋"/>
                <w:sz w:val="21"/>
                <w:szCs w:val="21"/>
                <w:highlight w:val="none"/>
                <w:lang w:eastAsia="zh-CN"/>
              </w:rPr>
              <w:t>体</w:t>
            </w:r>
            <w:r>
              <w:rPr>
                <w:rFonts w:hint="eastAsia" w:ascii="仿宋" w:hAnsi="仿宋" w:eastAsia="仿宋" w:cs="仿宋"/>
                <w:sz w:val="21"/>
                <w:szCs w:val="21"/>
                <w:highlight w:val="none"/>
              </w:rPr>
              <w:t>类</w:t>
            </w: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原料</w:t>
            </w:r>
            <w:r>
              <w:rPr>
                <w:rFonts w:hint="eastAsia" w:ascii="仿宋" w:hAnsi="仿宋" w:cs="仿宋"/>
                <w:sz w:val="21"/>
                <w:szCs w:val="21"/>
                <w:highlight w:val="none"/>
                <w:lang w:val="en-US" w:eastAsia="zh-CN"/>
              </w:rPr>
              <w:t>预</w:t>
            </w:r>
            <w:r>
              <w:rPr>
                <w:rFonts w:hint="eastAsia" w:ascii="仿宋" w:hAnsi="仿宋" w:eastAsia="仿宋" w:cs="仿宋"/>
                <w:sz w:val="21"/>
                <w:szCs w:val="21"/>
                <w:highlight w:val="none"/>
              </w:rPr>
              <w:t>处理</w:t>
            </w:r>
            <w:r>
              <w:rPr>
                <w:rFonts w:hint="eastAsia" w:ascii="仿宋" w:hAnsi="仿宋" w:cs="仿宋"/>
                <w:sz w:val="21"/>
                <w:szCs w:val="21"/>
                <w:highlight w:val="none"/>
                <w:lang w:eastAsia="zh-CN"/>
              </w:rPr>
              <w:t>（若有此工艺）</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筛分设备、煮料设备等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处理设备材质、性能、精度匹配生产工艺要求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top"/>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调配</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称量设备</w:t>
            </w:r>
            <w:r>
              <w:rPr>
                <w:rFonts w:hint="eastAsia" w:ascii="仿宋" w:hAnsi="仿宋" w:cs="仿宋"/>
                <w:sz w:val="21"/>
                <w:szCs w:val="21"/>
                <w:highlight w:val="none"/>
                <w:lang w:eastAsia="zh-CN"/>
              </w:rPr>
              <w:t>、混合设备、贮存设备等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称量设备的量程、精度应匹配生产投料的要求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top"/>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jc w:val="center"/>
              <w:rPr>
                <w:rFonts w:hint="default" w:ascii="仿宋" w:hAnsi="仿宋" w:eastAsia="仿宋" w:cs="仿宋"/>
                <w:kern w:val="2"/>
                <w:sz w:val="21"/>
                <w:szCs w:val="21"/>
                <w:highlight w:val="none"/>
                <w:lang w:val="en-US" w:eastAsia="zh-CN" w:bidi="ar-SA"/>
              </w:rPr>
            </w:pPr>
            <w:r>
              <w:rPr>
                <w:rFonts w:hint="eastAsia" w:ascii="仿宋" w:hAnsi="仿宋" w:cs="仿宋"/>
                <w:kern w:val="2"/>
                <w:sz w:val="21"/>
                <w:szCs w:val="21"/>
                <w:highlight w:val="none"/>
                <w:lang w:val="en-US" w:eastAsia="zh-CN" w:bidi="ar-SA"/>
              </w:rPr>
              <w:t>3</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default"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过滤（必要时）</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default" w:ascii="仿宋" w:hAnsi="仿宋" w:eastAsia="仿宋" w:cs="仿宋"/>
                <w:color w:val="0000FF"/>
                <w:kern w:val="2"/>
                <w:sz w:val="21"/>
                <w:szCs w:val="21"/>
                <w:highlight w:val="none"/>
                <w:lang w:val="en-US" w:eastAsia="zh-CN" w:bidi="ar-SA"/>
              </w:rPr>
            </w:pPr>
            <w:r>
              <w:rPr>
                <w:rFonts w:hint="eastAsia" w:ascii="仿宋" w:hAnsi="仿宋" w:cs="仿宋"/>
                <w:color w:val="auto"/>
                <w:sz w:val="21"/>
                <w:szCs w:val="21"/>
                <w:highlight w:val="none"/>
                <w:lang w:val="en-US" w:eastAsia="zh-CN"/>
              </w:rPr>
              <w:t>过滤设备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val="en-US" w:eastAsia="zh-CN"/>
              </w:rPr>
              <w:t>应具备符合产品性质的相应设备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top"/>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4</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罐装</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全自动罐装设备、包装材料清洁消毒设备等</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灌装设备应带有自动质量计量和剔除系统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top"/>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default"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5</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杀菌</w:t>
            </w:r>
            <w:r>
              <w:rPr>
                <w:rFonts w:hint="eastAsia" w:ascii="仿宋" w:hAnsi="仿宋" w:cs="仿宋"/>
                <w:sz w:val="21"/>
                <w:szCs w:val="21"/>
                <w:highlight w:val="none"/>
                <w:lang w:val="en-US" w:eastAsia="zh-CN"/>
              </w:rPr>
              <w:t xml:space="preserve"> </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杀菌设备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kern w:val="2"/>
                <w:sz w:val="21"/>
                <w:szCs w:val="21"/>
                <w:highlight w:val="none"/>
                <w:lang w:val="en-US" w:eastAsia="zh-CN" w:bidi="ar-SA"/>
              </w:rPr>
            </w:pPr>
            <w:r>
              <w:rPr>
                <w:rFonts w:hint="eastAsia" w:ascii="仿宋" w:hAnsi="仿宋" w:cs="仿宋"/>
                <w:sz w:val="21"/>
                <w:szCs w:val="21"/>
                <w:highlight w:val="none"/>
                <w:lang w:eastAsia="zh-CN"/>
              </w:rPr>
              <w:t>带自动温度计录仪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49" w:type="dxa"/>
            <w:vMerge w:val="continue"/>
            <w:tcBorders>
              <w:left w:val="single" w:color="000000" w:sz="2" w:space="0"/>
              <w:right w:val="single" w:color="000000" w:sz="2" w:space="0"/>
            </w:tcBorders>
            <w:shd w:val="clear" w:color="auto" w:fill="FFFFFF"/>
            <w:noWrap w:val="0"/>
            <w:vAlign w:val="top"/>
          </w:tcPr>
          <w:p>
            <w:pPr>
              <w:spacing w:line="320" w:lineRule="exact"/>
              <w:ind w:right="64" w:rightChars="20"/>
              <w:rPr>
                <w:rFonts w:hint="eastAsia" w:ascii="仿宋" w:hAnsi="仿宋" w:eastAsia="仿宋" w:cs="仿宋"/>
                <w:sz w:val="21"/>
                <w:szCs w:val="21"/>
                <w:highlight w:val="none"/>
              </w:rPr>
            </w:pPr>
          </w:p>
        </w:tc>
        <w:tc>
          <w:tcPr>
            <w:tcW w:w="64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right="64" w:rightChars="20"/>
              <w:jc w:val="center"/>
              <w:rPr>
                <w:rFonts w:hint="eastAsia" w:ascii="仿宋" w:hAnsi="仿宋" w:eastAsia="仿宋" w:cs="仿宋"/>
                <w:sz w:val="21"/>
                <w:szCs w:val="21"/>
                <w:highlight w:val="none"/>
                <w:lang w:val="en-US" w:eastAsia="zh-CN"/>
              </w:rPr>
            </w:pPr>
            <w:r>
              <w:rPr>
                <w:rFonts w:hint="eastAsia" w:ascii="仿宋" w:hAnsi="仿宋" w:cs="仿宋"/>
                <w:sz w:val="21"/>
                <w:szCs w:val="21"/>
                <w:highlight w:val="none"/>
                <w:lang w:val="en-US" w:eastAsia="zh-CN"/>
              </w:rPr>
              <w:t>6</w:t>
            </w:r>
          </w:p>
        </w:tc>
        <w:tc>
          <w:tcPr>
            <w:tcW w:w="163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在线或成品金属检测</w:t>
            </w:r>
          </w:p>
        </w:tc>
        <w:tc>
          <w:tcPr>
            <w:tcW w:w="2888"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X光异物监控设备或金属检测设备（或其它能检测出金属的设备）</w:t>
            </w:r>
          </w:p>
        </w:tc>
        <w:tc>
          <w:tcPr>
            <w:tcW w:w="35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spacing w:line="320" w:lineRule="exact"/>
              <w:ind w:left="64" w:leftChars="20" w:right="64" w:rightChars="20"/>
              <w:rPr>
                <w:rFonts w:hint="eastAsia" w:ascii="仿宋" w:hAnsi="仿宋" w:eastAsia="仿宋" w:cs="仿宋"/>
                <w:sz w:val="21"/>
                <w:szCs w:val="21"/>
                <w:highlight w:val="none"/>
              </w:rPr>
            </w:pPr>
            <w:r>
              <w:rPr>
                <w:rFonts w:hint="eastAsia" w:ascii="仿宋" w:hAnsi="仿宋" w:eastAsia="仿宋" w:cs="仿宋"/>
                <w:sz w:val="21"/>
                <w:szCs w:val="21"/>
                <w:highlight w:val="none"/>
              </w:rPr>
              <w:t>自动控制，能检测出球径≥2mm金属，并配备剔除设备</w:t>
            </w:r>
            <w:r>
              <w:rPr>
                <w:rFonts w:hint="eastAsia" w:ascii="仿宋" w:hAnsi="仿宋" w:cs="仿宋"/>
                <w:sz w:val="21"/>
                <w:szCs w:val="21"/>
                <w:highlight w:val="none"/>
                <w:lang w:eastAsia="zh-CN"/>
              </w:rPr>
              <w:t>（</w:t>
            </w:r>
            <w:r>
              <w:rPr>
                <w:rFonts w:hint="eastAsia" w:ascii="仿宋" w:hAnsi="仿宋" w:cs="仿宋"/>
                <w:sz w:val="21"/>
                <w:szCs w:val="21"/>
                <w:highlight w:val="none"/>
                <w:lang w:val="en-US" w:eastAsia="zh-CN"/>
              </w:rPr>
              <w:t>必要时</w:t>
            </w:r>
            <w:r>
              <w:rPr>
                <w:rFonts w:hint="eastAsia" w:ascii="仿宋" w:hAnsi="仿宋" w:cs="仿宋"/>
                <w:sz w:val="21"/>
                <w:szCs w:val="21"/>
                <w:highlight w:val="none"/>
                <w:lang w:eastAsia="zh-CN"/>
              </w:rPr>
              <w:t>）</w:t>
            </w:r>
            <w:r>
              <w:rPr>
                <w:rFonts w:hint="eastAsia" w:ascii="仿宋" w:hAnsi="仿宋" w:eastAsia="仿宋" w:cs="仿宋"/>
                <w:sz w:val="21"/>
                <w:szCs w:val="21"/>
                <w:highlight w:val="none"/>
              </w:rPr>
              <w:t>，保证产品不含金属和其他异物</w:t>
            </w:r>
          </w:p>
        </w:tc>
      </w:tr>
    </w:tbl>
    <w:p>
      <w:pPr>
        <w:widowControl/>
        <w:numPr>
          <w:ilvl w:val="0"/>
          <w:numId w:val="0"/>
        </w:numPr>
        <w:snapToGrid w:val="0"/>
        <w:spacing w:line="560" w:lineRule="exact"/>
        <w:ind w:firstLine="640" w:firstLineChars="200"/>
        <w:outlineLvl w:val="1"/>
        <w:rPr>
          <w:rFonts w:eastAsia="仿宋_GB2312"/>
          <w:kern w:val="0"/>
          <w:sz w:val="32"/>
          <w:szCs w:val="32"/>
          <w:highlight w:val="none"/>
        </w:rPr>
      </w:pPr>
      <w:r>
        <w:rPr>
          <w:rFonts w:hint="eastAsia" w:ascii="黑体" w:hAnsi="黑体" w:eastAsia="黑体" w:cs="黑体"/>
          <w:szCs w:val="30"/>
          <w:highlight w:val="none"/>
        </w:rPr>
        <w:t>第十</w:t>
      </w:r>
      <w:r>
        <w:rPr>
          <w:rFonts w:hint="eastAsia" w:ascii="黑体" w:hAnsi="黑体" w:eastAsia="黑体" w:cs="黑体"/>
          <w:szCs w:val="30"/>
          <w:highlight w:val="none"/>
          <w:lang w:val="en-US" w:eastAsia="zh-CN"/>
        </w:rPr>
        <w:t>六</w:t>
      </w:r>
      <w:r>
        <w:rPr>
          <w:rFonts w:hint="eastAsia" w:ascii="黑体" w:hAnsi="黑体" w:eastAsia="黑体" w:cs="黑体"/>
          <w:szCs w:val="30"/>
          <w:highlight w:val="none"/>
        </w:rPr>
        <w:t>条</w:t>
      </w:r>
      <w:r>
        <w:rPr>
          <w:rFonts w:hint="eastAsia" w:hAnsi="宋体"/>
          <w:szCs w:val="30"/>
          <w:highlight w:val="none"/>
        </w:rPr>
        <w:t>　</w:t>
      </w:r>
      <w:r>
        <w:rPr>
          <w:rFonts w:eastAsia="仿宋_GB2312"/>
          <w:kern w:val="0"/>
          <w:sz w:val="32"/>
          <w:szCs w:val="32"/>
          <w:highlight w:val="none"/>
        </w:rPr>
        <w:t>有合理的排水设施和废水处理设施，排水流向应由清洁程度要求高的区域流向清洁程度要求低的区域，排水系统入口应安装带水封的地漏，以防止固体废弃物进入及浊气逸出，并有防止废水逆流的设计。</w:t>
      </w:r>
    </w:p>
    <w:p>
      <w:pPr>
        <w:widowControl/>
        <w:numPr>
          <w:ilvl w:val="0"/>
          <w:numId w:val="0"/>
        </w:numPr>
        <w:snapToGrid w:val="0"/>
        <w:spacing w:line="560" w:lineRule="exact"/>
        <w:ind w:firstLine="640" w:firstLineChars="200"/>
        <w:outlineLvl w:val="1"/>
        <w:rPr>
          <w:rFonts w:hint="eastAsia" w:ascii="仿宋" w:hAnsi="仿宋"/>
          <w:highlight w:val="none"/>
        </w:rPr>
      </w:pPr>
      <w:r>
        <w:rPr>
          <w:rFonts w:hint="eastAsia" w:ascii="黑体" w:hAnsi="黑体" w:eastAsia="黑体" w:cs="黑体"/>
          <w:szCs w:val="30"/>
          <w:highlight w:val="none"/>
        </w:rPr>
        <w:t>第十七条</w:t>
      </w:r>
      <w:r>
        <w:rPr>
          <w:rFonts w:hint="eastAsia" w:hAnsi="宋体"/>
          <w:szCs w:val="30"/>
          <w:highlight w:val="none"/>
        </w:rPr>
        <w:t>　</w:t>
      </w:r>
      <w:r>
        <w:rPr>
          <w:rFonts w:hint="eastAsia" w:ascii="仿宋" w:hAnsi="仿宋"/>
          <w:highlight w:val="none"/>
        </w:rPr>
        <w:t>企业应当配备与生产需求相适应的食品、工器具和设备的清洁设施，必要时配备相应的消毒设施。使用的洗涤剂、消毒剂应当符合相关规定。</w:t>
      </w:r>
    </w:p>
    <w:p>
      <w:pPr>
        <w:widowControl/>
        <w:numPr>
          <w:ilvl w:val="0"/>
          <w:numId w:val="0"/>
        </w:numPr>
        <w:snapToGrid w:val="0"/>
        <w:spacing w:line="560" w:lineRule="exact"/>
        <w:ind w:firstLine="640" w:firstLineChars="200"/>
        <w:outlineLvl w:val="1"/>
        <w:rPr>
          <w:rFonts w:hint="eastAsia" w:ascii="仿宋" w:hAnsi="仿宋" w:cs="Times New Roman"/>
          <w:highlight w:val="none"/>
        </w:rPr>
      </w:pPr>
      <w:r>
        <w:rPr>
          <w:rFonts w:hint="eastAsia" w:ascii="黑体" w:hAnsi="黑体" w:eastAsia="黑体" w:cs="黑体"/>
          <w:szCs w:val="30"/>
          <w:highlight w:val="none"/>
        </w:rPr>
        <w:t>第十</w:t>
      </w:r>
      <w:r>
        <w:rPr>
          <w:rFonts w:hint="eastAsia" w:ascii="黑体" w:hAnsi="黑体" w:eastAsia="黑体" w:cs="黑体"/>
          <w:szCs w:val="30"/>
          <w:highlight w:val="none"/>
          <w:lang w:val="en-US" w:eastAsia="zh-CN"/>
        </w:rPr>
        <w:t>八</w:t>
      </w:r>
      <w:r>
        <w:rPr>
          <w:rFonts w:hint="eastAsia" w:ascii="黑体" w:hAnsi="黑体" w:eastAsia="黑体" w:cs="黑体"/>
          <w:szCs w:val="30"/>
          <w:highlight w:val="none"/>
        </w:rPr>
        <w:t>条</w:t>
      </w:r>
      <w:r>
        <w:rPr>
          <w:rFonts w:hint="eastAsia" w:hAnsi="宋体"/>
          <w:szCs w:val="30"/>
          <w:highlight w:val="none"/>
        </w:rPr>
        <w:t>　</w:t>
      </w:r>
      <w:r>
        <w:rPr>
          <w:rFonts w:hint="eastAsia" w:ascii="仿宋" w:hAnsi="仿宋" w:cs="Times New Roman"/>
          <w:highlight w:val="none"/>
          <w:lang w:val="en-US" w:eastAsia="zh-CN"/>
        </w:rPr>
        <w:t>应当配备设计合理、防止渗漏、易于清洁的存放废弃物的专用设施，必要时可设置废弃物临时存放设施。车间内存放废弃物的设施和容器应当标识清晰，不得与盛装原料、半成品、成品的容器混用。</w:t>
      </w:r>
    </w:p>
    <w:p>
      <w:pPr>
        <w:keepNext w:val="0"/>
        <w:keepLines w:val="0"/>
        <w:widowControl/>
        <w:suppressLineNumbers w:val="0"/>
        <w:ind w:firstLine="640" w:firstLineChars="200"/>
        <w:jc w:val="left"/>
        <w:rPr>
          <w:rFonts w:hint="eastAsia" w:ascii="仿宋_GB2312" w:hAnsi="仿宋_GB2312" w:eastAsia="仿宋_GB2312" w:cs="仿宋_GB2312"/>
          <w:highlight w:val="none"/>
        </w:rPr>
      </w:pPr>
      <w:r>
        <w:rPr>
          <w:rFonts w:hint="eastAsia" w:ascii="黑体" w:hAnsi="黑体" w:eastAsia="黑体" w:cs="黑体"/>
          <w:szCs w:val="30"/>
          <w:highlight w:val="none"/>
        </w:rPr>
        <w:t>第十</w:t>
      </w:r>
      <w:r>
        <w:rPr>
          <w:rFonts w:hint="eastAsia" w:ascii="黑体" w:hAnsi="黑体" w:eastAsia="黑体" w:cs="黑体"/>
          <w:szCs w:val="30"/>
          <w:highlight w:val="none"/>
          <w:lang w:val="en-US" w:eastAsia="zh-CN"/>
        </w:rPr>
        <w:t>九</w:t>
      </w:r>
      <w:r>
        <w:rPr>
          <w:rFonts w:hint="eastAsia" w:ascii="黑体" w:hAnsi="黑体" w:eastAsia="黑体" w:cs="黑体"/>
          <w:szCs w:val="30"/>
          <w:highlight w:val="none"/>
        </w:rPr>
        <w:t>条</w:t>
      </w:r>
      <w:r>
        <w:rPr>
          <w:rFonts w:hint="eastAsia" w:hAnsi="宋体"/>
          <w:szCs w:val="30"/>
          <w:highlight w:val="none"/>
        </w:rPr>
        <w:t>　</w:t>
      </w:r>
      <w:r>
        <w:rPr>
          <w:rFonts w:hint="eastAsia" w:ascii="仿宋_GB2312" w:hAnsi="仿宋_GB2312" w:eastAsia="仿宋_GB2312" w:cs="仿宋_GB2312"/>
          <w:highlight w:val="none"/>
        </w:rPr>
        <w:t>个人卫生设施还应符合下列要求：</w:t>
      </w:r>
    </w:p>
    <w:p>
      <w:pPr>
        <w:widowControl/>
        <w:snapToGrid w:val="0"/>
        <w:spacing w:line="560" w:lineRule="exact"/>
        <w:ind w:firstLine="640" w:firstLineChars="200"/>
        <w:outlineLvl w:val="1"/>
        <w:rPr>
          <w:rFonts w:hint="eastAsia" w:ascii="仿宋" w:hAnsi="仿宋" w:eastAsia="仿宋"/>
          <w:highlight w:val="none"/>
          <w:lang w:eastAsia="zh-CN"/>
        </w:rPr>
      </w:pPr>
      <w:r>
        <w:rPr>
          <w:rFonts w:hint="eastAsia" w:ascii="仿宋" w:hAnsi="仿宋"/>
          <w:highlight w:val="none"/>
        </w:rPr>
        <w:t>清洁作业区的入口应设置二次更衣室。更衣室对应的不同洁净级别区域两边的门应防止同时被开启</w:t>
      </w:r>
      <w:r>
        <w:rPr>
          <w:rFonts w:hint="eastAsia" w:ascii="仿宋" w:hAnsi="仿宋"/>
          <w:color w:val="auto"/>
          <w:highlight w:val="none"/>
        </w:rPr>
        <w:t>，更换清洁作业区工作服的房间的空气洁净度应达到清洁作业区的要求。</w:t>
      </w:r>
    </w:p>
    <w:p>
      <w:pPr>
        <w:widowControl/>
        <w:snapToGrid w:val="0"/>
        <w:spacing w:line="560" w:lineRule="exact"/>
        <w:ind w:firstLine="640" w:firstLineChars="200"/>
        <w:outlineLvl w:val="1"/>
        <w:rPr>
          <w:rFonts w:hint="eastAsia" w:ascii="仿宋" w:hAnsi="仿宋"/>
          <w:highlight w:val="none"/>
        </w:rPr>
      </w:pPr>
      <w:r>
        <w:rPr>
          <w:rFonts w:hint="eastAsia" w:ascii="黑体" w:hAnsi="黑体" w:eastAsia="黑体" w:cs="黑体"/>
          <w:szCs w:val="30"/>
          <w:highlight w:val="none"/>
        </w:rPr>
        <w:t>第</w:t>
      </w:r>
      <w:r>
        <w:rPr>
          <w:rFonts w:hint="eastAsia" w:ascii="黑体" w:hAnsi="黑体" w:eastAsia="黑体" w:cs="黑体"/>
          <w:szCs w:val="30"/>
          <w:highlight w:val="none"/>
          <w:lang w:val="en-US" w:eastAsia="zh-CN"/>
        </w:rPr>
        <w:t>二十</w:t>
      </w:r>
      <w:r>
        <w:rPr>
          <w:rFonts w:hint="eastAsia" w:ascii="黑体" w:hAnsi="黑体" w:eastAsia="黑体" w:cs="黑体"/>
          <w:szCs w:val="30"/>
          <w:highlight w:val="none"/>
        </w:rPr>
        <w:t>条</w:t>
      </w:r>
      <w:r>
        <w:rPr>
          <w:rFonts w:hint="eastAsia" w:hAnsi="宋体"/>
          <w:szCs w:val="30"/>
          <w:highlight w:val="none"/>
        </w:rPr>
        <w:t>　</w:t>
      </w:r>
      <w:r>
        <w:rPr>
          <w:rFonts w:hint="eastAsia" w:ascii="仿宋" w:hAnsi="仿宋"/>
          <w:color w:val="auto"/>
          <w:highlight w:val="none"/>
        </w:rPr>
        <w:t>在有异味及气体（蒸汽及有毒有害气体）或粉尘产生可能污染食品的区域，应有适当的排除、收集或控制装置，并控制负压差。</w:t>
      </w:r>
    </w:p>
    <w:p>
      <w:pPr>
        <w:widowControl/>
        <w:snapToGrid w:val="0"/>
        <w:spacing w:line="560" w:lineRule="exact"/>
        <w:ind w:firstLine="640" w:firstLineChars="200"/>
        <w:outlineLvl w:val="1"/>
        <w:rPr>
          <w:rFonts w:hint="eastAsia" w:ascii="仿宋" w:hAnsi="仿宋"/>
          <w:highlight w:val="none"/>
        </w:rPr>
      </w:pPr>
      <w:r>
        <w:rPr>
          <w:rFonts w:hint="eastAsia" w:ascii="仿宋" w:hAnsi="仿宋"/>
          <w:highlight w:val="none"/>
        </w:rPr>
        <w:t>用于食品输送或包装、清洁食品接触面或设备的压缩空气或其他惰性气体应经过除油、除水、洁净过滤、除菌（必要时）等处理。</w:t>
      </w:r>
    </w:p>
    <w:p>
      <w:pPr>
        <w:widowControl/>
        <w:snapToGrid w:val="0"/>
        <w:spacing w:line="560" w:lineRule="exact"/>
        <w:ind w:firstLine="640" w:firstLineChars="200"/>
        <w:outlineLvl w:val="1"/>
        <w:rPr>
          <w:rFonts w:hint="eastAsia" w:ascii="仿宋" w:hAnsi="仿宋"/>
          <w:highlight w:val="none"/>
        </w:rPr>
      </w:pPr>
      <w:r>
        <w:rPr>
          <w:rFonts w:hint="eastAsia" w:ascii="黑体" w:hAnsi="黑体" w:eastAsia="黑体" w:cs="黑体"/>
          <w:szCs w:val="30"/>
          <w:highlight w:val="none"/>
        </w:rPr>
        <w:t>第</w:t>
      </w:r>
      <w:r>
        <w:rPr>
          <w:rFonts w:hint="eastAsia" w:ascii="黑体" w:hAnsi="黑体" w:eastAsia="黑体" w:cs="黑体"/>
          <w:szCs w:val="30"/>
          <w:highlight w:val="none"/>
          <w:lang w:val="en-US" w:eastAsia="zh-CN"/>
        </w:rPr>
        <w:t>二十一</w:t>
      </w:r>
      <w:r>
        <w:rPr>
          <w:rFonts w:hint="eastAsia" w:ascii="黑体" w:hAnsi="黑体" w:eastAsia="黑体" w:cs="黑体"/>
          <w:szCs w:val="30"/>
          <w:highlight w:val="none"/>
        </w:rPr>
        <w:t>条</w:t>
      </w:r>
      <w:r>
        <w:rPr>
          <w:rFonts w:hint="eastAsia" w:hAnsi="宋体"/>
          <w:szCs w:val="30"/>
          <w:highlight w:val="none"/>
        </w:rPr>
        <w:t>　</w:t>
      </w:r>
      <w:r>
        <w:rPr>
          <w:rFonts w:hint="eastAsia" w:ascii="仿宋" w:hAnsi="仿宋"/>
          <w:highlight w:val="none"/>
        </w:rPr>
        <w:t>企业应当具备与自行检验项目相适应的原料、半成品、成品的检验设备设施和试剂。</w:t>
      </w:r>
    </w:p>
    <w:p>
      <w:pPr>
        <w:keepNext w:val="0"/>
        <w:keepLines w:val="0"/>
        <w:widowControl/>
        <w:suppressLineNumbers w:val="0"/>
        <w:ind w:firstLine="620" w:firstLineChars="200"/>
        <w:jc w:val="left"/>
        <w:rPr>
          <w:rFonts w:hint="default" w:ascii="仿宋" w:hAnsi="仿宋"/>
          <w:highlight w:val="none"/>
          <w:lang w:val="en-US"/>
        </w:rPr>
      </w:pPr>
      <w:r>
        <w:rPr>
          <w:rFonts w:ascii="仿宋" w:hAnsi="仿宋" w:eastAsia="仿宋" w:cs="仿宋"/>
          <w:color w:val="000000"/>
          <w:kern w:val="0"/>
          <w:sz w:val="31"/>
          <w:szCs w:val="31"/>
          <w:highlight w:val="none"/>
          <w:lang w:val="en-US" w:eastAsia="zh-CN" w:bidi="ar"/>
        </w:rPr>
        <w:t>检验设备设施应满足产品执行标准中规定的检验项目</w:t>
      </w:r>
      <w:r>
        <w:rPr>
          <w:rFonts w:hint="eastAsia" w:ascii="仿宋" w:hAnsi="仿宋" w:eastAsia="仿宋" w:cs="仿宋"/>
          <w:color w:val="000000"/>
          <w:kern w:val="0"/>
          <w:sz w:val="31"/>
          <w:szCs w:val="31"/>
          <w:highlight w:val="none"/>
          <w:lang w:val="en-US" w:eastAsia="zh-CN" w:bidi="ar"/>
        </w:rPr>
        <w:t>的要求，包括所需的高效液相色谱仪、气相色谱仪、原子吸收分光光度仪、原子荧光光度计、紫外分光光度计、马弗炉、生物安全柜</w:t>
      </w:r>
      <w:r>
        <w:rPr>
          <w:rFonts w:hint="eastAsia" w:ascii="仿宋" w:hAnsi="仿宋" w:cs="仿宋"/>
          <w:color w:val="000000"/>
          <w:kern w:val="0"/>
          <w:sz w:val="31"/>
          <w:szCs w:val="31"/>
          <w:highlight w:val="none"/>
          <w:lang w:val="en-US" w:eastAsia="zh-CN" w:bidi="ar"/>
        </w:rPr>
        <w:t>以及定氮仪等。</w:t>
      </w:r>
    </w:p>
    <w:p>
      <w:pPr>
        <w:widowControl/>
        <w:snapToGrid w:val="0"/>
        <w:spacing w:line="560" w:lineRule="exact"/>
        <w:ind w:firstLine="640" w:firstLineChars="200"/>
        <w:outlineLvl w:val="1"/>
        <w:rPr>
          <w:rFonts w:hint="eastAsia" w:ascii="仿宋" w:hAnsi="仿宋"/>
          <w:highlight w:val="none"/>
        </w:rPr>
      </w:pPr>
      <w:r>
        <w:rPr>
          <w:rFonts w:hint="eastAsia" w:ascii="仿宋" w:hAnsi="仿宋"/>
          <w:highlight w:val="none"/>
        </w:rPr>
        <w:t>检验室应当布局合理，检验设备的数量、性能、精度等应当满足相应的检验需求。相关食品安全国家标准和产品执行标准等要求涉及的检验项目、检验方法修订或变更后，应及时配备相应的检验设备设施。</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cs="Times New Roman"/>
          <w:sz w:val="36"/>
          <w:szCs w:val="36"/>
          <w:highlight w:val="none"/>
        </w:rPr>
      </w:pPr>
      <w:r>
        <w:rPr>
          <w:rFonts w:hint="eastAsia" w:ascii="方正小标宋简体" w:hAnsi="宋体" w:eastAsia="方正小标宋简体" w:cs="Times New Roman"/>
          <w:sz w:val="36"/>
          <w:szCs w:val="36"/>
          <w:highlight w:val="none"/>
        </w:rPr>
        <w:t>第四章　设备布局与工艺流程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hAnsi="宋体"/>
          <w:szCs w:val="30"/>
          <w:highlight w:val="none"/>
        </w:rPr>
      </w:pPr>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二</w:t>
      </w:r>
      <w:r>
        <w:rPr>
          <w:rFonts w:hint="eastAsia" w:ascii="黑体" w:hAnsi="黑体" w:eastAsia="黑体" w:cs="黑体"/>
          <w:szCs w:val="30"/>
          <w:highlight w:val="none"/>
        </w:rPr>
        <w:t>条</w:t>
      </w:r>
      <w:r>
        <w:rPr>
          <w:rFonts w:hint="eastAsia" w:hAnsi="宋体"/>
          <w:szCs w:val="30"/>
          <w:highlight w:val="none"/>
        </w:rPr>
        <w:t>　生产设备的布局、安装和维护应当符合工艺需要，工艺文件、操作规程等具体要求应符合《食品生产许可审查通则》相关规定。</w:t>
      </w:r>
    </w:p>
    <w:p>
      <w:pPr>
        <w:keepNext w:val="0"/>
        <w:keepLines w:val="0"/>
        <w:widowControl/>
        <w:suppressLineNumbers w:val="0"/>
        <w:ind w:firstLine="640" w:firstLineChars="200"/>
        <w:jc w:val="left"/>
        <w:rPr>
          <w:rFonts w:hint="eastAsia" w:ascii="Times New Roman" w:hAnsi="宋体" w:cs="Times New Roman"/>
          <w:szCs w:val="30"/>
          <w:highlight w:val="none"/>
        </w:rPr>
      </w:pPr>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三</w:t>
      </w:r>
      <w:r>
        <w:rPr>
          <w:rFonts w:hint="eastAsia" w:ascii="黑体" w:hAnsi="黑体" w:eastAsia="黑体" w:cs="黑体"/>
          <w:szCs w:val="30"/>
          <w:highlight w:val="none"/>
        </w:rPr>
        <w:t>条</w:t>
      </w:r>
      <w:r>
        <w:rPr>
          <w:rFonts w:hint="eastAsia" w:hAnsi="宋体"/>
          <w:szCs w:val="30"/>
          <w:highlight w:val="none"/>
        </w:rPr>
        <w:t>　</w:t>
      </w:r>
      <w:r>
        <w:rPr>
          <w:rFonts w:hint="eastAsia" w:ascii="Times New Roman" w:hAnsi="宋体" w:cs="Times New Roman"/>
          <w:szCs w:val="30"/>
          <w:highlight w:val="none"/>
          <w:lang w:val="en-US" w:eastAsia="zh-CN"/>
        </w:rPr>
        <w:t>生产设备</w:t>
      </w:r>
      <w:r>
        <w:rPr>
          <w:rFonts w:hint="eastAsia" w:ascii="Times New Roman" w:hAnsi="宋体" w:cs="Times New Roman"/>
          <w:szCs w:val="30"/>
          <w:highlight w:val="none"/>
        </w:rPr>
        <w:t>的布局</w:t>
      </w:r>
      <w:r>
        <w:rPr>
          <w:rFonts w:hint="eastAsia" w:ascii="Times New Roman" w:hAnsi="宋体" w:cs="Times New Roman"/>
          <w:szCs w:val="30"/>
          <w:highlight w:val="none"/>
          <w:lang w:val="en-US" w:eastAsia="zh-CN"/>
        </w:rPr>
        <w:t>应当</w:t>
      </w:r>
      <w:r>
        <w:rPr>
          <w:rFonts w:hint="eastAsia" w:ascii="仿宋" w:hAnsi="仿宋" w:eastAsia="仿宋" w:cs="仿宋"/>
          <w:color w:val="auto"/>
          <w:kern w:val="0"/>
          <w:sz w:val="31"/>
          <w:szCs w:val="31"/>
          <w:highlight w:val="none"/>
          <w:lang w:val="en-US" w:eastAsia="zh-CN" w:bidi="ar"/>
        </w:rPr>
        <w:t>按照表</w:t>
      </w:r>
      <w:r>
        <w:rPr>
          <w:rFonts w:hint="eastAsia" w:ascii="仿宋" w:hAnsi="仿宋" w:cs="仿宋"/>
          <w:color w:val="auto"/>
          <w:kern w:val="0"/>
          <w:sz w:val="31"/>
          <w:szCs w:val="31"/>
          <w:highlight w:val="none"/>
          <w:lang w:val="en-US" w:eastAsia="zh-CN" w:bidi="ar"/>
        </w:rPr>
        <w:t>4</w:t>
      </w:r>
      <w:r>
        <w:rPr>
          <w:rFonts w:hint="eastAsia" w:ascii="仿宋" w:hAnsi="仿宋" w:eastAsia="仿宋" w:cs="仿宋"/>
          <w:color w:val="auto"/>
          <w:kern w:val="0"/>
          <w:sz w:val="31"/>
          <w:szCs w:val="31"/>
          <w:highlight w:val="none"/>
          <w:lang w:val="en-US" w:eastAsia="zh-CN" w:bidi="ar"/>
        </w:rPr>
        <w:t>中</w:t>
      </w:r>
      <w:r>
        <w:rPr>
          <w:rFonts w:hint="eastAsia" w:ascii="Times New Roman" w:hAnsi="宋体" w:cs="Times New Roman"/>
          <w:szCs w:val="30"/>
          <w:highlight w:val="none"/>
          <w:lang w:val="en-US" w:eastAsia="zh-CN"/>
        </w:rPr>
        <w:t>的工艺流程有序排列，合理布局，便于清洁、消毒和维修保养，避免交叉污染。</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line="560" w:lineRule="exact"/>
        <w:ind w:firstLine="624"/>
        <w:textAlignment w:val="auto"/>
        <w:rPr>
          <w:rFonts w:hint="eastAsia" w:ascii="Times New Roman" w:hAnsi="宋体" w:cs="Times New Roman"/>
          <w:szCs w:val="30"/>
          <w:highlight w:val="none"/>
        </w:rPr>
      </w:pPr>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四</w:t>
      </w:r>
      <w:r>
        <w:rPr>
          <w:rFonts w:hint="eastAsia" w:ascii="黑体" w:hAnsi="黑体" w:eastAsia="黑体" w:cs="黑体"/>
          <w:szCs w:val="30"/>
          <w:highlight w:val="none"/>
        </w:rPr>
        <w:t>条</w:t>
      </w:r>
      <w:r>
        <w:rPr>
          <w:rFonts w:hint="eastAsia" w:ascii="黑体" w:hAnsi="黑体" w:eastAsia="黑体" w:cs="黑体"/>
          <w:szCs w:val="30"/>
          <w:highlight w:val="none"/>
          <w:lang w:val="en"/>
        </w:rPr>
        <w:t>　</w:t>
      </w:r>
      <w:r>
        <w:rPr>
          <w:rFonts w:hint="eastAsia" w:ascii="Times New Roman" w:hAnsi="宋体" w:cs="Times New Roman"/>
          <w:szCs w:val="30"/>
          <w:highlight w:val="none"/>
        </w:rPr>
        <w:t>通过危害分析方法明确影响产品质量的关键工序或关键</w:t>
      </w:r>
      <w:r>
        <w:rPr>
          <w:rFonts w:hint="eastAsia" w:ascii="Times New Roman" w:hAnsi="宋体" w:cs="Times New Roman"/>
          <w:szCs w:val="30"/>
          <w:highlight w:val="none"/>
          <w:lang w:val="en-US" w:eastAsia="zh-CN"/>
        </w:rPr>
        <w:t>控制</w:t>
      </w:r>
      <w:r>
        <w:rPr>
          <w:rFonts w:hint="eastAsia" w:ascii="Times New Roman" w:hAnsi="宋体" w:cs="Times New Roman"/>
          <w:szCs w:val="30"/>
          <w:highlight w:val="none"/>
        </w:rPr>
        <w:t>点，并实施质量控制，制定操作规程，</w:t>
      </w:r>
      <w:bookmarkStart w:id="0" w:name="_Hlk155689280"/>
      <w:r>
        <w:rPr>
          <w:rFonts w:hint="eastAsia" w:ascii="Times New Roman" w:hAnsi="宋体" w:cs="Times New Roman"/>
          <w:szCs w:val="30"/>
          <w:highlight w:val="none"/>
        </w:rPr>
        <w:t>关键工序或关键</w:t>
      </w:r>
      <w:r>
        <w:rPr>
          <w:rFonts w:hint="eastAsia" w:ascii="Times New Roman" w:hAnsi="宋体" w:cs="Times New Roman"/>
          <w:szCs w:val="30"/>
          <w:highlight w:val="none"/>
          <w:lang w:val="en-US" w:eastAsia="zh-CN"/>
        </w:rPr>
        <w:t>控制</w:t>
      </w:r>
      <w:r>
        <w:rPr>
          <w:rFonts w:hint="eastAsia" w:ascii="Times New Roman" w:hAnsi="宋体" w:cs="Times New Roman"/>
          <w:szCs w:val="30"/>
          <w:highlight w:val="none"/>
        </w:rPr>
        <w:t>点</w:t>
      </w:r>
      <w:bookmarkEnd w:id="0"/>
      <w:r>
        <w:rPr>
          <w:rFonts w:hint="eastAsia" w:ascii="Times New Roman" w:hAnsi="宋体" w:cs="Times New Roman"/>
          <w:szCs w:val="30"/>
          <w:highlight w:val="none"/>
        </w:rPr>
        <w:t>可设为：原料验收、配料投料、干法混合、杀菌、金属检测等。</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cs="Times New Roman"/>
          <w:sz w:val="36"/>
          <w:szCs w:val="36"/>
          <w:highlight w:val="none"/>
        </w:rPr>
      </w:pPr>
      <w:r>
        <w:rPr>
          <w:rFonts w:hint="eastAsia" w:ascii="方正小标宋简体" w:hAnsi="宋体" w:eastAsia="方正小标宋简体" w:cs="Times New Roman"/>
          <w:sz w:val="36"/>
          <w:szCs w:val="36"/>
          <w:highlight w:val="none"/>
        </w:rPr>
        <w:t>第五章　人员管理</w:t>
      </w:r>
    </w:p>
    <w:p>
      <w:pPr>
        <w:keepNext w:val="0"/>
        <w:keepLines w:val="0"/>
        <w:widowControl/>
        <w:suppressLineNumbers w:val="0"/>
        <w:ind w:firstLine="640" w:firstLineChars="200"/>
        <w:jc w:val="left"/>
        <w:rPr>
          <w:rFonts w:hint="eastAsia" w:ascii="仿宋_GB2312" w:hAnsi="仿宋_GB2312" w:eastAsia="仿宋_GB2312" w:cs="仿宋_GB2312"/>
          <w:highlight w:val="none"/>
        </w:rPr>
      </w:pPr>
      <w:bookmarkStart w:id="1" w:name="_Toc16455"/>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五</w:t>
      </w:r>
      <w:r>
        <w:rPr>
          <w:rFonts w:hint="eastAsia" w:ascii="黑体" w:hAnsi="黑体" w:eastAsia="黑体" w:cs="黑体"/>
          <w:szCs w:val="30"/>
          <w:highlight w:val="none"/>
        </w:rPr>
        <w:t>条</w:t>
      </w:r>
      <w:r>
        <w:rPr>
          <w:rFonts w:hAnsi="宋体"/>
          <w:szCs w:val="30"/>
          <w:highlight w:val="none"/>
          <w:lang w:val="en"/>
        </w:rPr>
        <w:t>　</w:t>
      </w:r>
      <w:r>
        <w:rPr>
          <w:rFonts w:hint="eastAsia" w:hAnsi="宋体"/>
          <w:szCs w:val="30"/>
          <w:highlight w:val="none"/>
        </w:rPr>
        <w:t>企业应建立人员管理制度。</w:t>
      </w:r>
      <w:r>
        <w:rPr>
          <w:rFonts w:ascii="仿宋" w:hAnsi="仿宋" w:eastAsia="仿宋" w:cs="仿宋"/>
          <w:color w:val="000000"/>
          <w:kern w:val="0"/>
          <w:sz w:val="31"/>
          <w:szCs w:val="31"/>
          <w:highlight w:val="none"/>
          <w:lang w:val="en-US" w:eastAsia="zh-CN" w:bidi="ar"/>
        </w:rPr>
        <w:t>应符合</w:t>
      </w:r>
      <w:r>
        <w:rPr>
          <w:rFonts w:hint="eastAsia" w:ascii="仿宋" w:hAnsi="仿宋" w:eastAsia="仿宋" w:cs="仿宋"/>
          <w:color w:val="000000"/>
          <w:kern w:val="0"/>
          <w:sz w:val="31"/>
          <w:szCs w:val="31"/>
          <w:highlight w:val="none"/>
          <w:lang w:val="en-US" w:eastAsia="zh-CN" w:bidi="ar"/>
        </w:rPr>
        <w:t>《食品安全国家标准 食品生产通用卫生规范》（GB 14881）中</w:t>
      </w:r>
      <w:r>
        <w:rPr>
          <w:rFonts w:hint="eastAsia" w:ascii="仿宋" w:hAnsi="仿宋" w:cs="仿宋"/>
          <w:color w:val="000000"/>
          <w:kern w:val="0"/>
          <w:sz w:val="31"/>
          <w:szCs w:val="31"/>
          <w:highlight w:val="none"/>
          <w:lang w:val="en-US" w:eastAsia="zh-CN" w:bidi="ar"/>
        </w:rPr>
        <w:t>相关</w:t>
      </w:r>
      <w:r>
        <w:rPr>
          <w:rFonts w:hint="eastAsia" w:ascii="仿宋" w:hAnsi="仿宋" w:eastAsia="仿宋" w:cs="仿宋"/>
          <w:color w:val="000000"/>
          <w:kern w:val="0"/>
          <w:sz w:val="31"/>
          <w:szCs w:val="31"/>
          <w:highlight w:val="none"/>
          <w:lang w:val="en-US" w:eastAsia="zh-CN" w:bidi="ar"/>
        </w:rPr>
        <w:t>要求。</w:t>
      </w:r>
      <w:r>
        <w:rPr>
          <w:rFonts w:hint="eastAsia" w:hAnsi="宋体"/>
          <w:szCs w:val="30"/>
          <w:highlight w:val="none"/>
        </w:rPr>
        <w:t>各岗位人员的数量和能力应与企业规模、工艺、设备水平相适应，应设置与产品质量安全相关的岗位并明确岗位职责。</w:t>
      </w:r>
    </w:p>
    <w:p>
      <w:pPr>
        <w:widowControl/>
        <w:ind w:firstLine="640" w:firstLineChars="200"/>
        <w:jc w:val="left"/>
        <w:rPr>
          <w:rFonts w:hint="eastAsia" w:hAnsi="宋体"/>
          <w:szCs w:val="30"/>
          <w:highlight w:val="none"/>
        </w:rPr>
      </w:pPr>
      <w:r>
        <w:rPr>
          <w:rFonts w:hint="eastAsia" w:hAnsi="宋体"/>
          <w:szCs w:val="30"/>
          <w:highlight w:val="none"/>
        </w:rPr>
        <w:t>食品安全总监和食品安全员应符合《企业落实食品安全主体责任监督管理规定》中的相关规定，并符合：</w:t>
      </w:r>
    </w:p>
    <w:p>
      <w:pPr>
        <w:tabs>
          <w:tab w:val="left" w:pos="0"/>
          <w:tab w:val="left" w:pos="425"/>
        </w:tabs>
        <w:snapToGrid w:val="0"/>
        <w:spacing w:line="560" w:lineRule="exact"/>
        <w:ind w:firstLine="640" w:firstLineChars="200"/>
        <w:rPr>
          <w:rFonts w:hint="eastAsia" w:hAnsi="宋体"/>
          <w:szCs w:val="30"/>
          <w:highlight w:val="none"/>
        </w:rPr>
      </w:pPr>
      <w:r>
        <w:rPr>
          <w:rFonts w:hint="eastAsia" w:hAnsi="宋体"/>
          <w:szCs w:val="30"/>
          <w:highlight w:val="none"/>
        </w:rPr>
        <w:t>（一）企业应设置独立的食品安全管理部门，负责食品质量安全管理制度的建立、实施和持续改进。</w:t>
      </w:r>
    </w:p>
    <w:p>
      <w:pPr>
        <w:tabs>
          <w:tab w:val="left" w:pos="0"/>
          <w:tab w:val="left" w:pos="425"/>
        </w:tabs>
        <w:snapToGrid w:val="0"/>
        <w:spacing w:line="560" w:lineRule="exact"/>
        <w:ind w:firstLine="640" w:firstLineChars="200"/>
        <w:rPr>
          <w:rFonts w:hint="eastAsia" w:hAnsi="宋体"/>
          <w:szCs w:val="30"/>
          <w:highlight w:val="none"/>
        </w:rPr>
      </w:pPr>
      <w:r>
        <w:rPr>
          <w:rFonts w:hint="eastAsia" w:hAnsi="宋体"/>
          <w:szCs w:val="30"/>
          <w:highlight w:val="none"/>
        </w:rPr>
        <w:t>（二）企业负责人应当组织落实食品安全管理制度，对本企业的食品安全工作全面负责。食品安全总监应具有食品、营养学或相关专业本科以上学历，以及3年及以上从事食品</w:t>
      </w:r>
      <w:r>
        <w:rPr>
          <w:rFonts w:hint="eastAsia" w:hAnsi="宋体"/>
          <w:szCs w:val="30"/>
          <w:highlight w:val="none"/>
          <w:lang w:val="en-US" w:eastAsia="zh-CN"/>
        </w:rPr>
        <w:t>或药品</w:t>
      </w:r>
      <w:r>
        <w:rPr>
          <w:rFonts w:hint="eastAsia" w:hAnsi="宋体"/>
          <w:szCs w:val="30"/>
          <w:highlight w:val="none"/>
        </w:rPr>
        <w:t>生产的工作经历和管理经验，掌握特殊膳食食品的质量安全知识，了解应承担的法律责任和义务，且经专业理论和实践培训合格，可独立行使食品安全管理职权。</w:t>
      </w:r>
    </w:p>
    <w:p>
      <w:pPr>
        <w:tabs>
          <w:tab w:val="left" w:pos="0"/>
          <w:tab w:val="left" w:pos="425"/>
        </w:tabs>
        <w:snapToGrid w:val="0"/>
        <w:spacing w:line="560" w:lineRule="exact"/>
        <w:ind w:firstLine="640" w:firstLineChars="200"/>
        <w:rPr>
          <w:rFonts w:hint="eastAsia" w:hAnsi="宋体"/>
          <w:szCs w:val="30"/>
          <w:highlight w:val="none"/>
        </w:rPr>
      </w:pPr>
      <w:r>
        <w:rPr>
          <w:rFonts w:hint="eastAsia" w:hAnsi="宋体"/>
          <w:szCs w:val="30"/>
          <w:highlight w:val="none"/>
        </w:rPr>
        <w:t>（三）食品安全员应具有食品、营养学或相关专业专科以上学历，应经过培训并考核合格后上岗，承担产品出厂放行责任，确保放行的每批产品符合食品安全国家标准和相关法律法规的要求。</w:t>
      </w:r>
    </w:p>
    <w:p>
      <w:pPr>
        <w:tabs>
          <w:tab w:val="left" w:pos="0"/>
          <w:tab w:val="left" w:pos="425"/>
        </w:tabs>
        <w:snapToGrid w:val="0"/>
        <w:spacing w:line="560" w:lineRule="exact"/>
        <w:ind w:firstLine="640" w:firstLineChars="200"/>
        <w:rPr>
          <w:rFonts w:hint="eastAsia" w:hAnsi="宋体"/>
          <w:szCs w:val="30"/>
          <w:highlight w:val="none"/>
        </w:rPr>
      </w:pPr>
      <w:r>
        <w:rPr>
          <w:rFonts w:hint="eastAsia" w:hAnsi="宋体"/>
          <w:szCs w:val="30"/>
          <w:highlight w:val="none"/>
        </w:rPr>
        <w:t>（四）从事检测的人员应具有食品、化学或相关专业专科以上的学历，或者具有3年及以上相关检测工作经历，经专业理论和实践培训，具备相应检测和仪器设备操作能力，考核合格后可授权开展检验工作。实验室负责人应具有食品、化学或相关专业</w:t>
      </w:r>
      <w:r>
        <w:rPr>
          <w:rFonts w:hint="eastAsia" w:hAnsi="宋体"/>
          <w:szCs w:val="30"/>
          <w:highlight w:val="none"/>
          <w:lang w:val="en-US" w:eastAsia="zh-CN"/>
        </w:rPr>
        <w:t>专</w:t>
      </w:r>
      <w:r>
        <w:rPr>
          <w:rFonts w:hint="eastAsia" w:hAnsi="宋体"/>
          <w:szCs w:val="30"/>
          <w:highlight w:val="none"/>
        </w:rPr>
        <w:t>科以上学历，</w:t>
      </w:r>
      <w:r>
        <w:rPr>
          <w:rFonts w:hint="eastAsia" w:hAnsi="宋体"/>
          <w:szCs w:val="30"/>
          <w:highlight w:val="none"/>
          <w:lang w:val="en-US" w:eastAsia="zh-CN"/>
        </w:rPr>
        <w:t>并</w:t>
      </w:r>
      <w:r>
        <w:rPr>
          <w:rFonts w:hint="eastAsia" w:hAnsi="宋体"/>
          <w:szCs w:val="30"/>
          <w:highlight w:val="none"/>
        </w:rPr>
        <w:t>具有</w:t>
      </w:r>
      <w:r>
        <w:rPr>
          <w:rFonts w:hint="eastAsia" w:hAnsi="宋体"/>
          <w:szCs w:val="30"/>
          <w:highlight w:val="none"/>
          <w:lang w:val="en-US" w:eastAsia="zh-CN"/>
        </w:rPr>
        <w:t>3</w:t>
      </w:r>
      <w:r>
        <w:rPr>
          <w:rFonts w:hint="eastAsia" w:hAnsi="宋体"/>
          <w:szCs w:val="30"/>
          <w:highlight w:val="none"/>
        </w:rPr>
        <w:t>年及以上相关技术工作经历。</w:t>
      </w:r>
    </w:p>
    <w:p>
      <w:pPr>
        <w:tabs>
          <w:tab w:val="left" w:pos="0"/>
          <w:tab w:val="left" w:pos="425"/>
        </w:tabs>
        <w:snapToGrid w:val="0"/>
        <w:spacing w:line="560" w:lineRule="exact"/>
        <w:ind w:firstLine="640" w:firstLineChars="200"/>
        <w:rPr>
          <w:rFonts w:hint="eastAsia" w:hAnsi="宋体"/>
          <w:szCs w:val="30"/>
          <w:highlight w:val="none"/>
        </w:rPr>
      </w:pPr>
      <w:r>
        <w:rPr>
          <w:rFonts w:hint="eastAsia" w:hAnsi="宋体"/>
          <w:szCs w:val="30"/>
          <w:highlight w:val="none"/>
        </w:rPr>
        <w:t>（五）专职研发人员应有食品、营养学或相关专业本科以上学历，掌握食品生产工艺、营养和质量安全等相关专业知识。</w:t>
      </w:r>
    </w:p>
    <w:p>
      <w:pPr>
        <w:tabs>
          <w:tab w:val="left" w:pos="0"/>
          <w:tab w:val="left" w:pos="425"/>
        </w:tabs>
        <w:snapToGrid w:val="0"/>
        <w:spacing w:line="560" w:lineRule="exact"/>
        <w:ind w:firstLine="640" w:firstLineChars="200"/>
        <w:rPr>
          <w:rFonts w:hint="eastAsia" w:hAnsi="宋体"/>
          <w:szCs w:val="30"/>
          <w:highlight w:val="none"/>
        </w:rPr>
      </w:pPr>
      <w:r>
        <w:rPr>
          <w:rFonts w:hint="eastAsia" w:hAnsi="宋体"/>
          <w:szCs w:val="30"/>
          <w:highlight w:val="none"/>
        </w:rPr>
        <w:t>（六）生产管理部门负责人应具有食品、营养学或相关专业本科以上学历，3年及以上从事食品</w:t>
      </w:r>
      <w:r>
        <w:rPr>
          <w:rFonts w:hint="eastAsia" w:hAnsi="宋体"/>
          <w:szCs w:val="30"/>
          <w:highlight w:val="none"/>
          <w:lang w:val="en-US" w:eastAsia="zh-CN"/>
        </w:rPr>
        <w:t>或药品</w:t>
      </w:r>
      <w:r>
        <w:rPr>
          <w:rFonts w:hint="eastAsia" w:hAnsi="宋体"/>
          <w:szCs w:val="30"/>
          <w:highlight w:val="none"/>
        </w:rPr>
        <w:t>生产的工作经历和生产管理经验；或专科以上学历，具有5年及以上从事食品</w:t>
      </w:r>
      <w:r>
        <w:rPr>
          <w:rFonts w:hint="eastAsia" w:hAnsi="宋体"/>
          <w:szCs w:val="30"/>
          <w:highlight w:val="none"/>
          <w:lang w:val="en-US" w:eastAsia="zh-CN"/>
        </w:rPr>
        <w:t>或药品</w:t>
      </w:r>
      <w:r>
        <w:rPr>
          <w:rFonts w:hint="eastAsia" w:hAnsi="宋体"/>
          <w:szCs w:val="30"/>
          <w:highlight w:val="none"/>
        </w:rPr>
        <w:t>生产的工作经历和生产管理经验</w:t>
      </w:r>
      <w:r>
        <w:rPr>
          <w:rFonts w:hint="eastAsia" w:hAnsi="宋体"/>
          <w:szCs w:val="30"/>
          <w:highlight w:val="none"/>
          <w:lang w:eastAsia="zh-CN"/>
        </w:rPr>
        <w:t>；</w:t>
      </w:r>
      <w:r>
        <w:rPr>
          <w:rFonts w:hint="eastAsia" w:hAnsi="宋体"/>
          <w:szCs w:val="30"/>
          <w:highlight w:val="none"/>
        </w:rPr>
        <w:t>或</w:t>
      </w:r>
      <w:r>
        <w:rPr>
          <w:rFonts w:hint="eastAsia" w:hAnsi="宋体"/>
          <w:szCs w:val="30"/>
          <w:highlight w:val="none"/>
          <w:lang w:val="en-US" w:eastAsia="zh-CN"/>
        </w:rPr>
        <w:t>高中</w:t>
      </w:r>
      <w:r>
        <w:rPr>
          <w:rFonts w:hint="eastAsia" w:hAnsi="宋体"/>
          <w:szCs w:val="30"/>
          <w:highlight w:val="none"/>
        </w:rPr>
        <w:t>以上学历，具有</w:t>
      </w:r>
      <w:r>
        <w:rPr>
          <w:rFonts w:hint="eastAsia" w:hAnsi="宋体"/>
          <w:szCs w:val="30"/>
          <w:highlight w:val="none"/>
          <w:lang w:val="en-US" w:eastAsia="zh-CN"/>
        </w:rPr>
        <w:t>8</w:t>
      </w:r>
      <w:r>
        <w:rPr>
          <w:rFonts w:hint="eastAsia" w:hAnsi="宋体"/>
          <w:szCs w:val="30"/>
          <w:highlight w:val="none"/>
        </w:rPr>
        <w:t>年及以上从事食品</w:t>
      </w:r>
      <w:r>
        <w:rPr>
          <w:rFonts w:hint="eastAsia" w:hAnsi="宋体"/>
          <w:szCs w:val="30"/>
          <w:highlight w:val="none"/>
          <w:lang w:val="en-US" w:eastAsia="zh-CN"/>
        </w:rPr>
        <w:t>或药品</w:t>
      </w:r>
      <w:r>
        <w:rPr>
          <w:rFonts w:hint="eastAsia" w:hAnsi="宋体"/>
          <w:szCs w:val="30"/>
          <w:highlight w:val="none"/>
        </w:rPr>
        <w:t>生产的工作经历和生产管理经验。生产操作人员应当掌握生产工艺操作规程，按照技术文件进行生产，熟练操作生产设备设施。生产操作人员的数量应当与生产需求相适应。</w:t>
      </w:r>
    </w:p>
    <w:p>
      <w:pPr>
        <w:tabs>
          <w:tab w:val="left" w:pos="0"/>
          <w:tab w:val="left" w:pos="425"/>
        </w:tabs>
        <w:snapToGrid w:val="0"/>
        <w:spacing w:line="560" w:lineRule="exact"/>
        <w:ind w:firstLine="640" w:firstLineChars="200"/>
        <w:rPr>
          <w:rFonts w:hint="eastAsia" w:ascii="Times New Roman" w:hAnsi="宋体" w:cs="Times New Roman"/>
          <w:szCs w:val="30"/>
          <w:highlight w:val="none"/>
        </w:rPr>
      </w:pPr>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六</w:t>
      </w:r>
      <w:r>
        <w:rPr>
          <w:rFonts w:hint="eastAsia" w:ascii="黑体" w:hAnsi="黑体" w:eastAsia="黑体" w:cs="黑体"/>
          <w:szCs w:val="30"/>
          <w:highlight w:val="none"/>
        </w:rPr>
        <w:t>条</w:t>
      </w:r>
      <w:r>
        <w:rPr>
          <w:rFonts w:hint="eastAsia" w:hAnsi="宋体"/>
          <w:szCs w:val="30"/>
          <w:highlight w:val="none"/>
        </w:rPr>
        <w:t>　</w:t>
      </w:r>
      <w:r>
        <w:rPr>
          <w:rFonts w:hint="eastAsia" w:ascii="Times New Roman" w:hAnsi="宋体" w:cs="Times New Roman"/>
          <w:szCs w:val="30"/>
          <w:highlight w:val="none"/>
          <w:lang w:val="en-US" w:eastAsia="zh-CN"/>
        </w:rPr>
        <w:t>企业应当建立并执行培训与考核制度，相关工作由指定部门或专人负责。应根据不同岗位的实际需求，制定和实施培训制度和培训计划并实</w:t>
      </w:r>
      <w:r>
        <w:rPr>
          <w:rFonts w:hint="eastAsia" w:ascii="Times New Roman" w:hAnsi="宋体" w:cs="Times New Roman"/>
          <w:color w:val="auto"/>
          <w:szCs w:val="30"/>
          <w:highlight w:val="none"/>
          <w:lang w:val="en-US" w:eastAsia="zh-CN"/>
        </w:rPr>
        <w:t>施考核，做好培训和考核记录，培训时间不得少于</w:t>
      </w:r>
      <w:r>
        <w:rPr>
          <w:rFonts w:hint="default" w:ascii="Times New Roman" w:hAnsi="宋体" w:cs="Times New Roman"/>
          <w:color w:val="auto"/>
          <w:szCs w:val="30"/>
          <w:highlight w:val="none"/>
          <w:lang w:val="en-US" w:eastAsia="zh-CN"/>
        </w:rPr>
        <w:t>40</w:t>
      </w:r>
      <w:r>
        <w:rPr>
          <w:rFonts w:hint="eastAsia" w:ascii="Times New Roman" w:hAnsi="宋体" w:cs="Times New Roman"/>
          <w:color w:val="auto"/>
          <w:szCs w:val="30"/>
          <w:highlight w:val="none"/>
          <w:lang w:val="en-US" w:eastAsia="zh-CN"/>
        </w:rPr>
        <w:t>学时</w:t>
      </w:r>
      <w:r>
        <w:rPr>
          <w:rFonts w:hint="default" w:ascii="Times New Roman" w:hAnsi="宋体" w:cs="Times New Roman"/>
          <w:color w:val="auto"/>
          <w:szCs w:val="30"/>
          <w:highlight w:val="none"/>
          <w:lang w:val="en-US" w:eastAsia="zh-CN"/>
        </w:rPr>
        <w:t>/</w:t>
      </w:r>
      <w:r>
        <w:rPr>
          <w:rFonts w:hint="eastAsia" w:ascii="Times New Roman" w:hAnsi="宋体" w:cs="Times New Roman"/>
          <w:color w:val="auto"/>
          <w:szCs w:val="30"/>
          <w:highlight w:val="none"/>
          <w:lang w:val="en-US" w:eastAsia="zh-CN"/>
        </w:rPr>
        <w:t>每年。</w:t>
      </w:r>
      <w:r>
        <w:rPr>
          <w:rFonts w:hint="eastAsia" w:ascii="Times New Roman" w:hAnsi="宋体" w:cs="Times New Roman"/>
          <w:szCs w:val="30"/>
          <w:highlight w:val="none"/>
          <w:lang w:val="en-US" w:eastAsia="zh-CN"/>
        </w:rPr>
        <w:t>培训内容至少应包括食品安全知识、运动营养食品风险防控等，应与岗位要求相适应。检验人员培训计划应包括专业知识、专业技能以及有关生物、化学安全和防护等的培训。</w:t>
      </w:r>
    </w:p>
    <w:p>
      <w:pPr>
        <w:keepNext w:val="0"/>
        <w:keepLines w:val="0"/>
        <w:widowControl/>
        <w:suppressLineNumbers w:val="0"/>
        <w:ind w:firstLine="640" w:firstLineChars="200"/>
        <w:jc w:val="left"/>
        <w:rPr>
          <w:rFonts w:hint="eastAsia" w:hAnsi="宋体"/>
          <w:szCs w:val="30"/>
          <w:highlight w:val="none"/>
          <w:lang w:val="en-US" w:eastAsia="zh-CN"/>
        </w:rPr>
      </w:pPr>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七</w:t>
      </w:r>
      <w:r>
        <w:rPr>
          <w:rFonts w:hint="eastAsia" w:ascii="黑体" w:hAnsi="黑体" w:eastAsia="黑体" w:cs="黑体"/>
          <w:szCs w:val="30"/>
          <w:highlight w:val="none"/>
        </w:rPr>
        <w:t>条</w:t>
      </w:r>
      <w:r>
        <w:rPr>
          <w:rFonts w:hint="eastAsia" w:hAnsi="宋体"/>
          <w:szCs w:val="30"/>
          <w:highlight w:val="none"/>
        </w:rPr>
        <w:t>　企业应建立并执行从业人员健康管理制度。明确患有国务院卫生行政部门规定的有碍食品安全疾病的或有明显皮肤损伤未愈合的人员，不得从事接触直接入口食品的工作。</w:t>
      </w:r>
      <w:r>
        <w:rPr>
          <w:rFonts w:ascii="仿宋" w:hAnsi="仿宋" w:eastAsia="仿宋" w:cs="仿宋"/>
          <w:color w:val="000000"/>
          <w:kern w:val="0"/>
          <w:sz w:val="31"/>
          <w:szCs w:val="31"/>
          <w:highlight w:val="none"/>
          <w:lang w:val="en-US" w:eastAsia="zh-CN" w:bidi="ar"/>
        </w:rPr>
        <w:t>应对食品加工人员开展班前健康检查，并形成</w:t>
      </w:r>
      <w:r>
        <w:rPr>
          <w:rFonts w:hint="eastAsia" w:ascii="仿宋" w:hAnsi="仿宋" w:eastAsia="仿宋" w:cs="仿宋"/>
          <w:color w:val="000000"/>
          <w:kern w:val="0"/>
          <w:sz w:val="31"/>
          <w:szCs w:val="31"/>
          <w:highlight w:val="none"/>
          <w:lang w:val="en-US" w:eastAsia="zh-CN" w:bidi="ar"/>
        </w:rPr>
        <w:t>记录；</w:t>
      </w:r>
      <w:r>
        <w:rPr>
          <w:rFonts w:hint="eastAsia" w:hAnsi="宋体"/>
          <w:szCs w:val="30"/>
          <w:highlight w:val="none"/>
        </w:rPr>
        <w:t>从事接触直接入口食品工作的食品生产人员应当每年进行健康检查，取得健康证明后方可上岗工作。</w:t>
      </w:r>
      <w:bookmarkEnd w:id="1"/>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cs="Times New Roman"/>
          <w:sz w:val="36"/>
          <w:szCs w:val="36"/>
          <w:highlight w:val="none"/>
        </w:rPr>
      </w:pPr>
      <w:r>
        <w:rPr>
          <w:rFonts w:hint="eastAsia" w:ascii="方正小标宋简体" w:hAnsi="宋体" w:eastAsia="方正小标宋简体" w:cs="Times New Roman"/>
          <w:sz w:val="36"/>
          <w:szCs w:val="36"/>
          <w:highlight w:val="none"/>
        </w:rPr>
        <w:t>第六章　管理制度</w:t>
      </w:r>
    </w:p>
    <w:p>
      <w:pPr>
        <w:widowControl/>
        <w:spacing w:line="240" w:lineRule="auto"/>
        <w:ind w:firstLine="640" w:firstLineChars="200"/>
        <w:jc w:val="left"/>
        <w:rPr>
          <w:rFonts w:hint="eastAsia" w:hAnsi="宋体"/>
          <w:color w:val="auto"/>
          <w:szCs w:val="30"/>
          <w:highlight w:val="none"/>
          <w:lang w:bidi="ar"/>
        </w:rPr>
      </w:pPr>
      <w:bookmarkStart w:id="2" w:name="_Toc416939935"/>
      <w:bookmarkEnd w:id="2"/>
      <w:bookmarkStart w:id="3" w:name="_Toc21138"/>
      <w:bookmarkEnd w:id="3"/>
      <w:bookmarkStart w:id="4" w:name="_Toc415228647"/>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八</w:t>
      </w:r>
      <w:r>
        <w:rPr>
          <w:rFonts w:hint="eastAsia" w:ascii="黑体" w:hAnsi="黑体" w:eastAsia="黑体" w:cs="黑体"/>
          <w:szCs w:val="30"/>
          <w:highlight w:val="none"/>
        </w:rPr>
        <w:t>条</w:t>
      </w:r>
      <w:r>
        <w:rPr>
          <w:rFonts w:hint="eastAsia" w:hAnsi="宋体"/>
          <w:szCs w:val="30"/>
          <w:highlight w:val="none"/>
        </w:rPr>
        <w:t>　</w:t>
      </w:r>
      <w:r>
        <w:rPr>
          <w:rFonts w:hint="eastAsia" w:hAnsi="宋体"/>
          <w:color w:val="auto"/>
          <w:szCs w:val="30"/>
          <w:highlight w:val="none"/>
        </w:rPr>
        <w:t>建立</w:t>
      </w:r>
      <w:r>
        <w:rPr>
          <w:rFonts w:hint="eastAsia" w:ascii="Times New Roman" w:hAnsi="宋体" w:eastAsia="仿宋" w:cs="Times New Roman"/>
          <w:color w:val="auto"/>
          <w:kern w:val="2"/>
          <w:sz w:val="32"/>
          <w:szCs w:val="30"/>
          <w:highlight w:val="none"/>
          <w:lang w:bidi="ar"/>
        </w:rPr>
        <w:t>并执行</w:t>
      </w:r>
      <w:r>
        <w:rPr>
          <w:rFonts w:hint="eastAsia" w:hAnsi="宋体"/>
          <w:color w:val="auto"/>
          <w:szCs w:val="30"/>
          <w:highlight w:val="none"/>
        </w:rPr>
        <w:t>采购管理及进货查验记录制度</w:t>
      </w:r>
      <w:r>
        <w:rPr>
          <w:rFonts w:hint="eastAsia" w:ascii="仿宋" w:hAnsi="仿宋"/>
          <w:color w:val="auto"/>
          <w:highlight w:val="none"/>
        </w:rPr>
        <w:t>。应符合《</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14881）中的</w:t>
      </w:r>
      <w:r>
        <w:rPr>
          <w:rFonts w:hint="eastAsia" w:ascii="仿宋" w:hAnsi="仿宋"/>
          <w:color w:val="auto"/>
          <w:highlight w:val="none"/>
          <w:lang w:val="en-US" w:eastAsia="zh-CN"/>
        </w:rPr>
        <w:t>相关</w:t>
      </w:r>
      <w:r>
        <w:rPr>
          <w:rFonts w:hint="eastAsia" w:ascii="仿宋" w:hAnsi="仿宋"/>
          <w:color w:val="auto"/>
          <w:highlight w:val="none"/>
        </w:rPr>
        <w:t>要求。生产所需的原辅料、食品添加剂和包装材料须符合相应的国家法律法规、标准及相关部门公告的要求。</w:t>
      </w:r>
      <w:r>
        <w:rPr>
          <w:color w:val="auto"/>
          <w:highlight w:val="none"/>
        </w:rPr>
        <w:t>应依照有关规定保证对购入的含乳原料批批进行三聚氰胺等项目检验</w:t>
      </w:r>
      <w:r>
        <w:rPr>
          <w:rFonts w:hint="eastAsia"/>
          <w:color w:val="auto"/>
          <w:highlight w:val="none"/>
        </w:rPr>
        <w:t>；大豆原料应彻底灭酶（或在生产过程中灭酶），每批次进行脲酶活性检验，保证脲酶活性为阴性。</w:t>
      </w:r>
      <w:r>
        <w:rPr>
          <w:rFonts w:hint="eastAsia" w:ascii="Times New Roman" w:hAnsi="宋体" w:eastAsia="仿宋" w:cs="Times New Roman"/>
          <w:color w:val="auto"/>
          <w:kern w:val="2"/>
          <w:sz w:val="32"/>
          <w:szCs w:val="30"/>
          <w:highlight w:val="none"/>
          <w:lang w:bidi="ar"/>
        </w:rPr>
        <w:t>采购的原辅料和食品相关产品的品种、质量标准应当符合食品安全国家标准要求，并经验收合格后方可使用。</w:t>
      </w:r>
    </w:p>
    <w:p>
      <w:pPr>
        <w:keepNext w:val="0"/>
        <w:keepLines w:val="0"/>
        <w:widowControl/>
        <w:suppressLineNumbers w:val="0"/>
        <w:ind w:firstLine="640" w:firstLineChars="200"/>
        <w:jc w:val="left"/>
        <w:rPr>
          <w:rFonts w:hint="eastAsia" w:ascii="仿宋" w:hAnsi="仿宋"/>
          <w:highlight w:val="none"/>
        </w:rPr>
      </w:pPr>
      <w:r>
        <w:rPr>
          <w:rFonts w:hint="eastAsia" w:ascii="Times New Roman" w:hAnsi="宋体" w:eastAsia="仿宋" w:cs="Times New Roman"/>
          <w:color w:val="auto"/>
          <w:kern w:val="2"/>
          <w:sz w:val="32"/>
          <w:szCs w:val="30"/>
          <w:highlight w:val="none"/>
          <w:lang w:bidi="ar"/>
        </w:rPr>
        <w:t>原辅料采购验收</w:t>
      </w:r>
      <w:r>
        <w:rPr>
          <w:rFonts w:hint="eastAsia" w:hAnsi="宋体"/>
          <w:color w:val="auto"/>
          <w:szCs w:val="30"/>
          <w:highlight w:val="none"/>
          <w:lang w:bidi="ar"/>
        </w:rPr>
        <w:t>应</w:t>
      </w:r>
      <w:r>
        <w:rPr>
          <w:rFonts w:hint="eastAsia" w:ascii="Times New Roman" w:hAnsi="宋体" w:eastAsia="仿宋" w:cs="Times New Roman"/>
          <w:color w:val="auto"/>
          <w:kern w:val="2"/>
          <w:sz w:val="32"/>
          <w:szCs w:val="30"/>
          <w:highlight w:val="none"/>
          <w:lang w:bidi="ar"/>
        </w:rPr>
        <w:t>规定原辅料验收标准以及对采购的原辅料进行查验、检验、记录、报告、接收或拒收的处理意见和审批手续等内容。</w:t>
      </w:r>
    </w:p>
    <w:p>
      <w:pPr>
        <w:spacing w:line="560" w:lineRule="exact"/>
        <w:ind w:firstLine="640" w:firstLineChars="200"/>
        <w:rPr>
          <w:rFonts w:hint="eastAsia" w:ascii="仿宋" w:hAnsi="仿宋"/>
          <w:color w:val="auto"/>
          <w:highlight w:val="none"/>
        </w:rPr>
      </w:pPr>
      <w:r>
        <w:rPr>
          <w:rFonts w:hint="eastAsia" w:ascii="黑体" w:hAnsi="黑体" w:eastAsia="黑体" w:cs="黑体"/>
          <w:szCs w:val="30"/>
          <w:highlight w:val="none"/>
        </w:rPr>
        <w:t>第二十</w:t>
      </w:r>
      <w:r>
        <w:rPr>
          <w:rFonts w:hint="eastAsia" w:ascii="黑体" w:hAnsi="黑体" w:eastAsia="黑体" w:cs="黑体"/>
          <w:szCs w:val="30"/>
          <w:highlight w:val="none"/>
          <w:lang w:val="en-US" w:eastAsia="zh-CN"/>
        </w:rPr>
        <w:t>九</w:t>
      </w:r>
      <w:r>
        <w:rPr>
          <w:rFonts w:hint="eastAsia" w:ascii="黑体" w:hAnsi="黑体" w:eastAsia="黑体" w:cs="黑体"/>
          <w:szCs w:val="30"/>
          <w:highlight w:val="none"/>
        </w:rPr>
        <w:t>条</w:t>
      </w:r>
      <w:bookmarkEnd w:id="4"/>
      <w:r>
        <w:rPr>
          <w:rFonts w:hint="eastAsia" w:hAnsi="宋体"/>
          <w:szCs w:val="30"/>
          <w:highlight w:val="none"/>
        </w:rPr>
        <w:t>　</w:t>
      </w:r>
      <w:r>
        <w:rPr>
          <w:rFonts w:hint="eastAsia" w:ascii="仿宋" w:hAnsi="仿宋"/>
          <w:color w:val="auto"/>
          <w:highlight w:val="none"/>
        </w:rPr>
        <w:t>建立</w:t>
      </w:r>
      <w:r>
        <w:rPr>
          <w:rFonts w:hint="eastAsia" w:hAnsi="宋体"/>
          <w:color w:val="auto"/>
          <w:szCs w:val="30"/>
          <w:highlight w:val="none"/>
          <w:lang w:bidi="ar"/>
        </w:rPr>
        <w:t>并执行</w:t>
      </w:r>
      <w:r>
        <w:rPr>
          <w:rFonts w:hint="eastAsia" w:ascii="仿宋" w:hAnsi="仿宋"/>
          <w:color w:val="auto"/>
          <w:highlight w:val="none"/>
        </w:rPr>
        <w:t>供应商的管理制度和审核制度。对主要原料（大豆、大豆制品、乳类、乳制品</w:t>
      </w:r>
      <w:r>
        <w:rPr>
          <w:rFonts w:hint="eastAsia" w:ascii="仿宋" w:hAnsi="仿宋"/>
          <w:color w:val="auto"/>
          <w:highlight w:val="none"/>
          <w:lang w:eastAsia="zh-CN"/>
        </w:rPr>
        <w:t>、低聚糖、果糖、肽类等</w:t>
      </w:r>
      <w:r>
        <w:rPr>
          <w:rFonts w:hint="eastAsia" w:ascii="仿宋" w:hAnsi="仿宋"/>
          <w:color w:val="auto"/>
          <w:highlight w:val="none"/>
        </w:rPr>
        <w:t>）及食品营养强化剂（维生素及微量元素等）供应商（生产企业、经销商）</w:t>
      </w:r>
      <w:r>
        <w:rPr>
          <w:rFonts w:hint="eastAsia" w:ascii="仿宋" w:hAnsi="仿宋"/>
          <w:color w:val="auto"/>
          <w:highlight w:val="none"/>
          <w:lang w:eastAsia="zh-CN"/>
        </w:rPr>
        <w:t>进行</w:t>
      </w:r>
      <w:r>
        <w:rPr>
          <w:rFonts w:hint="eastAsia" w:ascii="仿宋" w:hAnsi="仿宋"/>
          <w:color w:val="auto"/>
          <w:highlight w:val="none"/>
        </w:rPr>
        <w:t>审核</w:t>
      </w:r>
      <w:r>
        <w:rPr>
          <w:rFonts w:hint="eastAsia" w:ascii="仿宋" w:hAnsi="仿宋"/>
          <w:color w:val="auto"/>
          <w:highlight w:val="none"/>
          <w:lang w:eastAsia="zh-CN"/>
        </w:rPr>
        <w:t>，审核</w:t>
      </w:r>
      <w:r>
        <w:rPr>
          <w:rFonts w:hint="eastAsia" w:ascii="仿宋" w:hAnsi="仿宋"/>
          <w:color w:val="auto"/>
          <w:highlight w:val="none"/>
        </w:rPr>
        <w:t>内容至少包括：供应商的资质证明文件、质量安全标准、检验报告；供应商是生产企业的还应审核其原辅料采购控制能力、生产过程控制能力、设备设施条件、检验能力、不合格品管控能力，对主要原辅料的生产商或者供应商的质量管理体系进行评估，并形成质量审核报告</w:t>
      </w:r>
      <w:r>
        <w:rPr>
          <w:rFonts w:hint="eastAsia" w:ascii="仿宋" w:hAnsi="仿宋"/>
          <w:color w:val="auto"/>
          <w:highlight w:val="none"/>
          <w:lang w:eastAsia="zh-CN"/>
        </w:rPr>
        <w:t>，</w:t>
      </w:r>
      <w:r>
        <w:rPr>
          <w:rFonts w:hint="eastAsia" w:ascii="仿宋" w:hAnsi="仿宋"/>
          <w:color w:val="auto"/>
          <w:highlight w:val="none"/>
          <w:lang w:val="en-US" w:eastAsia="zh-CN"/>
        </w:rPr>
        <w:t>必要时进行现场审核</w:t>
      </w:r>
      <w:r>
        <w:rPr>
          <w:rFonts w:hint="eastAsia" w:ascii="仿宋" w:hAnsi="仿宋"/>
          <w:color w:val="auto"/>
          <w:highlight w:val="none"/>
        </w:rPr>
        <w:t>。</w:t>
      </w:r>
    </w:p>
    <w:p>
      <w:pPr>
        <w:spacing w:line="560" w:lineRule="exact"/>
        <w:ind w:firstLine="640" w:firstLineChars="200"/>
        <w:rPr>
          <w:rFonts w:hint="eastAsia" w:ascii="仿宋" w:hAnsi="仿宋"/>
          <w:color w:val="auto"/>
          <w:highlight w:val="none"/>
        </w:rPr>
      </w:pPr>
      <w:r>
        <w:rPr>
          <w:rFonts w:hint="eastAsia" w:ascii="黑体" w:hAnsi="黑体" w:eastAsia="黑体" w:cs="黑体"/>
          <w:szCs w:val="30"/>
          <w:highlight w:val="none"/>
        </w:rPr>
        <w:t>第</w:t>
      </w:r>
      <w:r>
        <w:rPr>
          <w:rFonts w:hint="eastAsia" w:ascii="黑体" w:hAnsi="黑体" w:eastAsia="黑体" w:cs="黑体"/>
          <w:szCs w:val="30"/>
          <w:highlight w:val="none"/>
          <w:lang w:val="en-US" w:eastAsia="zh-CN"/>
        </w:rPr>
        <w:t>三十</w:t>
      </w:r>
      <w:r>
        <w:rPr>
          <w:rFonts w:hint="eastAsia" w:ascii="黑体" w:hAnsi="黑体" w:eastAsia="黑体" w:cs="黑体"/>
          <w:szCs w:val="30"/>
          <w:highlight w:val="none"/>
        </w:rPr>
        <w:t>条</w:t>
      </w:r>
      <w:r>
        <w:rPr>
          <w:rFonts w:hint="eastAsia" w:hAnsi="宋体"/>
          <w:szCs w:val="30"/>
          <w:highlight w:val="none"/>
        </w:rPr>
        <w:t>　</w:t>
      </w:r>
      <w:r>
        <w:rPr>
          <w:rFonts w:hint="eastAsia" w:ascii="仿宋" w:hAnsi="仿宋"/>
          <w:color w:val="auto"/>
          <w:highlight w:val="none"/>
        </w:rPr>
        <w:t>采用进口原辅料的生产企业，应审核进口原辅料供应商、贸易商的资质证明文件、质量标准及每批原辅料由出入境检验检疫部门出具的相关合格证明材料。</w:t>
      </w:r>
    </w:p>
    <w:p>
      <w:pPr>
        <w:widowControl/>
        <w:snapToGrid w:val="0"/>
        <w:spacing w:line="560" w:lineRule="exact"/>
        <w:ind w:firstLine="640" w:firstLineChars="200"/>
        <w:rPr>
          <w:rFonts w:hint="eastAsia" w:ascii="仿宋" w:hAnsi="仿宋"/>
          <w:color w:val="auto"/>
          <w:highlight w:val="none"/>
        </w:rPr>
      </w:pPr>
      <w:r>
        <w:rPr>
          <w:rFonts w:hint="eastAsia" w:ascii="黑体" w:hAnsi="黑体" w:eastAsia="黑体" w:cs="黑体"/>
          <w:szCs w:val="30"/>
          <w:highlight w:val="none"/>
        </w:rPr>
        <w:t>第</w:t>
      </w:r>
      <w:r>
        <w:rPr>
          <w:rFonts w:hint="eastAsia" w:ascii="黑体" w:hAnsi="黑体" w:eastAsia="黑体" w:cs="黑体"/>
          <w:szCs w:val="30"/>
          <w:highlight w:val="none"/>
          <w:lang w:val="en-US" w:eastAsia="zh-CN"/>
        </w:rPr>
        <w:t>三十一</w:t>
      </w:r>
      <w:r>
        <w:rPr>
          <w:rFonts w:hint="eastAsia" w:ascii="黑体" w:hAnsi="黑体" w:eastAsia="黑体" w:cs="黑体"/>
          <w:szCs w:val="30"/>
          <w:highlight w:val="none"/>
        </w:rPr>
        <w:t>条</w:t>
      </w:r>
      <w:r>
        <w:rPr>
          <w:rFonts w:hint="eastAsia" w:hAnsi="宋体"/>
          <w:szCs w:val="30"/>
          <w:highlight w:val="none"/>
        </w:rPr>
        <w:t>　</w:t>
      </w:r>
      <w:r>
        <w:rPr>
          <w:rFonts w:hint="eastAsia" w:ascii="仿宋" w:hAnsi="仿宋"/>
          <w:color w:val="auto"/>
          <w:highlight w:val="none"/>
        </w:rPr>
        <w:t>建立</w:t>
      </w:r>
      <w:r>
        <w:rPr>
          <w:rFonts w:hint="eastAsia" w:hAnsi="宋体"/>
          <w:color w:val="auto"/>
          <w:szCs w:val="30"/>
          <w:highlight w:val="none"/>
          <w:lang w:bidi="ar"/>
        </w:rPr>
        <w:t>并执行</w:t>
      </w:r>
      <w:r>
        <w:rPr>
          <w:rFonts w:hint="eastAsia" w:ascii="仿宋" w:hAnsi="仿宋"/>
          <w:color w:val="auto"/>
          <w:highlight w:val="none"/>
        </w:rPr>
        <w:t>生产用水控制要求。与食品直接接触的生产用水、设备清洗用水、制冰和蒸汽用水等应符合《生活饮用水卫生标准》（GB 5749）的相关规定。生产液</w:t>
      </w:r>
      <w:r>
        <w:rPr>
          <w:rFonts w:hint="eastAsia" w:ascii="仿宋" w:hAnsi="仿宋"/>
          <w:color w:val="auto"/>
          <w:highlight w:val="none"/>
          <w:lang w:val="en-US" w:eastAsia="zh-CN"/>
        </w:rPr>
        <w:t>态</w:t>
      </w:r>
      <w:r>
        <w:rPr>
          <w:rFonts w:hint="eastAsia" w:ascii="仿宋" w:hAnsi="仿宋"/>
          <w:color w:val="auto"/>
          <w:highlight w:val="none"/>
        </w:rPr>
        <w:t>产品时，与产品直接接触的生产用水应根据产品的特点</w:t>
      </w:r>
      <w:r>
        <w:rPr>
          <w:rFonts w:hint="eastAsia" w:ascii="仿宋" w:hAnsi="仿宋"/>
          <w:color w:val="auto"/>
          <w:highlight w:val="none"/>
          <w:lang w:val="en-US" w:eastAsia="zh-CN"/>
        </w:rPr>
        <w:t>采用合适的水处理装置</w:t>
      </w:r>
      <w:r>
        <w:rPr>
          <w:rFonts w:hint="eastAsia" w:ascii="仿宋" w:hAnsi="仿宋"/>
          <w:color w:val="auto"/>
          <w:highlight w:val="none"/>
        </w:rPr>
        <w:t>制得，以确保满足产品质量和工艺的要求。</w:t>
      </w:r>
    </w:p>
    <w:p>
      <w:pPr>
        <w:widowControl/>
        <w:spacing w:line="560" w:lineRule="exact"/>
        <w:ind w:firstLine="640" w:firstLineChars="200"/>
        <w:jc w:val="left"/>
        <w:rPr>
          <w:rFonts w:ascii="仿宋" w:hAnsi="仿宋"/>
          <w:color w:val="auto"/>
          <w:highlight w:val="none"/>
        </w:rPr>
      </w:pPr>
      <w:r>
        <w:rPr>
          <w:rFonts w:hint="eastAsia" w:ascii="黑体" w:hAnsi="黑体" w:eastAsia="黑体" w:cs="黑体"/>
          <w:szCs w:val="30"/>
          <w:highlight w:val="none"/>
        </w:rPr>
        <w:t>第</w:t>
      </w:r>
      <w:r>
        <w:rPr>
          <w:rFonts w:hint="eastAsia" w:ascii="黑体" w:hAnsi="黑体" w:eastAsia="黑体" w:cs="黑体"/>
          <w:szCs w:val="30"/>
          <w:highlight w:val="none"/>
          <w:lang w:val="en-US" w:eastAsia="zh-CN"/>
        </w:rPr>
        <w:t>三十二</w:t>
      </w:r>
      <w:r>
        <w:rPr>
          <w:rFonts w:hint="eastAsia" w:ascii="黑体" w:hAnsi="黑体" w:eastAsia="黑体" w:cs="黑体"/>
          <w:szCs w:val="30"/>
          <w:highlight w:val="none"/>
        </w:rPr>
        <w:t>条</w:t>
      </w:r>
      <w:r>
        <w:rPr>
          <w:rFonts w:hint="eastAsia" w:hAnsi="宋体"/>
          <w:szCs w:val="30"/>
          <w:highlight w:val="none"/>
        </w:rPr>
        <w:t>　</w:t>
      </w:r>
      <w:r>
        <w:rPr>
          <w:rFonts w:hint="eastAsia" w:ascii="仿宋" w:hAnsi="仿宋"/>
          <w:color w:val="auto"/>
          <w:highlight w:val="none"/>
        </w:rPr>
        <w:t>建立</w:t>
      </w:r>
      <w:r>
        <w:rPr>
          <w:rFonts w:hint="eastAsia" w:hAnsi="宋体"/>
          <w:color w:val="auto"/>
          <w:szCs w:val="30"/>
          <w:highlight w:val="none"/>
          <w:lang w:bidi="ar"/>
        </w:rPr>
        <w:t>并执行</w:t>
      </w:r>
      <w:r>
        <w:rPr>
          <w:rFonts w:hint="eastAsia" w:ascii="仿宋" w:hAnsi="仿宋"/>
          <w:color w:val="auto"/>
          <w:highlight w:val="none"/>
        </w:rPr>
        <w:t>仓储管理制度。应符合《</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14881）相关要求。应根据各类原辅料、包装材料、食品添加剂的产品特性、贮存条件设立管理要求，遵照“先进先出”或“效期先出”的原则</w:t>
      </w:r>
      <w:r>
        <w:rPr>
          <w:rFonts w:hint="eastAsia" w:ascii="仿宋" w:hAnsi="仿宋"/>
          <w:color w:val="auto"/>
          <w:highlight w:val="none"/>
          <w:lang w:eastAsia="zh-CN"/>
        </w:rPr>
        <w:t>，并</w:t>
      </w:r>
      <w:r>
        <w:rPr>
          <w:rFonts w:hint="eastAsia" w:ascii="仿宋" w:hAnsi="仿宋"/>
          <w:color w:val="auto"/>
          <w:highlight w:val="none"/>
          <w:lang w:val="en-US" w:eastAsia="zh-CN"/>
        </w:rPr>
        <w:t>对拆包退库原辅料保质期和使用条件做出相应管理规定</w:t>
      </w:r>
      <w:r>
        <w:rPr>
          <w:rFonts w:hint="eastAsia" w:ascii="仿宋" w:hAnsi="仿宋"/>
          <w:color w:val="auto"/>
          <w:highlight w:val="none"/>
        </w:rPr>
        <w:t>。对食品添加剂、营养强化剂和含有过敏原的食品原料应分区域或分库在规定的贮存条件下保存，明确标识，避免交叉污染与误用。食品添加剂（包括营养强化剂）应由专人管理，专库存放或专区</w:t>
      </w:r>
      <w:r>
        <w:rPr>
          <w:rFonts w:hint="eastAsia" w:ascii="仿宋" w:hAnsi="仿宋"/>
          <w:color w:val="auto"/>
          <w:highlight w:val="none"/>
          <w:lang w:val="en-US" w:eastAsia="zh-CN"/>
        </w:rPr>
        <w:t>分隔</w:t>
      </w:r>
      <w:r>
        <w:rPr>
          <w:rFonts w:hint="eastAsia" w:ascii="仿宋" w:hAnsi="仿宋"/>
          <w:color w:val="auto"/>
          <w:highlight w:val="none"/>
        </w:rPr>
        <w:t>，并使用专用登记册（或仓库管理软件）记录其进货查验和使用情况。确保其使用情况可进行有效追溯。</w:t>
      </w:r>
    </w:p>
    <w:p>
      <w:pPr>
        <w:spacing w:line="560" w:lineRule="exact"/>
        <w:ind w:firstLine="640" w:firstLineChars="200"/>
        <w:rPr>
          <w:rFonts w:hint="eastAsia" w:ascii="仿宋" w:hAnsi="仿宋"/>
          <w:color w:val="auto"/>
          <w:highlight w:val="none"/>
        </w:rPr>
      </w:pPr>
      <w:r>
        <w:rPr>
          <w:rFonts w:hint="eastAsia" w:ascii="仿宋" w:hAnsi="仿宋"/>
          <w:color w:val="auto"/>
          <w:highlight w:val="none"/>
        </w:rPr>
        <w:t>明确不合格品管理要求。验收不合格的食品原辅料、包</w:t>
      </w:r>
      <w:r>
        <w:rPr>
          <w:rFonts w:hint="eastAsia" w:ascii="仿宋" w:hAnsi="仿宋"/>
          <w:color w:val="auto"/>
          <w:highlight w:val="none"/>
          <w:lang w:val="en-US" w:eastAsia="zh-CN"/>
        </w:rPr>
        <w:t>装</w:t>
      </w:r>
      <w:r>
        <w:rPr>
          <w:rFonts w:hint="eastAsia" w:ascii="仿宋" w:hAnsi="仿宋"/>
          <w:color w:val="auto"/>
          <w:highlight w:val="none"/>
        </w:rPr>
        <w:t>材</w:t>
      </w:r>
      <w:r>
        <w:rPr>
          <w:rFonts w:hint="eastAsia" w:ascii="仿宋" w:hAnsi="仿宋"/>
          <w:color w:val="auto"/>
          <w:highlight w:val="none"/>
          <w:lang w:val="en-US" w:eastAsia="zh-CN"/>
        </w:rPr>
        <w:t>料</w:t>
      </w:r>
      <w:r>
        <w:rPr>
          <w:rFonts w:hint="eastAsia" w:ascii="仿宋" w:hAnsi="仿宋"/>
          <w:color w:val="auto"/>
          <w:highlight w:val="none"/>
        </w:rPr>
        <w:t>及食品相关产品应当在指定区域与合格品分开放置并明显标记。</w:t>
      </w:r>
    </w:p>
    <w:p>
      <w:pPr>
        <w:spacing w:line="560" w:lineRule="exact"/>
        <w:ind w:firstLine="640" w:firstLineChars="200"/>
        <w:rPr>
          <w:rFonts w:hint="eastAsia" w:ascii="仿宋" w:hAnsi="仿宋"/>
          <w:highlight w:val="none"/>
        </w:rPr>
      </w:pPr>
      <w:r>
        <w:rPr>
          <w:rFonts w:hint="eastAsia" w:ascii="仿宋" w:hAnsi="仿宋"/>
          <w:color w:val="auto"/>
          <w:highlight w:val="none"/>
        </w:rPr>
        <w:t>建立</w:t>
      </w:r>
      <w:r>
        <w:rPr>
          <w:rFonts w:hint="eastAsia" w:ascii="仿宋" w:hAnsi="仿宋"/>
          <w:color w:val="auto"/>
          <w:szCs w:val="32"/>
          <w:highlight w:val="none"/>
          <w:lang w:bidi="ar"/>
        </w:rPr>
        <w:t>并执行</w:t>
      </w:r>
      <w:r>
        <w:rPr>
          <w:rFonts w:hint="eastAsia" w:ascii="仿宋" w:hAnsi="仿宋"/>
          <w:color w:val="auto"/>
          <w:highlight w:val="none"/>
        </w:rPr>
        <w:t>虫害控制制度。应符合《</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w:t>
      </w:r>
      <w:r>
        <w:rPr>
          <w:rFonts w:hint="eastAsia" w:ascii="仿宋" w:hAnsi="仿宋"/>
          <w:color w:val="auto"/>
          <w:highlight w:val="none"/>
          <w:lang w:eastAsia="zh-CN"/>
        </w:rPr>
        <w:t>的</w:t>
      </w:r>
      <w:r>
        <w:rPr>
          <w:rFonts w:hint="eastAsia" w:ascii="仿宋" w:hAnsi="仿宋"/>
          <w:color w:val="auto"/>
          <w:highlight w:val="none"/>
          <w:lang w:val="en-US" w:eastAsia="zh-CN"/>
        </w:rPr>
        <w:t>相关</w:t>
      </w:r>
      <w:r>
        <w:rPr>
          <w:rFonts w:hint="eastAsia" w:ascii="仿宋" w:hAnsi="仿宋"/>
          <w:color w:val="auto"/>
          <w:highlight w:val="none"/>
        </w:rPr>
        <w:t>要求。应准确绘制虫害控制平面图，标明捕鼠器、粘鼠板、灭蝇灯、室外诱饵投放点等放置的位置，定期检查虫害控制情况。发现有虫害痕迹时，应追查来源，消除隐患。</w:t>
      </w:r>
    </w:p>
    <w:p>
      <w:pPr>
        <w:widowControl/>
        <w:spacing w:line="560" w:lineRule="exact"/>
        <w:ind w:firstLine="640" w:firstLineChars="200"/>
        <w:jc w:val="left"/>
        <w:rPr>
          <w:rFonts w:hint="eastAsia" w:ascii="仿宋" w:hAnsi="仿宋"/>
          <w:color w:val="auto"/>
          <w:highlight w:val="none"/>
        </w:rPr>
      </w:pPr>
      <w:r>
        <w:rPr>
          <w:rFonts w:hint="eastAsia" w:ascii="黑体" w:hAnsi="黑体" w:eastAsia="黑体" w:cs="黑体"/>
          <w:color w:val="auto"/>
          <w:szCs w:val="30"/>
          <w:highlight w:val="none"/>
        </w:rPr>
        <w:t>第三十</w:t>
      </w:r>
      <w:r>
        <w:rPr>
          <w:rFonts w:hint="eastAsia" w:ascii="黑体" w:hAnsi="黑体" w:eastAsia="黑体" w:cs="黑体"/>
          <w:color w:val="auto"/>
          <w:szCs w:val="30"/>
          <w:highlight w:val="none"/>
          <w:lang w:val="en-US" w:eastAsia="zh-CN"/>
        </w:rPr>
        <w:t>三</w:t>
      </w:r>
      <w:r>
        <w:rPr>
          <w:rFonts w:hint="eastAsia" w:ascii="黑体" w:hAnsi="黑体" w:eastAsia="黑体" w:cs="黑体"/>
          <w:color w:val="auto"/>
          <w:szCs w:val="30"/>
          <w:highlight w:val="none"/>
        </w:rPr>
        <w:t>条</w:t>
      </w:r>
      <w:r>
        <w:rPr>
          <w:rFonts w:hint="eastAsia" w:hAnsi="宋体"/>
          <w:color w:val="auto"/>
          <w:szCs w:val="30"/>
          <w:highlight w:val="none"/>
        </w:rPr>
        <w:t>　建立</w:t>
      </w:r>
      <w:r>
        <w:rPr>
          <w:rFonts w:hint="eastAsia" w:hAnsi="宋体"/>
          <w:color w:val="auto"/>
          <w:szCs w:val="30"/>
          <w:highlight w:val="none"/>
          <w:lang w:bidi="ar"/>
        </w:rPr>
        <w:t>并执行</w:t>
      </w:r>
      <w:r>
        <w:rPr>
          <w:rFonts w:hint="eastAsia" w:ascii="仿宋" w:hAnsi="仿宋"/>
          <w:color w:val="auto"/>
          <w:highlight w:val="none"/>
        </w:rPr>
        <w:t>生产过程控制制度，生产过程需符合《食品安全国家标准 食品生产通用卫生规范》（GB 14881）的相关要求。</w:t>
      </w:r>
    </w:p>
    <w:p>
      <w:pPr>
        <w:widowControl/>
        <w:snapToGrid w:val="0"/>
        <w:spacing w:line="560" w:lineRule="exact"/>
        <w:ind w:firstLine="640" w:firstLineChars="200"/>
        <w:rPr>
          <w:rFonts w:hint="eastAsia" w:ascii="仿宋" w:hAnsi="仿宋"/>
          <w:color w:val="auto"/>
          <w:highlight w:val="none"/>
        </w:rPr>
      </w:pPr>
      <w:r>
        <w:rPr>
          <w:rFonts w:hint="eastAsia" w:ascii="仿宋" w:hAnsi="仿宋"/>
          <w:color w:val="auto"/>
          <w:highlight w:val="none"/>
        </w:rPr>
        <w:t>（一）建立</w:t>
      </w:r>
      <w:r>
        <w:rPr>
          <w:rFonts w:hint="eastAsia" w:hAnsi="宋体"/>
          <w:color w:val="auto"/>
          <w:szCs w:val="30"/>
          <w:highlight w:val="none"/>
          <w:lang w:bidi="ar"/>
        </w:rPr>
        <w:t>并执行</w:t>
      </w:r>
      <w:r>
        <w:rPr>
          <w:rFonts w:hint="eastAsia" w:ascii="仿宋" w:hAnsi="仿宋"/>
          <w:color w:val="auto"/>
          <w:highlight w:val="none"/>
        </w:rPr>
        <w:t>生产工艺控制要求。工艺应明确生产加工关键控制点及其控制参数技术要求，</w:t>
      </w:r>
      <w:r>
        <w:rPr>
          <w:rFonts w:hint="eastAsia" w:ascii="仿宋" w:hAnsi="仿宋" w:eastAsia="仿宋" w:cs="Times New Roman"/>
          <w:color w:val="auto"/>
          <w:kern w:val="2"/>
          <w:sz w:val="32"/>
          <w:szCs w:val="32"/>
          <w:highlight w:val="none"/>
          <w:lang w:bidi="ar"/>
        </w:rPr>
        <w:t>执行危害分析与关键控制点（HACCP）</w:t>
      </w:r>
      <w:r>
        <w:rPr>
          <w:rFonts w:hint="eastAsia" w:ascii="仿宋" w:hAnsi="仿宋" w:cs="Times New Roman"/>
          <w:color w:val="auto"/>
          <w:kern w:val="2"/>
          <w:sz w:val="32"/>
          <w:szCs w:val="32"/>
          <w:highlight w:val="none"/>
          <w:lang w:val="en-US" w:eastAsia="zh-CN" w:bidi="ar"/>
        </w:rPr>
        <w:t>管理</w:t>
      </w:r>
      <w:r>
        <w:rPr>
          <w:rFonts w:hint="eastAsia" w:ascii="仿宋" w:hAnsi="仿宋"/>
          <w:color w:val="auto"/>
          <w:highlight w:val="none"/>
        </w:rPr>
        <w:t>。</w:t>
      </w:r>
      <w:r>
        <w:rPr>
          <w:rFonts w:hint="eastAsia" w:ascii="Times New Roman" w:hAnsi="宋体" w:eastAsia="仿宋" w:cs="Times New Roman"/>
          <w:color w:val="auto"/>
          <w:kern w:val="2"/>
          <w:sz w:val="32"/>
          <w:szCs w:val="30"/>
          <w:highlight w:val="none"/>
          <w:lang w:bidi="ar"/>
        </w:rPr>
        <w:t>对各关键控制点进行监控，定期和不定期检查工艺要求、工艺记录和产品配方等</w:t>
      </w:r>
      <w:r>
        <w:rPr>
          <w:rFonts w:hint="eastAsia" w:ascii="Times New Roman" w:hAnsi="宋体" w:cs="Times New Roman"/>
          <w:color w:val="auto"/>
          <w:kern w:val="2"/>
          <w:sz w:val="32"/>
          <w:szCs w:val="30"/>
          <w:highlight w:val="none"/>
          <w:lang w:eastAsia="zh-CN" w:bidi="ar"/>
        </w:rPr>
        <w:t>技术</w:t>
      </w:r>
      <w:r>
        <w:rPr>
          <w:rFonts w:hint="eastAsia" w:ascii="Times New Roman" w:hAnsi="宋体" w:eastAsia="仿宋" w:cs="Times New Roman"/>
          <w:color w:val="auto"/>
          <w:kern w:val="2"/>
          <w:sz w:val="32"/>
          <w:szCs w:val="30"/>
          <w:highlight w:val="none"/>
          <w:lang w:bidi="ar"/>
        </w:rPr>
        <w:t>符合性。</w:t>
      </w:r>
      <w:r>
        <w:rPr>
          <w:rFonts w:hint="eastAsia" w:ascii="仿宋" w:hAnsi="仿宋"/>
          <w:color w:val="auto"/>
          <w:highlight w:val="none"/>
        </w:rPr>
        <w:t>产品主要原辅料、生产配方、工艺流程及设备，应进行必要性和安全性评估验证，保证产品质量符合要求。如发生重大改变，应进行再验证。</w:t>
      </w:r>
    </w:p>
    <w:p>
      <w:pPr>
        <w:widowControl/>
        <w:snapToGrid/>
        <w:spacing w:line="240" w:lineRule="auto"/>
        <w:ind w:firstLine="640" w:firstLineChars="200"/>
        <w:jc w:val="left"/>
        <w:rPr>
          <w:rFonts w:hint="eastAsia" w:ascii="仿宋" w:hAnsi="仿宋"/>
          <w:color w:val="auto"/>
          <w:highlight w:val="none"/>
        </w:rPr>
      </w:pPr>
      <w:r>
        <w:rPr>
          <w:rFonts w:hint="eastAsia" w:ascii="仿宋" w:hAnsi="仿宋"/>
          <w:color w:val="auto"/>
          <w:highlight w:val="none"/>
        </w:rPr>
        <w:t>建立</w:t>
      </w:r>
      <w:r>
        <w:rPr>
          <w:rFonts w:hint="eastAsia" w:hAnsi="宋体"/>
          <w:color w:val="auto"/>
          <w:szCs w:val="30"/>
          <w:highlight w:val="none"/>
          <w:lang w:bidi="ar"/>
        </w:rPr>
        <w:t>并执行</w:t>
      </w:r>
      <w:r>
        <w:rPr>
          <w:rFonts w:hint="eastAsia" w:ascii="仿宋" w:hAnsi="仿宋"/>
          <w:color w:val="auto"/>
          <w:highlight w:val="none"/>
        </w:rPr>
        <w:t>批生产记录制度，批生产记录至少应当包括：生产指令、各工序生产记录、工艺参数、中间产品和产品检验报告、清场记录、物料平衡记录、生产偏差处理等内容。明确成批规定及编号规则，</w:t>
      </w:r>
      <w:r>
        <w:rPr>
          <w:rFonts w:hint="eastAsia" w:ascii="仿宋" w:hAnsi="仿宋"/>
          <w:color w:val="auto"/>
          <w:highlight w:val="none"/>
          <w:lang w:val="en-US" w:eastAsia="zh-CN"/>
        </w:rPr>
        <w:t>具有可</w:t>
      </w:r>
      <w:r>
        <w:rPr>
          <w:rFonts w:hint="eastAsia" w:ascii="仿宋" w:hAnsi="仿宋"/>
          <w:color w:val="auto"/>
          <w:highlight w:val="none"/>
        </w:rPr>
        <w:t>溯源</w:t>
      </w:r>
      <w:r>
        <w:rPr>
          <w:rFonts w:hint="eastAsia" w:ascii="仿宋" w:hAnsi="仿宋"/>
          <w:color w:val="auto"/>
          <w:highlight w:val="none"/>
          <w:lang w:val="en-US" w:eastAsia="zh-CN"/>
        </w:rPr>
        <w:t>性</w:t>
      </w:r>
      <w:r>
        <w:rPr>
          <w:rFonts w:hint="eastAsia" w:ascii="仿宋" w:hAnsi="仿宋"/>
          <w:color w:val="auto"/>
          <w:highlight w:val="none"/>
        </w:rPr>
        <w:t>。</w:t>
      </w:r>
    </w:p>
    <w:p>
      <w:pPr>
        <w:widowControl/>
        <w:numPr>
          <w:ilvl w:val="0"/>
          <w:numId w:val="1"/>
        </w:numPr>
        <w:spacing w:line="560" w:lineRule="exact"/>
        <w:ind w:firstLine="640" w:firstLineChars="200"/>
        <w:jc w:val="left"/>
        <w:rPr>
          <w:rFonts w:hint="eastAsia" w:ascii="仿宋" w:hAnsi="仿宋"/>
          <w:color w:val="auto"/>
          <w:highlight w:val="none"/>
        </w:rPr>
      </w:pPr>
      <w:r>
        <w:rPr>
          <w:rFonts w:hint="eastAsia" w:ascii="仿宋" w:hAnsi="仿宋"/>
          <w:color w:val="auto"/>
          <w:highlight w:val="none"/>
        </w:rPr>
        <w:t>建立</w:t>
      </w:r>
      <w:r>
        <w:rPr>
          <w:rFonts w:hint="eastAsia" w:hAnsi="宋体"/>
          <w:color w:val="auto"/>
          <w:szCs w:val="30"/>
          <w:highlight w:val="none"/>
          <w:lang w:bidi="ar"/>
        </w:rPr>
        <w:t>并执行</w:t>
      </w:r>
      <w:r>
        <w:rPr>
          <w:rFonts w:hint="eastAsia" w:ascii="仿宋" w:hAnsi="仿宋"/>
          <w:color w:val="auto"/>
          <w:highlight w:val="none"/>
        </w:rPr>
        <w:t>人员卫生控制要求。</w:t>
      </w:r>
      <w:r>
        <w:rPr>
          <w:rFonts w:hint="eastAsia" w:ascii="Times New Roman" w:hAnsi="宋体" w:eastAsia="仿宋" w:cs="Times New Roman"/>
          <w:color w:val="auto"/>
          <w:kern w:val="2"/>
          <w:sz w:val="32"/>
          <w:szCs w:val="30"/>
          <w:highlight w:val="none"/>
          <w:lang w:bidi="ar"/>
        </w:rPr>
        <w:t>进入食品生产区的人员应整理个人卫生，进入清洁作业区的人员应进行定期或不定期的体表微生物检查。进入生产区应规范穿着相应区域的工作服，并按要求洗手、消毒。应制定工作服和工作鞋清洁消毒程序，生产中应注意保持工作服和工作鞋干净完好，必要时及时更换。生产人员在手部未消毒和更换工作服前，不得进行生产。清洁作业区工作服和工作鞋应单独清洗、消毒、存放，定期检查，确保符合清洁作业区使用要求。</w:t>
      </w:r>
    </w:p>
    <w:p>
      <w:pPr>
        <w:widowControl/>
        <w:spacing w:line="560" w:lineRule="exact"/>
        <w:ind w:firstLine="640" w:firstLineChars="200"/>
        <w:jc w:val="left"/>
        <w:rPr>
          <w:rFonts w:hint="eastAsia" w:ascii="仿宋" w:hAnsi="仿宋"/>
          <w:color w:val="auto"/>
          <w:highlight w:val="none"/>
        </w:rPr>
      </w:pPr>
      <w:r>
        <w:rPr>
          <w:rFonts w:hint="eastAsia" w:ascii="仿宋" w:hAnsi="仿宋"/>
          <w:color w:val="auto"/>
          <w:highlight w:val="none"/>
        </w:rPr>
        <w:t>工作服及其他工作服配套物品（以下简称工作服）应符合相应的作业区卫生要求。不同清洁作业区的工作服应分开放置，与个人服装、其他物品分开放置。员工不得在相关作业区以外穿着工作服。不同清洁作业区的工作服应从颜色、标识上加以明显区分并分开清洗。生产中应注意保持工作服干净完好，如受到污染，应及时更换。</w:t>
      </w:r>
    </w:p>
    <w:p>
      <w:pPr>
        <w:widowControl/>
        <w:spacing w:line="240" w:lineRule="auto"/>
        <w:ind w:firstLine="640" w:firstLineChars="200"/>
        <w:jc w:val="left"/>
        <w:rPr>
          <w:rFonts w:ascii="仿宋" w:hAnsi="仿宋"/>
          <w:color w:val="auto"/>
          <w:highlight w:val="none"/>
        </w:rPr>
      </w:pPr>
      <w:r>
        <w:rPr>
          <w:rFonts w:hint="eastAsia" w:ascii="仿宋" w:hAnsi="仿宋"/>
          <w:color w:val="auto"/>
          <w:highlight w:val="none"/>
        </w:rPr>
        <w:t>（三）建立并执行原辅料卫生控制要求。食品原辅料、食品添加剂和食品相关产品进入清洁作业区前应除去外包装或对外包装进行消毒，采取适当的物料净化措施（如经过缓冲间、隧道杀菌、风淋室或其他卫生控制措施等）。直接用于干混合工序（无后续灭菌/杀菌工艺的）的原料的外包装应当完整且无虫害及其他污染的痕迹。拆包、投料过程中应检查直接接触物料的包装物有无破损，发现破损或其他异常情况，不得使用。</w:t>
      </w:r>
    </w:p>
    <w:p>
      <w:pPr>
        <w:widowControl/>
        <w:ind w:firstLine="640" w:firstLineChars="200"/>
        <w:jc w:val="left"/>
        <w:rPr>
          <w:rFonts w:hint="eastAsia" w:ascii="仿宋" w:hAnsi="仿宋"/>
          <w:color w:val="auto"/>
          <w:highlight w:val="none"/>
        </w:rPr>
      </w:pPr>
      <w:r>
        <w:rPr>
          <w:rFonts w:hint="eastAsia" w:ascii="仿宋" w:hAnsi="仿宋"/>
          <w:color w:val="auto"/>
          <w:highlight w:val="none"/>
        </w:rPr>
        <w:t>（四）建立</w:t>
      </w:r>
      <w:r>
        <w:rPr>
          <w:rFonts w:hint="eastAsia" w:ascii="仿宋" w:hAnsi="仿宋"/>
          <w:color w:val="auto"/>
          <w:highlight w:val="none"/>
          <w:lang w:bidi="ar"/>
        </w:rPr>
        <w:t>并执行</w:t>
      </w:r>
      <w:r>
        <w:rPr>
          <w:rFonts w:hint="eastAsia" w:ascii="仿宋" w:hAnsi="仿宋"/>
          <w:color w:val="auto"/>
          <w:highlight w:val="none"/>
        </w:rPr>
        <w:t>产品</w:t>
      </w:r>
      <w:r>
        <w:rPr>
          <w:rFonts w:hint="eastAsia" w:ascii="仿宋" w:hAnsi="仿宋" w:eastAsia="仿宋" w:cs="Times New Roman"/>
          <w:color w:val="auto"/>
          <w:kern w:val="2"/>
          <w:sz w:val="32"/>
          <w:szCs w:val="32"/>
          <w:highlight w:val="none"/>
          <w:lang w:bidi="ar"/>
        </w:rPr>
        <w:t>食品安全</w:t>
      </w:r>
      <w:r>
        <w:rPr>
          <w:rFonts w:hint="eastAsia" w:ascii="仿宋" w:hAnsi="仿宋"/>
          <w:color w:val="auto"/>
          <w:highlight w:val="none"/>
        </w:rPr>
        <w:t>防护管理要求。半成品和冷却后的产品暂存应采用密闭容器或设备储存，不得裸露存放；生产粉状产品过程中，从热处理到干燥前的输送管道和设备应保持密闭，并按规定进行清洁、消毒；无后续灭菌/杀菌工艺的粉状产品不得采用将半成品裸露在清洁作业区的作业方式。应制定设备故障、停电停水等特殊原因中断生产时的产品处置办法，保证对不符合标准的产品按不合格产品处置。当进行现场维修、维护及施工等工作时，应采取适当措施避免污染食品。</w:t>
      </w:r>
    </w:p>
    <w:p>
      <w:pPr>
        <w:widowControl/>
        <w:spacing w:line="560" w:lineRule="exact"/>
        <w:ind w:firstLine="640" w:firstLineChars="200"/>
        <w:jc w:val="left"/>
        <w:rPr>
          <w:rFonts w:hint="eastAsia" w:ascii="仿宋" w:hAnsi="仿宋"/>
          <w:color w:val="auto"/>
          <w:highlight w:val="none"/>
        </w:rPr>
      </w:pPr>
      <w:r>
        <w:rPr>
          <w:rFonts w:hint="eastAsia" w:ascii="仿宋" w:hAnsi="仿宋"/>
          <w:color w:val="auto"/>
          <w:highlight w:val="none"/>
        </w:rPr>
        <w:t>（五）建立并执行产品包装控制要求。产品包装前应再次核对即将投入使用的包装材料的标识，确保包装材料正确使用，并做好记录。产品包装过程中</w:t>
      </w:r>
      <w:r>
        <w:rPr>
          <w:rFonts w:hint="eastAsia" w:ascii="仿宋" w:hAnsi="仿宋"/>
          <w:color w:val="auto"/>
          <w:highlight w:val="none"/>
          <w:lang w:val="en-US" w:eastAsia="zh-CN"/>
        </w:rPr>
        <w:t>必要时</w:t>
      </w:r>
      <w:r>
        <w:rPr>
          <w:rFonts w:hint="eastAsia" w:ascii="仿宋" w:hAnsi="仿宋"/>
          <w:color w:val="auto"/>
          <w:highlight w:val="none"/>
        </w:rPr>
        <w:t>应当检查</w:t>
      </w:r>
      <w:r>
        <w:rPr>
          <w:rFonts w:hint="eastAsia" w:ascii="仿宋" w:hAnsi="仿宋"/>
          <w:color w:val="auto"/>
          <w:highlight w:val="none"/>
          <w:lang w:val="en-US" w:eastAsia="zh-CN"/>
        </w:rPr>
        <w:t>有无</w:t>
      </w:r>
      <w:r>
        <w:rPr>
          <w:rFonts w:hint="eastAsia" w:ascii="仿宋" w:hAnsi="仿宋"/>
          <w:color w:val="auto"/>
          <w:highlight w:val="none"/>
        </w:rPr>
        <w:t>金属或者异物混入</w:t>
      </w:r>
      <w:r>
        <w:rPr>
          <w:rFonts w:hint="eastAsia" w:ascii="仿宋" w:hAnsi="仿宋"/>
          <w:color w:val="auto"/>
          <w:highlight w:val="none"/>
          <w:lang w:eastAsia="zh-CN"/>
        </w:rPr>
        <w:t>（必要时）</w:t>
      </w:r>
      <w:r>
        <w:rPr>
          <w:rFonts w:hint="eastAsia" w:ascii="仿宋" w:hAnsi="仿宋"/>
          <w:color w:val="auto"/>
          <w:highlight w:val="none"/>
        </w:rPr>
        <w:t>、包装净含量</w:t>
      </w:r>
      <w:r>
        <w:rPr>
          <w:rFonts w:hint="eastAsia" w:ascii="仿宋" w:hAnsi="仿宋"/>
          <w:color w:val="auto"/>
          <w:highlight w:val="none"/>
          <w:lang w:val="en-US" w:eastAsia="zh-CN"/>
        </w:rPr>
        <w:t>符合性</w:t>
      </w:r>
      <w:r>
        <w:rPr>
          <w:rFonts w:hint="eastAsia" w:ascii="仿宋" w:hAnsi="仿宋"/>
          <w:color w:val="auto"/>
          <w:highlight w:val="none"/>
        </w:rPr>
        <w:t>、包装密封性等要求，确保包装后的产品合格。</w:t>
      </w:r>
    </w:p>
    <w:p>
      <w:pPr>
        <w:widowControl/>
        <w:spacing w:line="560" w:lineRule="exact"/>
        <w:ind w:firstLine="640" w:firstLineChars="200"/>
        <w:jc w:val="left"/>
        <w:rPr>
          <w:rFonts w:hint="eastAsia" w:ascii="仿宋" w:hAnsi="仿宋"/>
          <w:color w:val="auto"/>
          <w:highlight w:val="none"/>
        </w:rPr>
      </w:pPr>
      <w:r>
        <w:rPr>
          <w:rFonts w:hint="eastAsia" w:ascii="仿宋" w:hAnsi="仿宋"/>
          <w:color w:val="auto"/>
          <w:highlight w:val="none"/>
        </w:rPr>
        <w:t>（六）建立并执行产品共线生产与风险管控要求。不同品种的产品在同一条生产线上生产时，应经充分的食品安全风险分析，防止交叉污染，确保产品切换不对下一批产品产生影响，并应符合产品标准的相应要求。</w:t>
      </w:r>
    </w:p>
    <w:p>
      <w:pPr>
        <w:widowControl/>
        <w:spacing w:line="560" w:lineRule="exact"/>
        <w:ind w:firstLine="640" w:firstLineChars="200"/>
        <w:jc w:val="left"/>
        <w:rPr>
          <w:rFonts w:ascii="仿宋" w:hAnsi="仿宋"/>
          <w:color w:val="auto"/>
          <w:highlight w:val="none"/>
        </w:rPr>
      </w:pPr>
      <w:r>
        <w:rPr>
          <w:rFonts w:hint="eastAsia" w:ascii="仿宋" w:hAnsi="仿宋"/>
          <w:color w:val="auto"/>
          <w:highlight w:val="none"/>
        </w:rPr>
        <w:t>（七）建立并执行清场管理制度。各生产工序在生产结束后、更换品种或批次前，应对现场进行清场并进行记录。清场工作包括剩余物料的处理，中间品、成品的处理，废弃物的处理，生产用具的处理</w:t>
      </w:r>
      <w:r>
        <w:rPr>
          <w:rFonts w:ascii="仿宋" w:hAnsi="仿宋"/>
          <w:color w:val="auto"/>
          <w:highlight w:val="none"/>
        </w:rPr>
        <w:t>，</w:t>
      </w:r>
      <w:r>
        <w:rPr>
          <w:rFonts w:hint="eastAsia" w:ascii="仿宋" w:hAnsi="仿宋"/>
          <w:color w:val="auto"/>
          <w:highlight w:val="none"/>
        </w:rPr>
        <w:t>外包工序的清场</w:t>
      </w:r>
      <w:r>
        <w:rPr>
          <w:rFonts w:hint="eastAsia" w:ascii="仿宋" w:hAnsi="仿宋"/>
          <w:color w:val="auto"/>
          <w:highlight w:val="none"/>
          <w:lang w:val="en-US" w:eastAsia="zh-CN"/>
        </w:rPr>
        <w:t>等</w:t>
      </w:r>
      <w:r>
        <w:rPr>
          <w:rFonts w:hint="eastAsia" w:ascii="仿宋" w:hAnsi="仿宋"/>
          <w:color w:val="auto"/>
          <w:highlight w:val="none"/>
        </w:rPr>
        <w:t>。</w:t>
      </w:r>
      <w:r>
        <w:rPr>
          <w:rFonts w:hint="eastAsia" w:ascii="仿宋" w:hAnsi="仿宋"/>
          <w:color w:val="auto"/>
          <w:highlight w:val="none"/>
          <w:lang w:val="en-US" w:eastAsia="zh-CN"/>
        </w:rPr>
        <w:t>必要时进行清场符合性验证，确保</w:t>
      </w:r>
      <w:r>
        <w:rPr>
          <w:rFonts w:hint="eastAsia" w:ascii="仿宋" w:hAnsi="仿宋"/>
          <w:color w:val="auto"/>
          <w:highlight w:val="none"/>
        </w:rPr>
        <w:t>清场</w:t>
      </w:r>
      <w:r>
        <w:rPr>
          <w:rFonts w:hint="eastAsia" w:ascii="仿宋" w:hAnsi="仿宋"/>
          <w:color w:val="auto"/>
          <w:highlight w:val="none"/>
          <w:lang w:val="en-US" w:eastAsia="zh-CN"/>
        </w:rPr>
        <w:t>效果达到生产要求。</w:t>
      </w:r>
      <w:r>
        <w:rPr>
          <w:rFonts w:hint="eastAsia" w:ascii="仿宋" w:hAnsi="仿宋"/>
          <w:color w:val="auto"/>
          <w:highlight w:val="none"/>
        </w:rPr>
        <w:t>记录内容包括：工序、品名、生产批次、清场日期、检查项目及结果等，清场负责人及复查人应在记录上签名。</w:t>
      </w:r>
    </w:p>
    <w:p>
      <w:pPr>
        <w:snapToGrid w:val="0"/>
        <w:spacing w:line="560" w:lineRule="exact"/>
        <w:ind w:firstLine="640" w:firstLineChars="200"/>
        <w:rPr>
          <w:rFonts w:hint="eastAsia" w:ascii="仿宋" w:hAnsi="仿宋"/>
          <w:color w:val="auto"/>
          <w:highlight w:val="none"/>
        </w:rPr>
      </w:pPr>
      <w:r>
        <w:rPr>
          <w:rFonts w:hint="eastAsia" w:ascii="仿宋" w:hAnsi="仿宋"/>
          <w:color w:val="auto"/>
          <w:highlight w:val="none"/>
        </w:rPr>
        <w:t>（八）建立并执行清洁消毒制度。应根据原料、产品和工艺的特点，选择适合的清洁剂、消毒剂，并针对生产设备和环境制定有效的清洁消毒制度（包括清洁和消毒计划、操作规程及监督流程），并做好相关记录，保证生产场所、设备和设施等的清洁卫生。清洁剂、消毒剂的配制、使用方法应符合相关规定。</w:t>
      </w:r>
    </w:p>
    <w:p>
      <w:pPr>
        <w:snapToGrid w:val="0"/>
        <w:spacing w:line="560" w:lineRule="exact"/>
        <w:ind w:firstLine="640" w:firstLineChars="200"/>
        <w:rPr>
          <w:rFonts w:hint="eastAsia" w:ascii="仿宋" w:hAnsi="仿宋"/>
          <w:color w:val="auto"/>
          <w:highlight w:val="none"/>
        </w:rPr>
      </w:pPr>
      <w:r>
        <w:rPr>
          <w:rFonts w:hint="eastAsia" w:ascii="仿宋" w:hAnsi="仿宋"/>
          <w:color w:val="auto"/>
          <w:highlight w:val="none"/>
        </w:rPr>
        <w:t>清洁消毒前后的设备和工器具应分开放置，妥善保管，避免交叉污染。用于不同洁净级别作业区的清洁工具应有明确标识，不得混用。</w:t>
      </w:r>
    </w:p>
    <w:p>
      <w:pPr>
        <w:snapToGrid w:val="0"/>
        <w:spacing w:line="560" w:lineRule="exact"/>
        <w:ind w:firstLine="640" w:firstLineChars="200"/>
        <w:rPr>
          <w:rFonts w:hint="eastAsia" w:ascii="仿宋" w:hAnsi="仿宋"/>
          <w:color w:val="auto"/>
          <w:highlight w:val="none"/>
        </w:rPr>
      </w:pPr>
      <w:r>
        <w:rPr>
          <w:rFonts w:hint="eastAsia" w:ascii="仿宋" w:hAnsi="仿宋"/>
          <w:color w:val="auto"/>
          <w:highlight w:val="none"/>
        </w:rPr>
        <w:t>针对生产环境、食品加工人员、设备及设施等进行卫生监控，确立监控的范围、对象和频率，定期对卫生状况进行监控，记录并保存监控结果，发现问题及时整改。</w:t>
      </w:r>
    </w:p>
    <w:p>
      <w:pPr>
        <w:widowControl/>
        <w:ind w:firstLine="640" w:firstLineChars="200"/>
        <w:jc w:val="left"/>
        <w:rPr>
          <w:rFonts w:ascii="仿宋" w:hAnsi="仿宋"/>
          <w:color w:val="auto"/>
          <w:highlight w:val="none"/>
        </w:rPr>
      </w:pPr>
      <w:r>
        <w:rPr>
          <w:rFonts w:hint="eastAsia" w:ascii="黑体" w:hAnsi="黑体" w:eastAsia="黑体" w:cs="黑体"/>
          <w:color w:val="auto"/>
          <w:szCs w:val="30"/>
          <w:highlight w:val="none"/>
          <w:lang w:val="en-US" w:eastAsia="zh-CN"/>
        </w:rPr>
        <w:t xml:space="preserve">第三十四条  </w:t>
      </w:r>
      <w:r>
        <w:rPr>
          <w:rFonts w:hint="eastAsia" w:ascii="仿宋" w:hAnsi="仿宋"/>
          <w:color w:val="auto"/>
          <w:highlight w:val="none"/>
          <w:lang w:bidi="ar"/>
        </w:rPr>
        <w:t>建立并执行设备设施管理制度。确保设备设施正常运行。设备设施应指定专人进行管理，设备设施的标识、台账、说明书、档案、维护和维修记录应准确、齐全。应对生产设备、检验设备、设施的运行状态进行标识管理，明确各种状态及标识的定义，并定期对标识进行检查和维护。需检定或校准的设备设施应定期检定或校准。检验设备设施应定期进行维护和期间核查，保证检验设备的性能满足要求。检验设备应有使用记录。</w:t>
      </w:r>
    </w:p>
    <w:p>
      <w:pPr>
        <w:widowControl/>
        <w:spacing w:line="240" w:lineRule="auto"/>
        <w:ind w:firstLine="640" w:firstLineChars="200"/>
        <w:jc w:val="left"/>
        <w:rPr>
          <w:rFonts w:hint="eastAsia" w:ascii="仿宋" w:hAnsi="仿宋"/>
          <w:color w:val="auto"/>
          <w:highlight w:val="none"/>
        </w:rPr>
      </w:pPr>
      <w:r>
        <w:rPr>
          <w:rFonts w:hint="eastAsia" w:ascii="仿宋" w:hAnsi="仿宋"/>
          <w:color w:val="auto"/>
          <w:highlight w:val="none"/>
        </w:rPr>
        <w:t>设备使用前应进行验证或确认，生产前应检查设备是否处于正常状态，出现故障应及时排除，确保各项性能满足工艺要求。维修后的设备经评估并对评估结果予以记录，需要时进行再次验证或确认。制定设备使用、清洁、维护和维修的操作规程，并保存相应记录。</w:t>
      </w:r>
    </w:p>
    <w:p>
      <w:pPr>
        <w:widowControl/>
        <w:spacing w:line="240" w:lineRule="auto"/>
        <w:ind w:firstLine="640" w:firstLineChars="200"/>
        <w:jc w:val="left"/>
        <w:rPr>
          <w:rFonts w:hint="eastAsia" w:ascii="仿宋" w:hAnsi="仿宋"/>
          <w:color w:val="auto"/>
          <w:highlight w:val="none"/>
        </w:rPr>
      </w:pPr>
      <w:r>
        <w:rPr>
          <w:rFonts w:hint="eastAsia" w:ascii="黑体" w:hAnsi="黑体" w:eastAsia="黑体" w:cs="黑体"/>
          <w:color w:val="auto"/>
          <w:szCs w:val="30"/>
          <w:highlight w:val="none"/>
          <w:lang w:val="en-US" w:eastAsia="zh-CN"/>
        </w:rPr>
        <w:t>第三十五条</w:t>
      </w:r>
      <w:r>
        <w:rPr>
          <w:rFonts w:hint="eastAsia" w:ascii="仿宋" w:hAnsi="仿宋"/>
          <w:color w:val="auto"/>
          <w:highlight w:val="none"/>
          <w:lang w:val="en-US" w:eastAsia="zh-CN"/>
        </w:rPr>
        <w:t xml:space="preserve">  </w:t>
      </w:r>
      <w:r>
        <w:rPr>
          <w:rFonts w:hint="eastAsia"/>
          <w:color w:val="auto"/>
          <w:highlight w:val="none"/>
        </w:rPr>
        <w:t>建立</w:t>
      </w:r>
      <w:r>
        <w:rPr>
          <w:rFonts w:hint="eastAsia" w:ascii="仿宋" w:hAnsi="仿宋"/>
          <w:color w:val="auto"/>
          <w:highlight w:val="none"/>
          <w:lang w:bidi="ar"/>
        </w:rPr>
        <w:t>并执行</w:t>
      </w:r>
      <w:r>
        <w:rPr>
          <w:color w:val="auto"/>
          <w:highlight w:val="none"/>
          <w:lang w:val="zh-CN"/>
        </w:rPr>
        <w:t>运输</w:t>
      </w:r>
      <w:r>
        <w:rPr>
          <w:color w:val="auto"/>
          <w:highlight w:val="none"/>
        </w:rPr>
        <w:t>和交付</w:t>
      </w:r>
      <w:r>
        <w:rPr>
          <w:color w:val="auto"/>
          <w:highlight w:val="none"/>
          <w:lang w:val="zh-CN"/>
        </w:rPr>
        <w:t>管理制度。</w:t>
      </w:r>
      <w:r>
        <w:rPr>
          <w:rFonts w:hint="eastAsia" w:ascii="仿宋" w:hAnsi="仿宋"/>
          <w:color w:val="auto"/>
          <w:highlight w:val="none"/>
        </w:rPr>
        <w:t>应</w:t>
      </w:r>
      <w:r>
        <w:rPr>
          <w:rFonts w:hint="eastAsia" w:ascii="仿宋" w:hAnsi="仿宋"/>
          <w:color w:val="auto"/>
          <w:highlight w:val="none"/>
          <w:lang w:val="en-US" w:eastAsia="zh-CN"/>
        </w:rPr>
        <w:t>符合</w:t>
      </w:r>
      <w:r>
        <w:rPr>
          <w:rFonts w:hint="eastAsia" w:ascii="仿宋" w:hAnsi="仿宋"/>
          <w:color w:val="auto"/>
          <w:highlight w:val="none"/>
        </w:rPr>
        <w:t>《</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14881）的</w:t>
      </w:r>
      <w:r>
        <w:rPr>
          <w:rFonts w:hint="eastAsia" w:ascii="仿宋" w:hAnsi="仿宋"/>
          <w:color w:val="auto"/>
          <w:highlight w:val="none"/>
          <w:lang w:val="en-US" w:eastAsia="zh-CN"/>
        </w:rPr>
        <w:t>相关规定</w:t>
      </w:r>
      <w:r>
        <w:rPr>
          <w:rFonts w:hint="eastAsia" w:ascii="仿宋" w:hAnsi="仿宋"/>
          <w:color w:val="auto"/>
          <w:highlight w:val="none"/>
        </w:rPr>
        <w:t>。</w:t>
      </w:r>
      <w:r>
        <w:rPr>
          <w:color w:val="auto"/>
          <w:highlight w:val="none"/>
        </w:rPr>
        <w:t>企业</w:t>
      </w:r>
      <w:r>
        <w:rPr>
          <w:color w:val="auto"/>
          <w:highlight w:val="none"/>
          <w:lang w:val="zh-CN"/>
        </w:rPr>
        <w:t>应根据</w:t>
      </w:r>
      <w:r>
        <w:rPr>
          <w:rFonts w:hint="eastAsia"/>
          <w:color w:val="auto"/>
          <w:highlight w:val="none"/>
          <w:lang w:val="en-US" w:eastAsia="zh-CN"/>
        </w:rPr>
        <w:t>运动营养</w:t>
      </w:r>
      <w:r>
        <w:rPr>
          <w:color w:val="auto"/>
          <w:highlight w:val="none"/>
          <w:lang w:val="zh-CN"/>
        </w:rPr>
        <w:t>食品的特点和卫生需要</w:t>
      </w:r>
      <w:r>
        <w:rPr>
          <w:color w:val="auto"/>
          <w:highlight w:val="none"/>
        </w:rPr>
        <w:t>规定</w:t>
      </w:r>
      <w:r>
        <w:rPr>
          <w:color w:val="auto"/>
          <w:highlight w:val="none"/>
          <w:lang w:val="zh-CN"/>
        </w:rPr>
        <w:t>运输、交付要求。不得与有毒、有害、有异味的物品一同运输。</w:t>
      </w:r>
    </w:p>
    <w:p>
      <w:pPr>
        <w:widowControl/>
        <w:snapToGrid w:val="0"/>
        <w:spacing w:line="560" w:lineRule="exact"/>
        <w:ind w:firstLine="640" w:firstLineChars="200"/>
        <w:outlineLvl w:val="1"/>
        <w:rPr>
          <w:rFonts w:ascii="仿宋" w:hAnsi="仿宋"/>
          <w:color w:val="auto"/>
          <w:highlight w:val="none"/>
        </w:rPr>
      </w:pPr>
      <w:r>
        <w:rPr>
          <w:rFonts w:hint="eastAsia" w:ascii="黑体" w:hAnsi="黑体" w:eastAsia="黑体" w:cs="黑体"/>
          <w:color w:val="auto"/>
          <w:szCs w:val="30"/>
          <w:highlight w:val="none"/>
        </w:rPr>
        <w:t>第三十</w:t>
      </w:r>
      <w:r>
        <w:rPr>
          <w:rFonts w:hint="eastAsia" w:ascii="黑体" w:hAnsi="黑体" w:eastAsia="黑体" w:cs="黑体"/>
          <w:color w:val="auto"/>
          <w:szCs w:val="30"/>
          <w:highlight w:val="none"/>
          <w:lang w:val="en-US" w:eastAsia="zh-CN"/>
        </w:rPr>
        <w:t>六</w:t>
      </w:r>
      <w:r>
        <w:rPr>
          <w:rFonts w:hint="eastAsia" w:ascii="黑体" w:hAnsi="黑体" w:eastAsia="黑体" w:cs="黑体"/>
          <w:color w:val="auto"/>
          <w:szCs w:val="30"/>
          <w:highlight w:val="none"/>
        </w:rPr>
        <w:t>条</w:t>
      </w:r>
      <w:r>
        <w:rPr>
          <w:rFonts w:hint="eastAsia" w:ascii="仿宋" w:hAnsi="仿宋"/>
          <w:color w:val="auto"/>
          <w:highlight w:val="none"/>
        </w:rPr>
        <w:t>　建立</w:t>
      </w:r>
      <w:r>
        <w:rPr>
          <w:rFonts w:hint="eastAsia" w:ascii="仿宋" w:hAnsi="仿宋" w:eastAsia="仿宋" w:cs="Times New Roman"/>
          <w:color w:val="auto"/>
          <w:kern w:val="2"/>
          <w:sz w:val="32"/>
          <w:szCs w:val="32"/>
          <w:highlight w:val="none"/>
          <w:lang w:bidi="ar"/>
        </w:rPr>
        <w:t>并执行检验管理及</w:t>
      </w:r>
      <w:r>
        <w:rPr>
          <w:rFonts w:hint="eastAsia" w:ascii="仿宋" w:hAnsi="仿宋"/>
          <w:color w:val="auto"/>
          <w:highlight w:val="none"/>
        </w:rPr>
        <w:t>出厂检验记录制度。应遵照《</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14881）中的</w:t>
      </w:r>
      <w:r>
        <w:rPr>
          <w:rFonts w:hint="eastAsia" w:ascii="仿宋" w:hAnsi="仿宋"/>
          <w:color w:val="auto"/>
          <w:highlight w:val="none"/>
          <w:lang w:val="en-US" w:eastAsia="zh-CN"/>
        </w:rPr>
        <w:t>相关</w:t>
      </w:r>
      <w:r>
        <w:rPr>
          <w:rFonts w:hint="eastAsia" w:ascii="仿宋" w:hAnsi="仿宋"/>
          <w:color w:val="auto"/>
          <w:highlight w:val="none"/>
        </w:rPr>
        <w:t>要求。</w:t>
      </w:r>
      <w:r>
        <w:rPr>
          <w:rFonts w:hint="eastAsia" w:ascii="仿宋" w:hAnsi="仿宋" w:eastAsia="仿宋" w:cs="Times New Roman"/>
          <w:color w:val="auto"/>
          <w:kern w:val="2"/>
          <w:sz w:val="32"/>
          <w:szCs w:val="32"/>
          <w:highlight w:val="none"/>
          <w:lang w:bidi="ar"/>
        </w:rPr>
        <w:t>包括原料检验、过程检验、出厂检验</w:t>
      </w:r>
      <w:r>
        <w:rPr>
          <w:rFonts w:hint="eastAsia" w:ascii="仿宋" w:hAnsi="仿宋"/>
          <w:color w:val="auto"/>
          <w:highlight w:val="none"/>
          <w:lang w:bidi="ar"/>
        </w:rPr>
        <w:t>、</w:t>
      </w:r>
      <w:r>
        <w:rPr>
          <w:rFonts w:hint="eastAsia" w:ascii="仿宋" w:hAnsi="仿宋" w:eastAsia="仿宋" w:cs="Times New Roman"/>
          <w:color w:val="auto"/>
          <w:kern w:val="2"/>
          <w:sz w:val="32"/>
          <w:szCs w:val="32"/>
          <w:highlight w:val="none"/>
          <w:lang w:bidi="ar"/>
        </w:rPr>
        <w:t>产品留样方式及要求，过程检验包括但不限于对半成品质量、安全指标的监测。</w:t>
      </w:r>
      <w:r>
        <w:rPr>
          <w:rFonts w:hint="eastAsia"/>
          <w:color w:val="auto"/>
          <w:highlight w:val="none"/>
          <w:lang w:val="zh-CN"/>
        </w:rPr>
        <w:t>成品出厂检验应当按照产品执行标准和有关规定进行逐批检验。</w:t>
      </w:r>
      <w:r>
        <w:rPr>
          <w:rFonts w:hint="eastAsia" w:ascii="仿宋" w:hAnsi="仿宋"/>
          <w:color w:val="auto"/>
          <w:highlight w:val="none"/>
        </w:rPr>
        <w:t>不具备自检的成品检验项目可以委托有资质的第三方检验机构进行成品出厂检验。</w:t>
      </w:r>
    </w:p>
    <w:p>
      <w:pPr>
        <w:spacing w:line="560" w:lineRule="exact"/>
        <w:ind w:firstLine="640" w:firstLineChars="200"/>
        <w:rPr>
          <w:rFonts w:hint="eastAsia" w:ascii="仿宋" w:hAnsi="仿宋"/>
          <w:color w:val="auto"/>
          <w:highlight w:val="none"/>
        </w:rPr>
      </w:pPr>
      <w:r>
        <w:rPr>
          <w:rFonts w:hint="eastAsia" w:ascii="仿宋" w:hAnsi="仿宋"/>
          <w:color w:val="auto"/>
          <w:highlight w:val="none"/>
        </w:rPr>
        <w:t>自行检验的项目，企业可以使用快速检测方法及设备进行产品检验，应保证数据准确，</w:t>
      </w:r>
      <w:r>
        <w:rPr>
          <w:rFonts w:ascii="仿宋" w:hAnsi="仿宋"/>
          <w:color w:val="auto"/>
          <w:highlight w:val="none"/>
        </w:rPr>
        <w:t>应定期与食品安全国家标准规定的检验方法进行比对或者验证</w:t>
      </w:r>
      <w:r>
        <w:rPr>
          <w:rFonts w:hint="eastAsia" w:ascii="仿宋" w:hAnsi="仿宋"/>
          <w:color w:val="auto"/>
          <w:highlight w:val="none"/>
        </w:rPr>
        <w:t>。</w:t>
      </w:r>
    </w:p>
    <w:p>
      <w:pPr>
        <w:spacing w:line="560" w:lineRule="exact"/>
        <w:ind w:firstLine="640" w:firstLineChars="200"/>
        <w:rPr>
          <w:rFonts w:hint="eastAsia" w:ascii="仿宋" w:hAnsi="仿宋"/>
          <w:color w:val="auto"/>
          <w:highlight w:val="none"/>
        </w:rPr>
      </w:pPr>
      <w:r>
        <w:rPr>
          <w:rFonts w:hint="eastAsia" w:ascii="仿宋" w:hAnsi="仿宋"/>
          <w:color w:val="auto"/>
          <w:highlight w:val="none"/>
        </w:rPr>
        <w:t>建立并执行产品留样制度。每批产品均应留样，留样数量应满足复检要求。贮存产品留样的场所应满足产品贮存条件要求。产品留样应保存至保质期满，并有记录。</w:t>
      </w:r>
    </w:p>
    <w:p>
      <w:pPr>
        <w:spacing w:line="560" w:lineRule="exact"/>
        <w:ind w:firstLine="640" w:firstLineChars="200"/>
        <w:rPr>
          <w:rFonts w:ascii="仿宋" w:hAnsi="仿宋"/>
          <w:color w:val="auto"/>
          <w:highlight w:val="none"/>
        </w:rPr>
      </w:pPr>
      <w:r>
        <w:rPr>
          <w:rFonts w:hint="eastAsia" w:ascii="黑体" w:hAnsi="黑体" w:eastAsia="黑体" w:cs="黑体"/>
          <w:color w:val="auto"/>
          <w:szCs w:val="30"/>
          <w:highlight w:val="none"/>
        </w:rPr>
        <w:t>第三十</w:t>
      </w:r>
      <w:r>
        <w:rPr>
          <w:rFonts w:hint="eastAsia" w:ascii="黑体" w:hAnsi="黑体" w:eastAsia="黑体" w:cs="黑体"/>
          <w:color w:val="auto"/>
          <w:szCs w:val="30"/>
          <w:highlight w:val="none"/>
          <w:lang w:val="en-US" w:eastAsia="zh-CN"/>
        </w:rPr>
        <w:t>七</w:t>
      </w:r>
      <w:r>
        <w:rPr>
          <w:rFonts w:hint="eastAsia" w:ascii="黑体" w:hAnsi="黑体" w:eastAsia="黑体" w:cs="黑体"/>
          <w:color w:val="auto"/>
          <w:szCs w:val="30"/>
          <w:highlight w:val="none"/>
        </w:rPr>
        <w:t>条</w:t>
      </w:r>
      <w:r>
        <w:rPr>
          <w:rFonts w:hint="eastAsia" w:hAnsi="宋体"/>
          <w:color w:val="auto"/>
          <w:szCs w:val="30"/>
          <w:highlight w:val="none"/>
        </w:rPr>
        <w:t>　建立并执行</w:t>
      </w:r>
      <w:r>
        <w:rPr>
          <w:rFonts w:hint="eastAsia" w:ascii="仿宋" w:hAnsi="仿宋"/>
          <w:color w:val="auto"/>
          <w:highlight w:val="none"/>
        </w:rPr>
        <w:t>研发管理制度，企业应建立研发</w:t>
      </w:r>
      <w:r>
        <w:rPr>
          <w:rFonts w:hint="eastAsia" w:ascii="仿宋" w:hAnsi="仿宋"/>
          <w:color w:val="auto"/>
          <w:highlight w:val="none"/>
          <w:lang w:val="en-US" w:eastAsia="zh-CN"/>
        </w:rPr>
        <w:t>部门</w:t>
      </w:r>
      <w:r>
        <w:rPr>
          <w:rFonts w:hint="eastAsia" w:ascii="仿宋" w:hAnsi="仿宋"/>
          <w:color w:val="auto"/>
          <w:highlight w:val="none"/>
        </w:rPr>
        <w:t>，并配备</w:t>
      </w:r>
      <w:r>
        <w:rPr>
          <w:rFonts w:hint="eastAsia" w:ascii="仿宋" w:hAnsi="仿宋"/>
          <w:color w:val="auto"/>
          <w:highlight w:val="none"/>
          <w:lang w:val="en-US" w:eastAsia="zh-CN"/>
        </w:rPr>
        <w:t>专职</w:t>
      </w:r>
      <w:r>
        <w:rPr>
          <w:rFonts w:hint="eastAsia" w:ascii="仿宋" w:hAnsi="仿宋"/>
          <w:color w:val="auto"/>
          <w:highlight w:val="none"/>
        </w:rPr>
        <w:t>研发人员。</w:t>
      </w:r>
    </w:p>
    <w:p>
      <w:pPr>
        <w:spacing w:line="560" w:lineRule="exact"/>
        <w:ind w:firstLine="640" w:firstLineChars="200"/>
        <w:rPr>
          <w:rFonts w:ascii="仿宋" w:hAnsi="仿宋"/>
          <w:color w:val="auto"/>
          <w:highlight w:val="none"/>
        </w:rPr>
      </w:pPr>
      <w:r>
        <w:rPr>
          <w:rFonts w:hint="eastAsia" w:ascii="仿宋" w:hAnsi="仿宋"/>
          <w:color w:val="auto"/>
          <w:highlight w:val="none"/>
        </w:rPr>
        <w:t>研发</w:t>
      </w:r>
      <w:r>
        <w:rPr>
          <w:rFonts w:hint="eastAsia" w:ascii="仿宋" w:hAnsi="仿宋"/>
          <w:color w:val="auto"/>
          <w:highlight w:val="none"/>
          <w:lang w:val="en-US" w:eastAsia="zh-CN"/>
        </w:rPr>
        <w:t>部门</w:t>
      </w:r>
      <w:r>
        <w:rPr>
          <w:rFonts w:hint="eastAsia" w:ascii="仿宋" w:hAnsi="仿宋"/>
          <w:color w:val="auto"/>
          <w:highlight w:val="none"/>
        </w:rPr>
        <w:t>应具备研发的能力并制定完善的研发制度及流程。</w:t>
      </w:r>
    </w:p>
    <w:p>
      <w:pPr>
        <w:spacing w:line="560" w:lineRule="exact"/>
        <w:ind w:firstLine="640" w:firstLineChars="200"/>
        <w:rPr>
          <w:rFonts w:hint="eastAsia" w:ascii="仿宋" w:hAnsi="仿宋"/>
          <w:color w:val="auto"/>
          <w:highlight w:val="none"/>
        </w:rPr>
      </w:pPr>
      <w:r>
        <w:rPr>
          <w:rFonts w:hint="eastAsia" w:ascii="仿宋" w:hAnsi="仿宋"/>
          <w:color w:val="auto"/>
          <w:highlight w:val="none"/>
        </w:rPr>
        <w:t>研发</w:t>
      </w:r>
      <w:r>
        <w:rPr>
          <w:rFonts w:hint="eastAsia" w:ascii="仿宋" w:hAnsi="仿宋"/>
          <w:color w:val="auto"/>
          <w:highlight w:val="none"/>
          <w:lang w:val="en-US" w:eastAsia="zh-CN"/>
        </w:rPr>
        <w:t>部门</w:t>
      </w:r>
      <w:r>
        <w:rPr>
          <w:rFonts w:hint="eastAsia" w:ascii="仿宋" w:hAnsi="仿宋"/>
          <w:color w:val="auto"/>
          <w:highlight w:val="none"/>
        </w:rPr>
        <w:t>对新产品的研发，应包括对产品合规性、生产工艺、质量安全和营养方面的综合论证，产品配方应保证运动人群的安全，满足营养需要</w:t>
      </w:r>
      <w:r>
        <w:rPr>
          <w:rFonts w:hint="eastAsia" w:ascii="仿宋" w:hAnsi="仿宋"/>
          <w:color w:val="auto"/>
          <w:highlight w:val="none"/>
          <w:lang w:eastAsia="zh-CN"/>
        </w:rPr>
        <w:t>，</w:t>
      </w:r>
      <w:r>
        <w:rPr>
          <w:rFonts w:hint="eastAsia" w:ascii="仿宋" w:hAnsi="仿宋"/>
          <w:color w:val="auto"/>
          <w:highlight w:val="none"/>
          <w:lang w:val="en-US" w:eastAsia="zh-CN"/>
        </w:rPr>
        <w:t>对保质期内产品的符合性进行验证</w:t>
      </w:r>
      <w:r>
        <w:rPr>
          <w:rFonts w:hint="eastAsia" w:ascii="仿宋" w:hAnsi="仿宋"/>
          <w:color w:val="auto"/>
          <w:highlight w:val="none"/>
        </w:rPr>
        <w:t>。</w:t>
      </w:r>
      <w:r>
        <w:rPr>
          <w:rFonts w:hint="eastAsia" w:ascii="仿宋" w:hAnsi="仿宋"/>
          <w:color w:val="auto"/>
          <w:highlight w:val="none"/>
          <w:lang w:eastAsia="zh-CN"/>
        </w:rPr>
        <w:t>并</w:t>
      </w:r>
      <w:r>
        <w:rPr>
          <w:rFonts w:hint="eastAsia" w:ascii="仿宋" w:hAnsi="仿宋"/>
          <w:color w:val="auto"/>
          <w:highlight w:val="none"/>
        </w:rPr>
        <w:t>保留完整的论证文件等资料。</w:t>
      </w:r>
    </w:p>
    <w:p>
      <w:pPr>
        <w:spacing w:line="560" w:lineRule="exact"/>
        <w:ind w:firstLine="640" w:firstLineChars="200"/>
        <w:rPr>
          <w:rFonts w:hint="eastAsia" w:ascii="仿宋" w:hAnsi="仿宋"/>
          <w:color w:val="auto"/>
          <w:highlight w:val="none"/>
        </w:rPr>
      </w:pPr>
      <w:r>
        <w:rPr>
          <w:rFonts w:hint="eastAsia" w:ascii="仿宋" w:hAnsi="仿宋"/>
          <w:color w:val="auto"/>
          <w:highlight w:val="none"/>
        </w:rPr>
        <w:t>企业应对产品配方及维生素、微量元素等营养素的均匀性、稳定性、安全性进行跟踪评价并提供相应评价报告。</w:t>
      </w:r>
    </w:p>
    <w:p>
      <w:pPr>
        <w:spacing w:line="560" w:lineRule="exact"/>
        <w:ind w:firstLine="640" w:firstLineChars="200"/>
        <w:rPr>
          <w:rFonts w:hint="eastAsia" w:ascii="仿宋" w:hAnsi="仿宋"/>
          <w:color w:val="auto"/>
          <w:highlight w:val="none"/>
        </w:rPr>
      </w:pPr>
      <w:r>
        <w:rPr>
          <w:rFonts w:hint="eastAsia" w:ascii="黑体" w:hAnsi="黑体" w:eastAsia="黑体" w:cs="黑体"/>
          <w:color w:val="auto"/>
          <w:szCs w:val="30"/>
          <w:highlight w:val="none"/>
        </w:rPr>
        <w:t>第三十</w:t>
      </w:r>
      <w:r>
        <w:rPr>
          <w:rFonts w:hint="eastAsia" w:ascii="黑体" w:hAnsi="黑体" w:eastAsia="黑体" w:cs="黑体"/>
          <w:color w:val="auto"/>
          <w:szCs w:val="30"/>
          <w:highlight w:val="none"/>
          <w:lang w:val="en-US" w:eastAsia="zh-CN"/>
        </w:rPr>
        <w:t>八</w:t>
      </w:r>
      <w:r>
        <w:rPr>
          <w:rFonts w:hint="eastAsia" w:ascii="黑体" w:hAnsi="黑体" w:eastAsia="黑体" w:cs="黑体"/>
          <w:color w:val="auto"/>
          <w:szCs w:val="30"/>
          <w:highlight w:val="none"/>
        </w:rPr>
        <w:t>条</w:t>
      </w:r>
      <w:r>
        <w:rPr>
          <w:rFonts w:hint="eastAsia" w:hAnsi="宋体"/>
          <w:color w:val="auto"/>
          <w:szCs w:val="30"/>
          <w:highlight w:val="none"/>
        </w:rPr>
        <w:t>　</w:t>
      </w:r>
      <w:r>
        <w:rPr>
          <w:rFonts w:hint="eastAsia" w:ascii="仿宋" w:hAnsi="仿宋"/>
          <w:color w:val="auto"/>
          <w:highlight w:val="none"/>
        </w:rPr>
        <w:t>建立并执行客户投诉处理管理制度。对客户提出的书面或口头意见、投诉，企业相关管理部门应作记录并查找原因，妥善处理。</w:t>
      </w:r>
    </w:p>
    <w:p>
      <w:pPr>
        <w:widowControl/>
        <w:spacing w:line="240" w:lineRule="auto"/>
        <w:ind w:firstLine="640" w:firstLineChars="200"/>
        <w:jc w:val="left"/>
        <w:rPr>
          <w:rFonts w:hint="eastAsia" w:ascii="仿宋" w:hAnsi="仿宋"/>
          <w:color w:val="auto"/>
          <w:highlight w:val="none"/>
        </w:rPr>
      </w:pPr>
      <w:r>
        <w:rPr>
          <w:rFonts w:hint="eastAsia" w:ascii="黑体" w:hAnsi="黑体" w:eastAsia="黑体" w:cs="黑体"/>
          <w:color w:val="auto"/>
          <w:szCs w:val="30"/>
          <w:highlight w:val="none"/>
        </w:rPr>
        <w:t>第三十</w:t>
      </w:r>
      <w:r>
        <w:rPr>
          <w:rFonts w:hint="eastAsia" w:ascii="黑体" w:hAnsi="黑体" w:eastAsia="黑体" w:cs="黑体"/>
          <w:color w:val="auto"/>
          <w:szCs w:val="30"/>
          <w:highlight w:val="none"/>
          <w:lang w:val="en-US" w:eastAsia="zh-CN"/>
        </w:rPr>
        <w:t>九</w:t>
      </w:r>
      <w:r>
        <w:rPr>
          <w:rFonts w:hint="eastAsia" w:ascii="黑体" w:hAnsi="黑体" w:eastAsia="黑体" w:cs="黑体"/>
          <w:color w:val="auto"/>
          <w:szCs w:val="30"/>
          <w:highlight w:val="none"/>
        </w:rPr>
        <w:t>条</w:t>
      </w:r>
      <w:r>
        <w:rPr>
          <w:rFonts w:hint="eastAsia" w:hAnsi="宋体"/>
          <w:color w:val="auto"/>
          <w:szCs w:val="30"/>
          <w:highlight w:val="none"/>
        </w:rPr>
        <w:t>　建立</w:t>
      </w:r>
      <w:r>
        <w:rPr>
          <w:rFonts w:hint="eastAsia" w:ascii="Times New Roman" w:hAnsi="宋体" w:eastAsia="仿宋" w:cs="Times New Roman"/>
          <w:color w:val="auto"/>
          <w:kern w:val="2"/>
          <w:sz w:val="32"/>
          <w:szCs w:val="30"/>
          <w:highlight w:val="none"/>
          <w:lang w:bidi="ar"/>
        </w:rPr>
        <w:t>并执行</w:t>
      </w:r>
      <w:r>
        <w:rPr>
          <w:rFonts w:hint="eastAsia" w:hAnsi="宋体"/>
          <w:color w:val="auto"/>
          <w:szCs w:val="30"/>
          <w:highlight w:val="none"/>
        </w:rPr>
        <w:t>食品安全</w:t>
      </w:r>
      <w:r>
        <w:rPr>
          <w:rFonts w:hint="eastAsia" w:ascii="仿宋" w:hAnsi="仿宋"/>
          <w:color w:val="auto"/>
          <w:highlight w:val="none"/>
        </w:rPr>
        <w:t>自查制度。企业应定期进行自查，自查内容至少包括：企业资质；</w:t>
      </w:r>
      <w:r>
        <w:rPr>
          <w:color w:val="auto"/>
          <w:highlight w:val="none"/>
        </w:rPr>
        <w:t>食品原料、食品添加剂、食品相关产品进货查验情况；生产过程控制情况；人员管理情况；检验管理情况；记录及文件管理情况</w:t>
      </w:r>
      <w:r>
        <w:rPr>
          <w:rFonts w:hint="eastAsia" w:ascii="仿宋" w:hAnsi="仿宋"/>
          <w:color w:val="auto"/>
          <w:highlight w:val="none"/>
        </w:rPr>
        <w:t>等，并向属地市场监督管理部门提交自查报告。</w:t>
      </w:r>
    </w:p>
    <w:p>
      <w:pPr>
        <w:ind w:firstLine="640" w:firstLineChars="200"/>
        <w:jc w:val="left"/>
        <w:rPr>
          <w:rFonts w:hint="eastAsia" w:hAnsi="宋体"/>
          <w:color w:val="auto"/>
          <w:szCs w:val="30"/>
          <w:highlight w:val="none"/>
        </w:rPr>
      </w:pPr>
      <w:r>
        <w:rPr>
          <w:rFonts w:hint="eastAsia" w:ascii="黑体" w:hAnsi="黑体" w:eastAsia="黑体" w:cs="黑体"/>
          <w:color w:val="auto"/>
          <w:szCs w:val="30"/>
          <w:highlight w:val="none"/>
        </w:rPr>
        <w:t>第</w:t>
      </w:r>
      <w:r>
        <w:rPr>
          <w:rFonts w:hint="eastAsia" w:ascii="黑体" w:hAnsi="黑体" w:eastAsia="黑体" w:cs="黑体"/>
          <w:color w:val="auto"/>
          <w:szCs w:val="30"/>
          <w:highlight w:val="none"/>
          <w:lang w:val="en-US" w:eastAsia="zh-CN"/>
        </w:rPr>
        <w:t>四十</w:t>
      </w:r>
      <w:r>
        <w:rPr>
          <w:rFonts w:hint="eastAsia" w:ascii="黑体" w:hAnsi="黑体" w:eastAsia="黑体" w:cs="黑体"/>
          <w:color w:val="auto"/>
          <w:szCs w:val="30"/>
          <w:highlight w:val="none"/>
        </w:rPr>
        <w:t>条</w:t>
      </w:r>
      <w:r>
        <w:rPr>
          <w:rFonts w:hint="eastAsia" w:hAnsi="宋体"/>
          <w:szCs w:val="30"/>
          <w:highlight w:val="none"/>
        </w:rPr>
        <w:t>　</w:t>
      </w:r>
      <w:r>
        <w:rPr>
          <w:rFonts w:hint="eastAsia" w:hAnsi="宋体"/>
          <w:color w:val="auto"/>
          <w:szCs w:val="30"/>
          <w:highlight w:val="none"/>
        </w:rPr>
        <w:t>建立</w:t>
      </w:r>
      <w:r>
        <w:rPr>
          <w:rFonts w:hint="eastAsia" w:hAnsi="宋体"/>
          <w:color w:val="auto"/>
          <w:szCs w:val="30"/>
          <w:highlight w:val="none"/>
          <w:lang w:bidi="ar"/>
        </w:rPr>
        <w:t>并执行</w:t>
      </w:r>
      <w:bookmarkStart w:id="5" w:name="_Hlk155691860"/>
      <w:r>
        <w:rPr>
          <w:rFonts w:hint="eastAsia" w:ascii="Times New Roman" w:hAnsi="宋体" w:eastAsia="仿宋"/>
          <w:b w:val="0"/>
          <w:bCs w:val="0"/>
          <w:color w:val="auto"/>
          <w:kern w:val="2"/>
          <w:sz w:val="32"/>
          <w:szCs w:val="30"/>
          <w:highlight w:val="none"/>
        </w:rPr>
        <w:t>产品追溯制度</w:t>
      </w:r>
      <w:bookmarkEnd w:id="5"/>
      <w:r>
        <w:rPr>
          <w:rFonts w:hint="eastAsia" w:ascii="Times New Roman" w:hAnsi="宋体" w:eastAsia="仿宋"/>
          <w:b w:val="0"/>
          <w:bCs w:val="0"/>
          <w:color w:val="auto"/>
          <w:kern w:val="2"/>
          <w:sz w:val="32"/>
          <w:szCs w:val="30"/>
          <w:highlight w:val="none"/>
        </w:rPr>
        <w:t>。应确定产品分批原则和批号编制方式，合理划分生产批次，采用产品批号等方式进行标识，建立从原料采购、生产加工、出厂检验直至产品销售的所有环节的记录系统，确保对产品进行有效追溯，应当按照《</w:t>
      </w:r>
      <w:r>
        <w:rPr>
          <w:rFonts w:hint="eastAsia" w:ascii="Times New Roman" w:hAnsi="宋体" w:eastAsia="仿宋"/>
          <w:b w:val="0"/>
          <w:bCs w:val="0"/>
          <w:color w:val="auto"/>
          <w:kern w:val="2"/>
          <w:sz w:val="32"/>
          <w:szCs w:val="30"/>
          <w:highlight w:val="none"/>
        </w:rPr>
        <w:fldChar w:fldCharType="begin"/>
      </w:r>
      <w:r>
        <w:rPr>
          <w:rFonts w:hint="eastAsia" w:ascii="Times New Roman" w:hAnsi="宋体" w:eastAsia="仿宋"/>
          <w:b w:val="0"/>
          <w:bCs w:val="0"/>
          <w:color w:val="auto"/>
          <w:kern w:val="2"/>
          <w:sz w:val="32"/>
          <w:szCs w:val="30"/>
          <w:highlight w:val="none"/>
        </w:rPr>
        <w:instrText xml:space="preserve"> HYPERLINK "http://www.baidu.com/link?url=-ubOP5HQ5Yio6qBejVpgp3baL-q-pC-QbDXul4OpmyV1xRgXHR3IL1-g_NIeZ_aqB3O-wB-UkakQWsABlvrrkB0H8O5mWuQUN8EW5JOuwkG" \t "/Users/biubiu/Documents\\x/_blank" </w:instrText>
      </w:r>
      <w:r>
        <w:rPr>
          <w:rFonts w:hint="eastAsia" w:ascii="Times New Roman" w:hAnsi="宋体" w:eastAsia="仿宋"/>
          <w:b w:val="0"/>
          <w:bCs w:val="0"/>
          <w:color w:val="auto"/>
          <w:kern w:val="2"/>
          <w:sz w:val="32"/>
          <w:szCs w:val="30"/>
          <w:highlight w:val="none"/>
        </w:rPr>
        <w:fldChar w:fldCharType="separate"/>
      </w:r>
      <w:r>
        <w:rPr>
          <w:rStyle w:val="7"/>
          <w:rFonts w:hint="eastAsia" w:ascii="Times New Roman" w:hAnsi="宋体" w:eastAsia="仿宋"/>
          <w:b w:val="0"/>
          <w:bCs w:val="0"/>
          <w:color w:val="auto"/>
          <w:kern w:val="2"/>
          <w:sz w:val="32"/>
          <w:szCs w:val="30"/>
          <w:highlight w:val="none"/>
          <w:u w:val="none"/>
        </w:rPr>
        <w:t>浙江省食品安全数字化追溯规定</w:t>
      </w:r>
      <w:r>
        <w:rPr>
          <w:rFonts w:hint="eastAsia" w:ascii="Times New Roman" w:hAnsi="宋体" w:eastAsia="仿宋"/>
          <w:b w:val="0"/>
          <w:bCs w:val="0"/>
          <w:color w:val="auto"/>
          <w:kern w:val="2"/>
          <w:sz w:val="32"/>
          <w:szCs w:val="30"/>
          <w:highlight w:val="none"/>
        </w:rPr>
        <w:fldChar w:fldCharType="end"/>
      </w:r>
      <w:r>
        <w:rPr>
          <w:rFonts w:hint="eastAsia" w:ascii="Times New Roman" w:hAnsi="宋体" w:eastAsia="仿宋"/>
          <w:b w:val="0"/>
          <w:bCs w:val="0"/>
          <w:color w:val="auto"/>
          <w:kern w:val="2"/>
          <w:sz w:val="32"/>
          <w:szCs w:val="30"/>
          <w:highlight w:val="none"/>
        </w:rPr>
        <w:t>》对产品进行追溯管理。</w:t>
      </w:r>
    </w:p>
    <w:p>
      <w:pPr>
        <w:ind w:firstLine="640" w:firstLineChars="200"/>
        <w:jc w:val="left"/>
        <w:rPr>
          <w:rFonts w:hint="eastAsia" w:ascii="Times New Roman" w:hAnsi="宋体" w:eastAsia="宋体"/>
          <w:color w:val="auto"/>
          <w:szCs w:val="30"/>
          <w:highlight w:val="none"/>
        </w:rPr>
      </w:pPr>
      <w:r>
        <w:rPr>
          <w:rFonts w:hint="eastAsia" w:ascii="仿宋" w:hAnsi="仿宋" w:eastAsia="仿宋" w:cs="Times New Roman"/>
          <w:color w:val="auto"/>
          <w:sz w:val="32"/>
          <w:szCs w:val="32"/>
          <w:highlight w:val="none"/>
          <w:shd w:val="clear" w:color="auto" w:fill="auto"/>
        </w:rPr>
        <w:t>建立</w:t>
      </w:r>
      <w:r>
        <w:rPr>
          <w:rFonts w:hint="eastAsia" w:ascii="仿宋" w:hAnsi="仿宋" w:eastAsia="仿宋"/>
          <w:color w:val="auto"/>
          <w:kern w:val="2"/>
          <w:sz w:val="32"/>
          <w:szCs w:val="32"/>
          <w:highlight w:val="none"/>
          <w:lang w:bidi="ar"/>
        </w:rPr>
        <w:t>并执行</w:t>
      </w:r>
      <w:r>
        <w:rPr>
          <w:rFonts w:hint="eastAsia" w:ascii="仿宋" w:hAnsi="仿宋" w:eastAsia="仿宋" w:cs="Times New Roman"/>
          <w:color w:val="auto"/>
          <w:sz w:val="32"/>
          <w:szCs w:val="32"/>
          <w:highlight w:val="none"/>
          <w:shd w:val="clear" w:color="auto" w:fill="auto"/>
        </w:rPr>
        <w:t>记录</w:t>
      </w:r>
      <w:r>
        <w:rPr>
          <w:rFonts w:hint="eastAsia" w:ascii="仿宋" w:hAnsi="仿宋" w:cs="Times New Roman"/>
          <w:color w:val="auto"/>
          <w:sz w:val="32"/>
          <w:szCs w:val="32"/>
          <w:highlight w:val="none"/>
          <w:shd w:val="clear" w:color="auto" w:fill="auto"/>
        </w:rPr>
        <w:t>管理</w:t>
      </w:r>
      <w:r>
        <w:rPr>
          <w:rFonts w:hint="eastAsia" w:ascii="仿宋" w:hAnsi="仿宋" w:eastAsia="仿宋" w:cs="Times New Roman"/>
          <w:color w:val="auto"/>
          <w:sz w:val="32"/>
          <w:szCs w:val="32"/>
          <w:highlight w:val="none"/>
          <w:shd w:val="clear" w:color="auto" w:fill="auto"/>
        </w:rPr>
        <w:t>制度</w:t>
      </w:r>
      <w:r>
        <w:rPr>
          <w:rFonts w:hint="eastAsia" w:ascii="仿宋" w:hAnsi="仿宋" w:cs="Times New Roman"/>
          <w:color w:val="auto"/>
          <w:sz w:val="32"/>
          <w:szCs w:val="32"/>
          <w:highlight w:val="none"/>
          <w:shd w:val="clear" w:color="auto" w:fill="auto"/>
        </w:rPr>
        <w:t>，</w:t>
      </w:r>
      <w:r>
        <w:rPr>
          <w:rFonts w:hint="eastAsia" w:ascii="仿宋" w:hAnsi="仿宋" w:eastAsia="仿宋" w:cs="Times New Roman"/>
          <w:color w:val="auto"/>
          <w:sz w:val="32"/>
          <w:szCs w:val="32"/>
          <w:highlight w:val="none"/>
          <w:shd w:val="clear" w:color="auto" w:fill="auto"/>
        </w:rPr>
        <w:t>记录</w:t>
      </w:r>
      <w:r>
        <w:rPr>
          <w:rFonts w:hint="eastAsia" w:ascii="仿宋" w:hAnsi="仿宋" w:cs="Times New Roman"/>
          <w:color w:val="auto"/>
          <w:sz w:val="32"/>
          <w:szCs w:val="32"/>
          <w:highlight w:val="none"/>
          <w:shd w:val="clear" w:color="auto" w:fill="auto"/>
        </w:rPr>
        <w:t>管理</w:t>
      </w:r>
      <w:r>
        <w:rPr>
          <w:rFonts w:hint="eastAsia" w:ascii="仿宋" w:hAnsi="仿宋"/>
          <w:color w:val="auto"/>
          <w:highlight w:val="none"/>
        </w:rPr>
        <w:t>应符合《</w:t>
      </w:r>
      <w:r>
        <w:rPr>
          <w:rFonts w:hint="eastAsia" w:ascii="仿宋" w:hAnsi="仿宋"/>
          <w:color w:val="auto"/>
          <w:szCs w:val="32"/>
          <w:highlight w:val="none"/>
        </w:rPr>
        <w:t>食品安全国家标准 食品生产通用卫生规范</w:t>
      </w:r>
      <w:r>
        <w:rPr>
          <w:rFonts w:hint="eastAsia" w:ascii="仿宋" w:hAnsi="仿宋"/>
          <w:color w:val="auto"/>
          <w:highlight w:val="none"/>
        </w:rPr>
        <w:t>》（GB 14881）</w:t>
      </w:r>
      <w:r>
        <w:rPr>
          <w:rFonts w:hint="eastAsia" w:ascii="仿宋" w:hAnsi="仿宋"/>
          <w:color w:val="auto"/>
          <w:szCs w:val="32"/>
          <w:highlight w:val="none"/>
        </w:rPr>
        <w:t>的</w:t>
      </w:r>
      <w:r>
        <w:rPr>
          <w:rFonts w:hint="eastAsia" w:ascii="仿宋" w:hAnsi="仿宋"/>
          <w:color w:val="auto"/>
          <w:szCs w:val="32"/>
          <w:highlight w:val="none"/>
          <w:lang w:val="en-US" w:eastAsia="zh-CN"/>
        </w:rPr>
        <w:t>相关</w:t>
      </w:r>
      <w:r>
        <w:rPr>
          <w:rFonts w:hint="eastAsia" w:ascii="仿宋" w:hAnsi="仿宋"/>
          <w:color w:val="auto"/>
          <w:szCs w:val="32"/>
          <w:highlight w:val="none"/>
        </w:rPr>
        <w:t>要</w:t>
      </w:r>
      <w:r>
        <w:rPr>
          <w:rFonts w:hint="eastAsia" w:ascii="仿宋" w:hAnsi="仿宋"/>
          <w:color w:val="auto"/>
          <w:highlight w:val="none"/>
        </w:rPr>
        <w:t>求。</w:t>
      </w:r>
    </w:p>
    <w:p>
      <w:pPr>
        <w:widowControl/>
        <w:snapToGrid w:val="0"/>
        <w:spacing w:line="560" w:lineRule="exact"/>
        <w:ind w:firstLine="640" w:firstLineChars="200"/>
        <w:outlineLvl w:val="1"/>
        <w:rPr>
          <w:rFonts w:hint="eastAsia" w:ascii="仿宋" w:hAnsi="仿宋"/>
          <w:color w:val="auto"/>
          <w:highlight w:val="none"/>
        </w:rPr>
      </w:pPr>
      <w:r>
        <w:rPr>
          <w:rFonts w:hint="eastAsia" w:ascii="黑体" w:hAnsi="黑体" w:eastAsia="黑体" w:cs="黑体"/>
          <w:color w:val="auto"/>
          <w:szCs w:val="30"/>
          <w:highlight w:val="none"/>
        </w:rPr>
        <w:t>第</w:t>
      </w:r>
      <w:r>
        <w:rPr>
          <w:rFonts w:hint="eastAsia" w:ascii="黑体" w:hAnsi="黑体" w:eastAsia="黑体" w:cs="黑体"/>
          <w:color w:val="auto"/>
          <w:szCs w:val="30"/>
          <w:highlight w:val="none"/>
          <w:lang w:val="en-US" w:eastAsia="zh-CN"/>
        </w:rPr>
        <w:t>四十一</w:t>
      </w:r>
      <w:r>
        <w:rPr>
          <w:rFonts w:hint="eastAsia" w:ascii="黑体" w:hAnsi="黑体" w:eastAsia="黑体" w:cs="黑体"/>
          <w:color w:val="auto"/>
          <w:szCs w:val="30"/>
          <w:highlight w:val="none"/>
        </w:rPr>
        <w:t>条</w:t>
      </w:r>
      <w:r>
        <w:rPr>
          <w:rFonts w:hint="eastAsia" w:hAnsi="宋体"/>
          <w:color w:val="auto"/>
          <w:szCs w:val="30"/>
          <w:highlight w:val="none"/>
        </w:rPr>
        <w:t>　</w:t>
      </w:r>
      <w:r>
        <w:rPr>
          <w:rFonts w:hint="eastAsia" w:ascii="仿宋" w:hAnsi="仿宋"/>
          <w:color w:val="auto"/>
          <w:highlight w:val="none"/>
        </w:rPr>
        <w:t>企业应建立</w:t>
      </w:r>
      <w:r>
        <w:rPr>
          <w:rFonts w:hint="eastAsia" w:hAnsi="宋体"/>
          <w:color w:val="auto"/>
          <w:szCs w:val="30"/>
          <w:highlight w:val="none"/>
          <w:lang w:bidi="ar"/>
        </w:rPr>
        <w:t>并执行</w:t>
      </w:r>
      <w:r>
        <w:rPr>
          <w:rFonts w:hint="eastAsia" w:ascii="仿宋" w:hAnsi="仿宋"/>
          <w:color w:val="auto"/>
          <w:highlight w:val="none"/>
        </w:rPr>
        <w:t>不合格品管理及不安全食品召回制度，召回制度</w:t>
      </w:r>
      <w:r>
        <w:rPr>
          <w:rFonts w:hint="eastAsia" w:ascii="仿宋" w:hAnsi="仿宋"/>
          <w:color w:val="auto"/>
          <w:highlight w:val="none"/>
          <w:lang w:bidi="ar"/>
        </w:rPr>
        <w:t>应</w:t>
      </w:r>
      <w:r>
        <w:rPr>
          <w:rFonts w:hint="eastAsia" w:hAnsi="宋体"/>
          <w:color w:val="auto"/>
          <w:szCs w:val="30"/>
          <w:highlight w:val="none"/>
          <w:lang w:bidi="ar"/>
        </w:rPr>
        <w:t>遵照</w:t>
      </w:r>
      <w:r>
        <w:rPr>
          <w:rFonts w:hint="eastAsia" w:hAnsi="宋体"/>
          <w:color w:val="auto"/>
          <w:szCs w:val="30"/>
          <w:highlight w:val="none"/>
          <w:shd w:val="clear" w:color="auto" w:fill="FFFFFF"/>
          <w:lang w:bidi="ar"/>
        </w:rPr>
        <w:t>国家市场监督管理总局令第31号</w:t>
      </w:r>
      <w:r>
        <w:rPr>
          <w:rFonts w:hint="eastAsia" w:hAnsi="宋体"/>
          <w:color w:val="auto"/>
          <w:szCs w:val="30"/>
          <w:highlight w:val="none"/>
          <w:lang w:bidi="ar"/>
        </w:rPr>
        <w:t>《食品召回管理办法》和</w:t>
      </w:r>
      <w:r>
        <w:rPr>
          <w:rFonts w:hint="eastAsia" w:ascii="仿宋" w:hAnsi="仿宋"/>
          <w:color w:val="auto"/>
          <w:highlight w:val="none"/>
        </w:rPr>
        <w:t>《</w:t>
      </w:r>
      <w:r>
        <w:rPr>
          <w:rFonts w:hint="eastAsia" w:hAnsi="宋体"/>
          <w:color w:val="auto"/>
          <w:szCs w:val="30"/>
          <w:highlight w:val="none"/>
        </w:rPr>
        <w:t>食品安全国家标准 食品生产通用卫生规范</w:t>
      </w:r>
      <w:r>
        <w:rPr>
          <w:rFonts w:hint="eastAsia" w:ascii="仿宋" w:hAnsi="仿宋"/>
          <w:color w:val="auto"/>
          <w:highlight w:val="none"/>
        </w:rPr>
        <w:t>》（GB</w:t>
      </w:r>
      <w:r>
        <w:rPr>
          <w:rFonts w:ascii="仿宋" w:hAnsi="仿宋"/>
          <w:color w:val="auto"/>
          <w:highlight w:val="none"/>
        </w:rPr>
        <w:t xml:space="preserve"> </w:t>
      </w:r>
      <w:r>
        <w:rPr>
          <w:rFonts w:hint="eastAsia" w:ascii="仿宋" w:hAnsi="仿宋"/>
          <w:color w:val="auto"/>
          <w:highlight w:val="none"/>
        </w:rPr>
        <w:t>14881）</w:t>
      </w:r>
      <w:r>
        <w:rPr>
          <w:rFonts w:hint="eastAsia" w:hAnsi="宋体"/>
          <w:color w:val="auto"/>
          <w:szCs w:val="30"/>
          <w:highlight w:val="none"/>
        </w:rPr>
        <w:t>的</w:t>
      </w:r>
      <w:r>
        <w:rPr>
          <w:rFonts w:hint="eastAsia" w:hAnsi="宋体"/>
          <w:color w:val="auto"/>
          <w:szCs w:val="30"/>
          <w:highlight w:val="none"/>
          <w:lang w:val="en-US" w:eastAsia="zh-CN"/>
        </w:rPr>
        <w:t>相关</w:t>
      </w:r>
      <w:r>
        <w:rPr>
          <w:rFonts w:hint="eastAsia" w:hAnsi="宋体"/>
          <w:color w:val="auto"/>
          <w:szCs w:val="30"/>
          <w:highlight w:val="none"/>
          <w:lang w:eastAsia="zh-CN"/>
        </w:rPr>
        <w:t>规定</w:t>
      </w:r>
      <w:r>
        <w:rPr>
          <w:rFonts w:hint="eastAsia" w:hAnsi="宋体"/>
          <w:color w:val="auto"/>
          <w:szCs w:val="30"/>
          <w:highlight w:val="none"/>
          <w:lang w:bidi="ar"/>
        </w:rPr>
        <w:t>执行</w:t>
      </w:r>
      <w:r>
        <w:rPr>
          <w:rFonts w:hint="eastAsia" w:ascii="仿宋" w:hAnsi="仿宋"/>
          <w:color w:val="auto"/>
          <w:highlight w:val="none"/>
        </w:rPr>
        <w:t>。</w:t>
      </w:r>
    </w:p>
    <w:p>
      <w:pPr>
        <w:spacing w:line="560" w:lineRule="exact"/>
        <w:ind w:firstLine="640" w:firstLineChars="200"/>
        <w:rPr>
          <w:rFonts w:hint="eastAsia" w:ascii="仿宋" w:hAnsi="仿宋"/>
          <w:highlight w:val="none"/>
        </w:rPr>
      </w:pPr>
      <w:r>
        <w:rPr>
          <w:rFonts w:hint="eastAsia" w:ascii="黑体" w:hAnsi="黑体" w:eastAsia="黑体" w:cs="黑体"/>
          <w:color w:val="auto"/>
          <w:szCs w:val="30"/>
          <w:highlight w:val="none"/>
        </w:rPr>
        <w:t>第</w:t>
      </w:r>
      <w:r>
        <w:rPr>
          <w:rFonts w:hint="eastAsia" w:ascii="黑体" w:hAnsi="黑体" w:eastAsia="黑体" w:cs="黑体"/>
          <w:color w:val="auto"/>
          <w:szCs w:val="30"/>
          <w:highlight w:val="none"/>
          <w:lang w:val="en-US" w:eastAsia="zh-CN"/>
        </w:rPr>
        <w:t>四十二</w:t>
      </w:r>
      <w:r>
        <w:rPr>
          <w:rFonts w:hint="eastAsia" w:ascii="黑体" w:hAnsi="黑体" w:eastAsia="黑体" w:cs="黑体"/>
          <w:color w:val="auto"/>
          <w:szCs w:val="30"/>
          <w:highlight w:val="none"/>
        </w:rPr>
        <w:t>条</w:t>
      </w:r>
      <w:r>
        <w:rPr>
          <w:rFonts w:hint="eastAsia" w:hAnsi="宋体"/>
          <w:szCs w:val="30"/>
          <w:highlight w:val="none"/>
        </w:rPr>
        <w:t>　</w:t>
      </w:r>
      <w:r>
        <w:rPr>
          <w:rFonts w:hint="eastAsia" w:ascii="仿宋" w:hAnsi="仿宋"/>
          <w:color w:val="auto"/>
          <w:highlight w:val="none"/>
        </w:rPr>
        <w:t>建立</w:t>
      </w:r>
      <w:r>
        <w:rPr>
          <w:rFonts w:hint="eastAsia" w:hAnsi="宋体"/>
          <w:color w:val="auto"/>
          <w:szCs w:val="30"/>
          <w:highlight w:val="none"/>
          <w:lang w:bidi="ar"/>
        </w:rPr>
        <w:t>并执行</w:t>
      </w:r>
      <w:r>
        <w:rPr>
          <w:rFonts w:hint="eastAsia" w:ascii="仿宋" w:hAnsi="仿宋"/>
          <w:color w:val="auto"/>
          <w:highlight w:val="none"/>
        </w:rPr>
        <w:t>食品安全事故处置方案和应急预案，定期演练。</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cs="Times New Roman"/>
          <w:sz w:val="36"/>
          <w:szCs w:val="36"/>
          <w:highlight w:val="none"/>
        </w:rPr>
      </w:pPr>
      <w:bookmarkStart w:id="6" w:name="_Toc24882"/>
      <w:bookmarkEnd w:id="6"/>
      <w:bookmarkStart w:id="7" w:name="_Toc416939966"/>
      <w:bookmarkEnd w:id="7"/>
      <w:bookmarkStart w:id="8" w:name="_Toc28607"/>
      <w:bookmarkEnd w:id="8"/>
      <w:bookmarkStart w:id="9" w:name="_Toc415228658"/>
      <w:bookmarkEnd w:id="9"/>
      <w:bookmarkStart w:id="10" w:name="_Toc26740"/>
      <w:bookmarkEnd w:id="10"/>
      <w:bookmarkStart w:id="11" w:name="_Toc416939942"/>
      <w:bookmarkEnd w:id="11"/>
      <w:r>
        <w:rPr>
          <w:rFonts w:hint="eastAsia" w:ascii="方正小标宋简体" w:hAnsi="宋体" w:eastAsia="方正小标宋简体" w:cs="Times New Roman"/>
          <w:sz w:val="36"/>
          <w:szCs w:val="36"/>
          <w:highlight w:val="none"/>
        </w:rPr>
        <w:t>第七章　试制产品检验报告</w:t>
      </w:r>
    </w:p>
    <w:p>
      <w:pPr>
        <w:spacing w:line="560" w:lineRule="exact"/>
        <w:ind w:firstLine="640" w:firstLineChars="200"/>
        <w:rPr>
          <w:rFonts w:hint="eastAsia" w:ascii="仿宋" w:hAnsi="仿宋"/>
          <w:highlight w:val="none"/>
        </w:rPr>
      </w:pPr>
      <w:r>
        <w:rPr>
          <w:rFonts w:hint="eastAsia" w:ascii="黑体" w:hAnsi="黑体" w:eastAsia="黑体" w:cs="黑体"/>
          <w:szCs w:val="30"/>
          <w:highlight w:val="none"/>
        </w:rPr>
        <w:t>第</w:t>
      </w:r>
      <w:r>
        <w:rPr>
          <w:rFonts w:hint="eastAsia" w:ascii="黑体" w:hAnsi="黑体" w:eastAsia="黑体" w:cs="黑体"/>
          <w:szCs w:val="30"/>
          <w:highlight w:val="none"/>
          <w:lang w:val="en-US" w:eastAsia="zh-CN"/>
        </w:rPr>
        <w:t>四十三</w:t>
      </w:r>
      <w:r>
        <w:rPr>
          <w:rFonts w:hint="eastAsia" w:ascii="黑体" w:hAnsi="黑体" w:eastAsia="黑体" w:cs="黑体"/>
          <w:szCs w:val="30"/>
          <w:highlight w:val="none"/>
        </w:rPr>
        <w:t>条</w:t>
      </w:r>
      <w:r>
        <w:rPr>
          <w:rFonts w:hint="eastAsia" w:hAnsi="宋体"/>
          <w:szCs w:val="30"/>
          <w:highlight w:val="none"/>
        </w:rPr>
        <w:t>　</w:t>
      </w:r>
      <w:r>
        <w:rPr>
          <w:rFonts w:hint="eastAsia" w:ascii="仿宋" w:hAnsi="仿宋"/>
          <w:highlight w:val="none"/>
        </w:rPr>
        <w:t>企业所申报运动营养补充品的产品，提供试制食品的检验合格报告，检验项目应符合产品执行标准、法律法规及相关部门公告规定的全部项目。</w:t>
      </w:r>
    </w:p>
    <w:p>
      <w:pPr>
        <w:keepNext w:val="0"/>
        <w:keepLines w:val="0"/>
        <w:pageBreakBefore w:val="0"/>
        <w:widowControl w:val="0"/>
        <w:tabs>
          <w:tab w:val="left" w:pos="790"/>
          <w:tab w:val="left" w:pos="1264"/>
        </w:tabs>
        <w:kinsoku/>
        <w:wordWrap/>
        <w:overflowPunct w:val="0"/>
        <w:topLinePunct w:val="0"/>
        <w:autoSpaceDE/>
        <w:autoSpaceDN/>
        <w:bidi w:val="0"/>
        <w:adjustRightInd w:val="0"/>
        <w:snapToGrid w:val="0"/>
        <w:spacing w:before="120" w:after="120" w:line="560" w:lineRule="exact"/>
        <w:jc w:val="center"/>
        <w:textAlignment w:val="auto"/>
        <w:rPr>
          <w:rFonts w:hint="eastAsia" w:ascii="方正小标宋简体" w:hAnsi="宋体" w:eastAsia="方正小标宋简体" w:cs="Times New Roman"/>
          <w:sz w:val="36"/>
          <w:szCs w:val="36"/>
        </w:rPr>
      </w:pPr>
      <w:r>
        <w:rPr>
          <w:rFonts w:hint="eastAsia" w:ascii="方正小标宋简体" w:hAnsi="宋体" w:eastAsia="方正小标宋简体" w:cs="Times New Roman"/>
          <w:sz w:val="36"/>
          <w:szCs w:val="36"/>
        </w:rPr>
        <w:t>第八章　附则</w:t>
      </w:r>
    </w:p>
    <w:p>
      <w:pPr>
        <w:spacing w:line="560" w:lineRule="exact"/>
        <w:ind w:firstLine="640" w:firstLineChars="200"/>
        <w:rPr>
          <w:rFonts w:ascii="仿宋" w:hAnsi="仿宋"/>
        </w:rPr>
      </w:pPr>
      <w:r>
        <w:rPr>
          <w:rFonts w:hint="eastAsia" w:ascii="黑体" w:hAnsi="黑体" w:eastAsia="黑体" w:cs="黑体"/>
          <w:szCs w:val="30"/>
        </w:rPr>
        <w:t>第</w:t>
      </w:r>
      <w:r>
        <w:rPr>
          <w:rFonts w:hint="eastAsia" w:ascii="黑体" w:hAnsi="黑体" w:eastAsia="黑体" w:cs="黑体"/>
          <w:szCs w:val="30"/>
          <w:lang w:val="en-US" w:eastAsia="zh-CN"/>
        </w:rPr>
        <w:t>四十四</w:t>
      </w:r>
      <w:r>
        <w:rPr>
          <w:rFonts w:hint="eastAsia" w:ascii="黑体" w:hAnsi="黑体" w:eastAsia="黑体" w:cs="黑体"/>
          <w:szCs w:val="30"/>
        </w:rPr>
        <w:t>条</w:t>
      </w:r>
      <w:r>
        <w:rPr>
          <w:rFonts w:hint="eastAsia" w:hAnsi="宋体"/>
          <w:szCs w:val="30"/>
        </w:rPr>
        <w:t>　</w:t>
      </w:r>
      <w:r>
        <w:rPr>
          <w:rFonts w:hint="eastAsia" w:ascii="仿宋" w:hAnsi="仿宋"/>
        </w:rPr>
        <w:t>本方案未尽事项按照《食品生产许可审查通则》有关规定执行。与国家法律法规及上级要求不一致的，按上级要求执行。</w:t>
      </w:r>
    </w:p>
    <w:p>
      <w:pPr>
        <w:spacing w:line="560" w:lineRule="exact"/>
        <w:ind w:firstLine="640" w:firstLineChars="200"/>
      </w:pPr>
      <w:r>
        <w:rPr>
          <w:rFonts w:hint="eastAsia" w:ascii="黑体" w:hAnsi="黑体" w:eastAsia="黑体" w:cs="黑体"/>
          <w:szCs w:val="30"/>
        </w:rPr>
        <w:t>第</w:t>
      </w:r>
      <w:r>
        <w:rPr>
          <w:rFonts w:hint="eastAsia" w:ascii="黑体" w:hAnsi="黑体" w:eastAsia="黑体" w:cs="黑体"/>
          <w:szCs w:val="30"/>
          <w:lang w:val="en-US" w:eastAsia="zh-CN"/>
        </w:rPr>
        <w:t>四十五</w:t>
      </w:r>
      <w:r>
        <w:rPr>
          <w:rFonts w:hint="eastAsia" w:ascii="黑体" w:hAnsi="黑体" w:eastAsia="黑体" w:cs="黑体"/>
          <w:szCs w:val="30"/>
        </w:rPr>
        <w:t>条</w:t>
      </w:r>
      <w:r>
        <w:rPr>
          <w:rFonts w:hint="eastAsia" w:hAnsi="宋体"/>
          <w:szCs w:val="30"/>
        </w:rPr>
        <w:t>　</w:t>
      </w:r>
      <w:r>
        <w:rPr>
          <w:rFonts w:hint="eastAsia" w:ascii="仿宋" w:hAnsi="仿宋"/>
        </w:rPr>
        <w:t>本方案自</w:t>
      </w:r>
      <w:r>
        <w:rPr>
          <w:rFonts w:hint="eastAsia" w:ascii="仿宋" w:hAnsi="仿宋"/>
          <w:lang w:val="en-US" w:eastAsia="zh-CN"/>
        </w:rPr>
        <w:t>2024</w:t>
      </w:r>
      <w:r>
        <w:rPr>
          <w:rFonts w:hint="eastAsia" w:ascii="仿宋" w:hAnsi="仿宋"/>
        </w:rPr>
        <w:t>年</w:t>
      </w:r>
      <w:r>
        <w:rPr>
          <w:rFonts w:hint="eastAsia" w:ascii="仿宋" w:hAnsi="仿宋"/>
          <w:lang w:val="en-US" w:eastAsia="zh-CN"/>
        </w:rPr>
        <w:t xml:space="preserve"> </w:t>
      </w:r>
      <w:r>
        <w:rPr>
          <w:rFonts w:hint="eastAsia" w:ascii="仿宋" w:hAnsi="仿宋"/>
        </w:rPr>
        <w:t>月</w:t>
      </w:r>
      <w:r>
        <w:rPr>
          <w:rFonts w:hint="eastAsia" w:ascii="仿宋" w:hAnsi="仿宋"/>
          <w:lang w:val="en-US" w:eastAsia="zh-CN"/>
        </w:rPr>
        <w:t xml:space="preserve"> </w:t>
      </w:r>
      <w:r>
        <w:rPr>
          <w:rFonts w:hint="eastAsia" w:ascii="仿宋" w:hAnsi="仿宋"/>
        </w:rPr>
        <w:t>日起施行。</w:t>
      </w:r>
    </w:p>
    <w:sectPr>
      <w:pgSz w:w="11906" w:h="16838"/>
      <w:pgMar w:top="1270"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733A"/>
    <w:multiLevelType w:val="singleLevel"/>
    <w:tmpl w:val="7209733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MmYwODkwMTgwYjk0ZTZmOTQwY2VkNTU1ZjgyNGIifQ=="/>
  </w:docVars>
  <w:rsids>
    <w:rsidRoot w:val="5C0F1C81"/>
    <w:rsid w:val="048958D3"/>
    <w:rsid w:val="062E41D5"/>
    <w:rsid w:val="10662172"/>
    <w:rsid w:val="2C2F3245"/>
    <w:rsid w:val="36BA4080"/>
    <w:rsid w:val="4845208E"/>
    <w:rsid w:val="488C0C88"/>
    <w:rsid w:val="540C7D3B"/>
    <w:rsid w:val="5BE4417C"/>
    <w:rsid w:val="5C0F1C81"/>
    <w:rsid w:val="65735ECC"/>
    <w:rsid w:val="6A4952FE"/>
    <w:rsid w:val="6BFA0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Calibri" w:hAnsi="Calibri" w:eastAsia="宋体" w:cs="Times New Roman"/>
      <w:szCs w:val="22"/>
    </w:rPr>
  </w:style>
  <w:style w:type="paragraph" w:styleId="3">
    <w:name w:val="Body Text"/>
    <w:basedOn w:val="1"/>
    <w:next w:val="4"/>
    <w:qFormat/>
    <w:uiPriority w:val="99"/>
    <w:pPr>
      <w:spacing w:after="120"/>
    </w:pPr>
    <w:rPr>
      <w:rFonts w:cs="Calibri"/>
      <w:szCs w:val="21"/>
    </w:rPr>
  </w:style>
  <w:style w:type="paragraph" w:styleId="4">
    <w:name w:val="Body Text First Indent"/>
    <w:basedOn w:val="3"/>
    <w:next w:val="1"/>
    <w:qFormat/>
    <w:uiPriority w:val="0"/>
    <w:pPr>
      <w:ind w:firstLine="420" w:firstLineChars="100"/>
    </w:pPr>
  </w:style>
  <w:style w:type="character" w:styleId="7">
    <w:name w:val="Hyperlink"/>
    <w:qFormat/>
    <w:uiPriority w:val="0"/>
    <w:rPr>
      <w:color w:val="0000FF"/>
      <w:u w:val="single"/>
    </w:rPr>
  </w:style>
  <w:style w:type="character" w:customStyle="1" w:styleId="8">
    <w:name w:val="fontstyle01"/>
    <w:basedOn w:val="6"/>
    <w:qFormat/>
    <w:uiPriority w:val="0"/>
    <w:rPr>
      <w:rFonts w:ascii="黑体" w:hAnsi="宋体" w:eastAsia="黑体" w:cs="黑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10220</Words>
  <Characters>10466</Characters>
  <Lines>0</Lines>
  <Paragraphs>0</Paragraphs>
  <TotalTime>170</TotalTime>
  <ScaleCrop>false</ScaleCrop>
  <LinksUpToDate>false</LinksUpToDate>
  <CharactersWithSpaces>10571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2024-06-21T05:04:00Z</dcterms:created>
  <dc:creator>王旭</dc:creator>
  <cp:lastModifiedBy>王旭</cp:lastModifiedBy>
  <dcterms:modified xsi:type="dcterms:W3CDTF">2024-07-26T07:06:13Z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AF0A3D8BDD374E4C8CE1A634ADC5E434_13</vt:lpwstr>
  </property>
</Properties>
</file>