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关于废止《诸暨市惠民医院医疗优惠实施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u w:val="none"/>
          <w:shd w:val="clear" w:color="auto" w:fill="FFFFFF"/>
          <w:lang w:val="en-US" w:eastAsia="zh-CN" w:bidi="ar-SA"/>
        </w:rPr>
        <w:t>意见》的起草情况说明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一、起草过程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2007年7月，市人民政府办公室印发《诸暨市惠民医院医疗优惠实施意见》（诸政办发〔2007〕170号），将特困供养（一类）、低保（二类）、低保边缘（三类）、重点优抚对象（四类）等群体纳入惠民对象。惠民医疗补助政策实行“先惠民后医保”的结算方式，资金使用绩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今年，“健全暖心无忧基金管理机制，困难群众医疗费用综合保障率提高到87%以上”入选2025年绍兴市政府民生实事。由医保局牵头拟重新发文调整医疗救助政策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《关于进一步完善医疗救助政策的通知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》（征求意见稿）已完成意见征求，正进行合法性审查）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，提高第二、三、四类医疗救助对象的救助比例（第一类对象救助比例已达100%）各5个百分点，同时，建立“暖心无忧”基金，对我市困难人员医疗费用进行专项补助和兜底补助。新政策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进一步向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困难人员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倾斜，降低重大疾病的经济风险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综上，市卫健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对接市医保局、市财政局、市民政局、市退役军人事务局等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部门，深入开展调查研究，起草了《关于废止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诸暨市惠民医院医疗优惠实施意见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的通知（征求意见稿）》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，拟从新的医疗救助政策实施之日起废止。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二、涉及权利义务内容说明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取消惠民医疗补助政策，提高第二、三、四类医疗救助对象的救助比例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建立“暖心无忧”基金，对我市困难人员医疗费用进行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专项补助和兜底补助。按照2024年数据测算，调整后，我市困难群众医疗费用综合保障率预计可提高5个百分点，达到90%以上。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DE82D"/>
    <w:rsid w:val="77FF3F87"/>
    <w:rsid w:val="DDFDE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2025-04-08T22:13:00Z</dcterms:created>
  <dc:creator>zjwjw</dc:creator>
  <cp:lastModifiedBy>zjwjw</cp:lastModifiedBy>
  <dcterms:modified xsi:type="dcterms:W3CDTF">2025-04-08T14:18:00Z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F8017594ACEE349398BFF467E19DA913</vt:lpwstr>
  </property>
</Properties>
</file>