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6" w:lineRule="auto"/>
        <w:rPr>
          <w:rFonts w:ascii="Arial"/>
          <w:sz w:val="21"/>
        </w:rPr>
      </w:pPr>
    </w:p>
    <w:p>
      <w:pPr>
        <w:spacing w:before="273" w:line="190" w:lineRule="auto"/>
        <w:jc w:val="right"/>
        <w:outlineLvl w:val="0"/>
        <w:rPr>
          <w:rFonts w:ascii="Times New Roman" w:hAnsi="Times New Roman" w:eastAsia="Times New Roman" w:cs="Times New Roman"/>
          <w:sz w:val="95"/>
          <w:szCs w:val="95"/>
        </w:rPr>
      </w:pPr>
      <w:r>
        <w:rPr>
          <w:rFonts w:ascii="Times New Roman" w:hAnsi="Times New Roman" w:eastAsia="Times New Roman" w:cs="Times New Roman"/>
          <w:b/>
          <w:bCs/>
          <w:spacing w:val="42"/>
          <w:w w:val="122"/>
          <w:sz w:val="95"/>
          <w:szCs w:val="95"/>
        </w:rPr>
        <w:t>T/LBIA</w:t>
      </w:r>
    </w:p>
    <w:p>
      <w:pPr>
        <w:pStyle w:val="2"/>
        <w:spacing w:before="241" w:line="226" w:lineRule="auto"/>
        <w:jc w:val="right"/>
        <w:rPr>
          <w:sz w:val="47"/>
          <w:szCs w:val="47"/>
        </w:rPr>
      </w:pPr>
      <w:r>
        <w:rPr>
          <w:rFonts w:hint="default"/>
          <w:spacing w:val="-13"/>
          <w:sz w:val="47"/>
          <w:szCs w:val="47"/>
          <w:lang w:val="en-US"/>
        </w:rPr>
        <w:pict>
          <v:shape id="_x0000_s1026" o:spid="_x0000_s1026" o:spt="136" type="#_x0000_t136" style="position:absolute;left:0pt;margin-left:-118.6pt;margin-top:262.85pt;height:71.65pt;width:693.75pt;rotation:19988480f;z-index:-251653120;mso-width-relative:page;mso-height-relative:page;" fillcolor="#C0C0C0" filled="t" stroked="f" coordsize="21600,21600">
            <v:path/>
            <v:fill on="t" opacity="19789f" focussize="0,0"/>
            <v:stroke on="f"/>
            <v:imagedata o:title=""/>
            <o:lock v:ext="edit"/>
            <v:textpath on="t" fitshape="t" fitpath="t" trim="t" xscale="f" string="全国团体标准信息平台" style="font-family:FangSong;font-size:8pt;v-text-align:center;"/>
          </v:shape>
        </w:pict>
      </w:r>
      <w:r>
        <w:rPr>
          <w:rFonts w:hint="eastAsia"/>
          <w:spacing w:val="-13"/>
          <w:sz w:val="47"/>
          <w:szCs w:val="47"/>
          <w:lang w:val="en-US" w:eastAsia="zh-CN"/>
        </w:rPr>
        <w:t>庆 元 县 茶 文 化 研 究 会</w:t>
      </w:r>
      <w:r>
        <w:rPr>
          <w:spacing w:val="-13"/>
          <w:sz w:val="47"/>
          <w:szCs w:val="47"/>
        </w:rPr>
        <w:t xml:space="preserve"> 团 体 标</w:t>
      </w:r>
      <w:r>
        <w:rPr>
          <w:rFonts w:hint="eastAsia"/>
          <w:spacing w:val="-13"/>
          <w:sz w:val="47"/>
          <w:szCs w:val="47"/>
          <w:lang w:val="en-US" w:eastAsia="zh-CN"/>
        </w:rPr>
        <w:t xml:space="preserve"> </w:t>
      </w:r>
      <w:r>
        <w:rPr>
          <w:spacing w:val="-13"/>
          <w:sz w:val="47"/>
          <w:szCs w:val="47"/>
        </w:rPr>
        <w:t>准</w:t>
      </w:r>
    </w:p>
    <w:p>
      <w:pPr>
        <w:pStyle w:val="2"/>
        <w:spacing w:before="277" w:line="369" w:lineRule="exact"/>
        <w:jc w:val="right"/>
        <w:rPr>
          <w:rFonts w:hint="eastAsia" w:eastAsia="黑体"/>
          <w:lang w:eastAsia="zh-CN"/>
        </w:rPr>
      </w:pPr>
      <w:r>
        <w:rPr>
          <w:rFonts w:ascii="Times New Roman" w:hAnsi="Times New Roman" w:eastAsia="Times New Roman" w:cs="Times New Roman"/>
          <w:spacing w:val="-1"/>
          <w:position w:val="1"/>
        </w:rPr>
        <w:t xml:space="preserve">T/LBIA  </w:t>
      </w:r>
      <w:r>
        <w:rPr>
          <w:spacing w:val="-1"/>
          <w:position w:val="1"/>
        </w:rPr>
        <w:t>01—202</w:t>
      </w:r>
      <w:r>
        <w:rPr>
          <w:rFonts w:hint="eastAsia"/>
          <w:spacing w:val="-1"/>
          <w:position w:val="1"/>
          <w:lang w:val="en-US" w:eastAsia="zh-CN"/>
        </w:rPr>
        <w:t>4</w:t>
      </w:r>
    </w:p>
    <w:p>
      <w:pPr>
        <w:spacing w:line="247" w:lineRule="auto"/>
        <w:rPr>
          <w:rFonts w:ascii="Arial"/>
          <w:sz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13970</wp:posOffset>
            </wp:positionV>
            <wp:extent cx="6120130" cy="9525"/>
            <wp:effectExtent l="0" t="0" r="0" b="0"/>
            <wp:wrapNone/>
            <wp:docPr id="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69" w:line="222" w:lineRule="auto"/>
        <w:jc w:val="center"/>
        <w:rPr>
          <w:rFonts w:hint="default" w:eastAsia="黑体"/>
          <w:sz w:val="52"/>
          <w:szCs w:val="52"/>
          <w:lang w:val="en-US" w:eastAsia="zh-CN"/>
        </w:rPr>
      </w:pPr>
      <w:r>
        <w:rPr>
          <w:spacing w:val="-3"/>
          <w:sz w:val="52"/>
          <w:szCs w:val="52"/>
        </w:rPr>
        <w:t>庆元</w:t>
      </w:r>
      <w:r>
        <w:rPr>
          <w:rFonts w:hint="eastAsia"/>
          <w:spacing w:val="-3"/>
          <w:sz w:val="52"/>
          <w:szCs w:val="52"/>
          <w:lang w:val="en-US" w:eastAsia="zh-CN"/>
        </w:rPr>
        <w:t>荒野茶管护规程</w:t>
      </w:r>
    </w:p>
    <w:p>
      <w:pPr>
        <w:spacing w:before="81" w:line="368" w:lineRule="exac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244" w:line="222" w:lineRule="auto"/>
        <w:ind w:left="3518"/>
        <w:rPr>
          <w:spacing w:val="42"/>
          <w:w w:val="131"/>
        </w:rPr>
      </w:pPr>
    </w:p>
    <w:p>
      <w:pPr>
        <w:pStyle w:val="2"/>
        <w:spacing w:before="270" w:line="229" w:lineRule="auto"/>
        <w:jc w:val="center"/>
      </w:pPr>
      <w:r>
        <w:rPr>
          <w:rFonts w:hint="eastAsia"/>
          <w:spacing w:val="42"/>
          <w:w w:val="131"/>
          <w:lang w:val="en-US" w:eastAsia="zh-CN"/>
        </w:rPr>
        <w:t>庆元县茶文化研究会</w:t>
      </w:r>
      <w:r>
        <w:rPr>
          <w:spacing w:val="39"/>
          <w:w w:val="125"/>
        </w:rPr>
        <w:t>发</w:t>
      </w:r>
      <w:r>
        <w:rPr>
          <w:spacing w:val="39"/>
          <w:w w:val="125"/>
          <w:position w:val="2"/>
        </w:rPr>
        <w:t>布</w:t>
      </w:r>
    </w:p>
    <w:p>
      <w:pPr>
        <w:widowControl/>
        <w:shd w:val="clear" w:color="auto" w:fill="FFFFFF"/>
        <w:spacing w:after="560" w:line="360" w:lineRule="auto"/>
        <w:jc w:val="center"/>
        <w:outlineLvl w:val="0"/>
        <w:rPr>
          <w:rFonts w:hint="eastAsia" w:ascii="黑体" w:hAnsi="Times New Roman" w:eastAsia="黑体" w:cs="Times New Roman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after="560" w:line="360" w:lineRule="auto"/>
        <w:jc w:val="both"/>
        <w:outlineLvl w:val="0"/>
        <w:rPr>
          <w:rFonts w:hint="eastAsia" w:ascii="黑体" w:hAnsi="Times New Roman" w:eastAsia="黑体" w:cs="Times New Roman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after="560" w:line="360" w:lineRule="auto"/>
        <w:jc w:val="center"/>
        <w:outlineLvl w:val="0"/>
        <w:rPr>
          <w:rFonts w:ascii="黑体" w:hAnsi="Times New Roman" w:eastAsia="黑体" w:cs="Times New Roman"/>
          <w:kern w:val="0"/>
          <w:szCs w:val="21"/>
        </w:rPr>
      </w:pPr>
      <w:r>
        <w:rPr>
          <w:rFonts w:ascii="黑体" w:hAnsi="Times New Roman" w:eastAsia="黑体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1792605</wp:posOffset>
                </wp:positionV>
                <wp:extent cx="6121400" cy="0"/>
                <wp:effectExtent l="0" t="6350" r="0" b="6350"/>
                <wp:wrapNone/>
                <wp:docPr id="1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-18pt;margin-top:141.15pt;height:0pt;width:482pt;z-index:251661312;mso-width-relative:page;mso-height-relative:page;" filled="f" stroked="t" coordsize="21600,21600" o:gfxdata="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lMyb7Y&#10;AAAACwEAAA8AAAAAAAAAAQAgAAAAIgAAAGRycy9kb3ducmV2LnhtbFBLAQIUABQAAAAIAIdO4kD0&#10;//EqrgEAAG8DAAAOAAAAAAAAAAEAIAAAACcBAABkcnMvZTJvRG9jLnhtbFBLBQYAAAAABgAGAFkB&#10;AABH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Times New Roman" w:eastAsia="黑体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8392795</wp:posOffset>
                </wp:positionV>
                <wp:extent cx="6121400" cy="0"/>
                <wp:effectExtent l="0" t="6350" r="0" b="6350"/>
                <wp:wrapNone/>
                <wp:docPr id="21" name="Lin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3" o:spid="_x0000_s1026" o:spt="20" style="position:absolute;left:0pt;margin-left:-18.95pt;margin-top:660.85pt;height:0pt;width:482pt;z-index:251660288;mso-width-relative:page;mso-height-relative:page;" filled="f" stroked="t" coordsize="21600,21600" o:allowincell="f" o:gfxdata="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91KC&#10;kdkAAAANAQAADwAAAAAAAAABACAAAAAiAAAAZHJzL2Rvd25yZXYueG1sUEsBAhQAFAAAAAgAh07i&#10;QMglm/SvAQAAcAMAAA4AAAAAAAAAAQAgAAAAKAEAAGRycy9lMm9Eb2MueG1sUEsFBgAAAAAGAAYA&#10;WQEAAEkFAAAAAA=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Times New Roman" w:eastAsia="黑体" w:cs="Times New Roman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1776095</wp:posOffset>
                </wp:positionV>
                <wp:extent cx="6121400" cy="0"/>
                <wp:effectExtent l="0" t="6350" r="0" b="6350"/>
                <wp:wrapNone/>
                <wp:docPr id="20" name="Lin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2" o:spid="_x0000_s1026" o:spt="20" style="position:absolute;left:0pt;margin-left:-18.95pt;margin-top:139.85pt;height:0pt;width:482pt;z-index:251659264;mso-width-relative:page;mso-height-relative:page;" filled="f" stroked="t" coordsize="21600,21600" o:allowincell="f" o:gfxdata="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wyH/bY&#10;AAAACwEAAA8AAAAAAAAAAQAgAAAAIgAAAGRycy9kb3ducmV2LnhtbFBLAQIUABQAAAAIAIdO4kDt&#10;yDC2rgEAAHADAAAOAAAAAAAAAAEAIAAAACcBAABkcnMvZTJvRG9jLnhtbFBLBQYAAAAABgAGAFkB&#10;AABHBQAAAAA=&#10;">
                <v:fill on="f" focussize="0,0"/>
                <v:stroke weight="1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kern w:val="0"/>
          <w:szCs w:val="21"/>
        </w:rPr>
        <w:t>前  言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本标准依据</w:t>
      </w:r>
      <w:r>
        <w:rPr>
          <w:rFonts w:ascii="Times New Roman" w:hAnsi="Times New Roman" w:eastAsia="宋体" w:cs="Times New Roman"/>
          <w:szCs w:val="21"/>
        </w:rPr>
        <w:t>GB/T1.1</w:t>
      </w:r>
      <w:r>
        <w:rPr>
          <w:rFonts w:hint="eastAsia" w:ascii="Times New Roman" w:hAnsi="Times New Roman" w:eastAsia="宋体" w:cs="Times New Roman"/>
          <w:szCs w:val="21"/>
        </w:rPr>
        <w:t>起草。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本标准由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庆元县茶文化研究会</w:t>
      </w:r>
      <w:r>
        <w:rPr>
          <w:rFonts w:hint="eastAsia" w:ascii="Times New Roman" w:hAnsi="Times New Roman" w:eastAsia="宋体" w:cs="Times New Roman"/>
          <w:szCs w:val="21"/>
        </w:rPr>
        <w:t>提出并归口。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本标准起草单位：庆元县茶文化研究会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庆元县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农业农村局</w:t>
      </w:r>
      <w:r>
        <w:rPr>
          <w:rFonts w:hint="eastAsia" w:ascii="Times New Roman" w:hAnsi="Times New Roman" w:eastAsia="宋体" w:cs="Times New Roman"/>
          <w:szCs w:val="21"/>
        </w:rPr>
        <w:t>、</w:t>
      </w:r>
      <w:bookmarkStart w:id="0" w:name="OLE_LINK21"/>
      <w:bookmarkStart w:id="1" w:name="OLE_LINK17"/>
      <w:bookmarkStart w:id="2" w:name="OLE_LINK18"/>
      <w:r>
        <w:rPr>
          <w:rFonts w:hint="eastAsia" w:ascii="Times New Roman" w:hAnsi="Times New Roman" w:eastAsia="宋体" w:cs="Times New Roman"/>
          <w:szCs w:val="21"/>
        </w:rPr>
        <w:t>中国农业科学院茶叶研究所</w:t>
      </w:r>
      <w:bookmarkEnd w:id="0"/>
      <w:bookmarkEnd w:id="1"/>
      <w:bookmarkEnd w:id="2"/>
      <w:r>
        <w:rPr>
          <w:rFonts w:hint="eastAsia" w:ascii="Times New Roman" w:hAnsi="Times New Roman" w:eastAsia="宋体" w:cs="Times New Roman"/>
          <w:szCs w:val="21"/>
          <w:lang w:eastAsia="zh-CN"/>
        </w:rPr>
        <w:t>、庆元县鱼富种植专业合作社、浙江百山茶业有限公司、庆元县举水云屏农产品专业合作社、浙江川镇农业科技发展有限公司、庆元县五翼茶叶合作社、庆元县江兴集体经济发展有限公司、庆元县雾峰农业专业合作社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等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本标准主要起草人：吴伟珍、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王声淼、张君媚、</w:t>
      </w:r>
      <w:r>
        <w:rPr>
          <w:rFonts w:hint="eastAsia" w:ascii="Times New Roman" w:hAnsi="Times New Roman" w:eastAsia="宋体" w:cs="Times New Roman"/>
          <w:szCs w:val="21"/>
        </w:rPr>
        <w:t>李鑫、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吴旺进、</w:t>
      </w:r>
      <w:r>
        <w:rPr>
          <w:rFonts w:hint="eastAsia" w:ascii="Times New Roman" w:hAnsi="Times New Roman" w:eastAsia="宋体" w:cs="Times New Roman"/>
          <w:szCs w:val="21"/>
        </w:rPr>
        <w:t>叶大华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张少博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、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吴远付、吴进军、吴树荣、程龙、姚光平、兰振飞、吴明军等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spacing w:line="360" w:lineRule="auto"/>
        <w:jc w:val="center"/>
        <w:rPr>
          <w:rFonts w:hint="default" w:ascii="Times New Roman" w:hAnsi="Times New Roman" w:eastAsia="黑体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eastAsia="宋体" w:cs="Times New Roman"/>
          <w:szCs w:val="21"/>
        </w:rPr>
        <w:br w:type="page"/>
      </w:r>
      <w:r>
        <w:rPr>
          <w:rFonts w:hint="eastAsia" w:ascii="黑体" w:hAnsi="黑体" w:eastAsia="黑体" w:cs="Times New Roman"/>
          <w:color w:val="auto"/>
          <w:sz w:val="28"/>
          <w:szCs w:val="28"/>
          <w:lang w:val="en-US" w:eastAsia="zh-CN"/>
        </w:rPr>
        <w:t>庆元</w:t>
      </w:r>
      <w:r>
        <w:rPr>
          <w:rFonts w:hint="eastAsia" w:ascii="黑体" w:hAnsi="黑体" w:eastAsia="黑体" w:cs="Times New Roman"/>
          <w:color w:val="auto"/>
          <w:sz w:val="28"/>
          <w:szCs w:val="28"/>
          <w:lang w:eastAsia="zh-CN"/>
        </w:rPr>
        <w:t>荒野茶</w:t>
      </w:r>
      <w:r>
        <w:rPr>
          <w:rFonts w:hint="eastAsia" w:ascii="黑体" w:hAnsi="黑体" w:eastAsia="黑体" w:cs="Times New Roman"/>
          <w:color w:val="auto"/>
          <w:sz w:val="28"/>
          <w:szCs w:val="28"/>
          <w:lang w:val="en-US" w:eastAsia="zh-CN"/>
        </w:rPr>
        <w:t>管护规程</w:t>
      </w:r>
    </w:p>
    <w:p>
      <w:pPr>
        <w:spacing w:after="156" w:afterLines="50" w:line="360" w:lineRule="auto"/>
        <w:rPr>
          <w:rFonts w:ascii="黑体" w:hAnsi="Times New Roman" w:eastAsia="黑体" w:cs="Times New Roman"/>
          <w:color w:val="auto"/>
          <w:szCs w:val="21"/>
        </w:rPr>
      </w:pPr>
      <w:r>
        <w:rPr>
          <w:rFonts w:hint="eastAsia" w:ascii="黑体" w:hAnsi="Times New Roman" w:eastAsia="黑体" w:cs="Times New Roman"/>
          <w:color w:val="auto"/>
          <w:szCs w:val="21"/>
        </w:rPr>
        <w:t>1.范围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本标准规定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了庆元县域内的荒野茶的术语和定义、环境要求、管护技术、采摘与留养、病虫草害防治、保护措施</w:t>
      </w:r>
      <w:r>
        <w:rPr>
          <w:rFonts w:hint="eastAsia" w:ascii="Times New Roman" w:hAnsi="Times New Roman" w:eastAsia="宋体" w:cs="Times New Roman"/>
          <w:color w:val="auto"/>
          <w:szCs w:val="21"/>
        </w:rPr>
        <w:t>。</w:t>
      </w:r>
    </w:p>
    <w:p>
      <w:pPr>
        <w:spacing w:line="360" w:lineRule="auto"/>
        <w:ind w:firstLine="420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本标准适用于以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庆元县域内</w:t>
      </w:r>
      <w:r>
        <w:rPr>
          <w:rFonts w:hint="eastAsia" w:ascii="Times New Roman" w:hAnsi="Times New Roman" w:eastAsia="宋体" w:cs="Times New Roman"/>
          <w:color w:val="auto"/>
          <w:szCs w:val="21"/>
        </w:rPr>
        <w:t>荒野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茶的管理和保护</w:t>
      </w:r>
      <w:r>
        <w:rPr>
          <w:rFonts w:hint="eastAsia" w:ascii="Times New Roman" w:hAnsi="Times New Roman" w:eastAsia="宋体" w:cs="Times New Roman"/>
          <w:color w:val="auto"/>
          <w:szCs w:val="21"/>
        </w:rPr>
        <w:t>。</w:t>
      </w:r>
    </w:p>
    <w:p>
      <w:pPr>
        <w:spacing w:after="156" w:afterLines="50" w:line="360" w:lineRule="auto"/>
        <w:rPr>
          <w:rFonts w:ascii="黑体" w:hAnsi="Times New Roman" w:eastAsia="黑体" w:cs="Times New Roman"/>
          <w:color w:val="auto"/>
          <w:szCs w:val="21"/>
        </w:rPr>
      </w:pPr>
      <w:r>
        <w:rPr>
          <w:rFonts w:hint="eastAsia" w:ascii="黑体" w:hAnsi="Times New Roman" w:eastAsia="黑体" w:cs="Times New Roman"/>
          <w:color w:val="auto"/>
          <w:szCs w:val="21"/>
        </w:rPr>
        <w:t>2.规范性引用文件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spacing w:line="360" w:lineRule="auto"/>
        <w:ind w:left="420" w:leftChars="200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GB 3095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Cs w:val="21"/>
        </w:rPr>
        <w:t>环境空气质量</w:t>
      </w:r>
    </w:p>
    <w:p>
      <w:pPr>
        <w:spacing w:line="360" w:lineRule="auto"/>
        <w:ind w:left="420" w:left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GB 15618  土壤环境质量 农用地土壤</w:t>
      </w:r>
    </w:p>
    <w:p>
      <w:pPr>
        <w:spacing w:line="360" w:lineRule="auto"/>
        <w:ind w:left="420" w:left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GB 5084  农田灌溉水质标准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GB/T 19630  有机产品生产、加工、标识与管理体系要求</w:t>
      </w:r>
    </w:p>
    <w:p>
      <w:pPr>
        <w:spacing w:line="360" w:lineRule="auto"/>
        <w:ind w:left="420" w:leftChars="200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DB43/T 2028</w:t>
      </w:r>
      <w:r>
        <w:rPr>
          <w:rFonts w:hint="eastAsia" w:ascii="Times New Roman" w:hAnsi="Times New Roman" w:cs="Times New Roman"/>
          <w:color w:val="auto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高山-丘陵有机茶园杂草防控技术规程</w:t>
      </w:r>
    </w:p>
    <w:p>
      <w:pPr>
        <w:spacing w:line="360" w:lineRule="auto"/>
        <w:ind w:left="420" w:left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DB34/T 2969  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山区茶园主要病虫害绿色防控技术规程</w:t>
      </w:r>
    </w:p>
    <w:p>
      <w:pPr>
        <w:spacing w:line="360" w:lineRule="auto"/>
        <w:ind w:left="420" w:left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</w:rPr>
      </w:pPr>
      <w:r>
        <w:rPr>
          <w:rFonts w:hint="eastAsia" w:ascii="黑体" w:hAnsi="Times New Roman" w:eastAsia="黑体" w:cs="Times New Roman"/>
          <w:color w:val="auto"/>
          <w:szCs w:val="21"/>
        </w:rPr>
        <w:t>3.术语和定义</w:t>
      </w:r>
    </w:p>
    <w:p>
      <w:pPr>
        <w:spacing w:line="360" w:lineRule="auto"/>
        <w:ind w:firstLine="42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下列术语和定义适用于本文件。</w:t>
      </w: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</w:rPr>
      </w:pPr>
      <w:r>
        <w:rPr>
          <w:rFonts w:hint="eastAsia" w:ascii="黑体" w:hAnsi="Times New Roman" w:eastAsia="黑体" w:cs="Times New Roman"/>
          <w:color w:val="auto"/>
          <w:szCs w:val="21"/>
        </w:rPr>
        <w:t>3.1</w:t>
      </w: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庆元</w:t>
      </w:r>
      <w:r>
        <w:rPr>
          <w:rFonts w:hint="eastAsia" w:ascii="黑体" w:hAnsi="Times New Roman" w:eastAsia="黑体" w:cs="Times New Roman"/>
          <w:color w:val="auto"/>
          <w:szCs w:val="21"/>
          <w:lang w:eastAsia="zh-CN"/>
        </w:rPr>
        <w:t>荒野茶</w:t>
      </w:r>
      <w:r>
        <w:rPr>
          <w:rFonts w:hint="eastAsia" w:ascii="黑体" w:hAnsi="Times New Roman" w:eastAsia="黑体" w:cs="Times New Roman"/>
          <w:color w:val="auto"/>
          <w:szCs w:val="21"/>
        </w:rPr>
        <w:t xml:space="preserve"> </w:t>
      </w:r>
    </w:p>
    <w:p>
      <w:pPr>
        <w:spacing w:line="360" w:lineRule="auto"/>
        <w:ind w:firstLine="42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是</w:t>
      </w:r>
      <w:r>
        <w:rPr>
          <w:rFonts w:hint="eastAsia" w:ascii="Times New Roman" w:hAnsi="Times New Roman" w:eastAsia="宋体" w:cs="Times New Roman"/>
          <w:color w:val="auto"/>
          <w:szCs w:val="21"/>
          <w:u w:val="none"/>
          <w:lang w:val="en-US" w:eastAsia="zh-CN"/>
        </w:rPr>
        <w:t>指庆元县百山祖国家公园境内海拔800米以上，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经人工栽培后因各种原因荒芜自然生长30年以上的茶树、或经自然传播自然生长的茶树。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lang w:val="en-US"/>
        </w:rPr>
      </w:pP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3.2管护</w:t>
      </w:r>
    </w:p>
    <w:p>
      <w:pPr>
        <w:spacing w:after="156" w:afterLines="50"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是指对庆元荒野茶的管理和树体养护措施。</w:t>
      </w: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4.环境要求</w:t>
      </w:r>
    </w:p>
    <w:p>
      <w:pPr>
        <w:spacing w:after="156" w:afterLines="50" w:line="360" w:lineRule="auto"/>
        <w:ind w:firstLine="420" w:firstLineChars="200"/>
        <w:rPr>
          <w:rFonts w:hint="default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4.1土壤</w:t>
      </w:r>
    </w:p>
    <w:p>
      <w:pPr>
        <w:spacing w:after="156" w:afterLines="50"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土壤pH值4.5~6.5；养分及矿物质含量应符合GB 15618的规定。</w:t>
      </w:r>
    </w:p>
    <w:p>
      <w:pPr>
        <w:spacing w:after="156" w:afterLines="50" w:line="360" w:lineRule="auto"/>
        <w:rPr>
          <w:rFonts w:hint="default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4.2水质</w:t>
      </w:r>
    </w:p>
    <w:p>
      <w:pPr>
        <w:spacing w:after="156" w:afterLines="50"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灌溉水质应符合GB 5084的规定。</w:t>
      </w:r>
    </w:p>
    <w:p>
      <w:pPr>
        <w:spacing w:after="156" w:afterLines="50" w:line="360" w:lineRule="auto"/>
        <w:rPr>
          <w:rFonts w:hint="default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4.3遮阴树</w:t>
      </w:r>
    </w:p>
    <w:p>
      <w:pPr>
        <w:spacing w:after="156" w:afterLines="50"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配植于荒野茶四周、道路两旁，树种宜选择乔木型树木。荒野茶周围遮阴树的郁闭率以0.3~0.4为宜。</w:t>
      </w:r>
    </w:p>
    <w:p>
      <w:pPr>
        <w:spacing w:after="156" w:afterLines="50" w:line="360" w:lineRule="auto"/>
        <w:rPr>
          <w:rFonts w:hint="default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5.管护技术</w:t>
      </w:r>
    </w:p>
    <w:p>
      <w:pPr>
        <w:spacing w:after="156" w:afterLines="50" w:line="360" w:lineRule="auto"/>
        <w:rPr>
          <w:rFonts w:hint="default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5.1耕作与除草</w:t>
      </w:r>
    </w:p>
    <w:p>
      <w:pPr>
        <w:spacing w:after="156" w:afterLines="50"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5.1.1集中连片荒野茶耕作结合除草进行，每年1次~3次浅耕除草。</w:t>
      </w:r>
    </w:p>
    <w:p>
      <w:pPr>
        <w:spacing w:after="156" w:afterLines="50"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5.1.2坡度＞20°陡坡地，应采用“养草+免耕”耕作方式。坡度＜20°缓坡地、平地或台地，应采用“除草+耕锄+覆盖”耕作方式。</w:t>
      </w:r>
    </w:p>
    <w:p>
      <w:pPr>
        <w:spacing w:after="156" w:afterLines="50"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5.1.3林区内落叶和杂草腐烂后，能改良土壤结构，使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土壤肥沃、疏松，土层深厚，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可</w:t>
      </w: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免耕。</w:t>
      </w:r>
    </w:p>
    <w:p>
      <w:pPr>
        <w:spacing w:after="156" w:afterLines="50" w:line="360" w:lineRule="auto"/>
        <w:rPr>
          <w:rFonts w:hint="default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5.2培肥</w:t>
      </w:r>
    </w:p>
    <w:p>
      <w:pPr>
        <w:spacing w:after="156" w:afterLines="50" w:line="360" w:lineRule="auto"/>
        <w:ind w:firstLine="420" w:firstLineChars="200"/>
        <w:rPr>
          <w:rFonts w:hint="default" w:ascii="Times New Roman" w:hAnsi="Times New Roman" w:eastAsia="宋体" w:cs="Times New Roman"/>
          <w:color w:val="FF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  <w:t>种植绿肥等合理培肥措施，稳定或提高土壤有机质含量。</w:t>
      </w: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5.2 排灌系统</w:t>
      </w:r>
    </w:p>
    <w:p>
      <w:pPr>
        <w:spacing w:after="156" w:afterLines="50" w:line="360" w:lineRule="auto"/>
        <w:rPr>
          <w:rFonts w:hint="default" w:ascii="Times New Roman" w:hAnsi="Times New Roman" w:eastAsia="宋体" w:cs="Times New Roman"/>
          <w:strike w:val="0"/>
          <w:dstrike w:val="0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 5.2.1 </w:t>
      </w: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lang w:val="en-US" w:eastAsia="zh-CN"/>
        </w:rPr>
        <w:t>土壤常年水分能满足茶树生长的，以自然灌溉为主。</w:t>
      </w:r>
    </w:p>
    <w:p>
      <w:pPr>
        <w:spacing w:after="156" w:afterLines="50" w:line="360" w:lineRule="auto"/>
        <w:ind w:firstLine="210" w:firstLineChars="1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lang w:val="en-US" w:eastAsia="zh-CN"/>
        </w:rPr>
        <w:t>5.2.2 土壤常年水分不能满足茶树生长的，宜采用引水滴灌，或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在雨水聚集地修建蓄水池或水窖，供灌溉用水。</w:t>
      </w:r>
    </w:p>
    <w:p>
      <w:pPr>
        <w:spacing w:after="156" w:afterLines="50" w:line="360" w:lineRule="auto"/>
        <w:ind w:firstLine="210" w:firstLineChars="1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5.2.3应修缮和健全排灌沟渠，并不定时挖沟清淤。</w:t>
      </w: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5.3 修剪</w:t>
      </w:r>
    </w:p>
    <w:p>
      <w:pPr>
        <w:spacing w:after="156" w:afterLines="50" w:line="360" w:lineRule="auto"/>
        <w:ind w:firstLine="210" w:firstLineChars="100"/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u w:val="none"/>
          <w:lang w:val="en-US" w:eastAsia="zh-CN"/>
        </w:rPr>
        <w:t>5.3.1荒野茶每年12月宜进行1次综合性修剪。</w:t>
      </w:r>
    </w:p>
    <w:p>
      <w:pPr>
        <w:spacing w:after="156" w:afterLines="50" w:line="360" w:lineRule="auto"/>
        <w:ind w:firstLine="210" w:firstLineChars="100"/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u w:val="none"/>
          <w:lang w:val="en-US" w:eastAsia="zh-CN"/>
        </w:rPr>
        <w:t>5.3.2 根据树冠状况采用疏剪、回缩剪、疗伤剪（锯）等。</w:t>
      </w:r>
    </w:p>
    <w:p>
      <w:pPr>
        <w:spacing w:after="156" w:afterLines="50" w:line="360" w:lineRule="auto"/>
        <w:ind w:firstLine="210" w:firstLineChars="100"/>
        <w:rPr>
          <w:rFonts w:hint="default" w:ascii="Times New Roman" w:hAnsi="Times New Roman" w:eastAsia="宋体" w:cs="Times New Roman"/>
          <w:strike w:val="0"/>
          <w:dstrike w:val="0"/>
          <w:color w:val="auto"/>
          <w:szCs w:val="21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u w:val="none"/>
          <w:lang w:val="en-US" w:eastAsia="zh-CN"/>
        </w:rPr>
        <w:t>5.3.2.1疏剪：剪除树冠内部过密枝、细弱枝、重叠交叉枝等；</w:t>
      </w:r>
    </w:p>
    <w:p>
      <w:pPr>
        <w:spacing w:after="156" w:afterLines="50" w:line="360" w:lineRule="auto"/>
        <w:ind w:firstLine="210" w:firstLineChars="100"/>
        <w:rPr>
          <w:rFonts w:hint="default" w:ascii="Times New Roman" w:hAnsi="Times New Roman" w:eastAsia="宋体" w:cs="Times New Roman"/>
          <w:strike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u w:val="none"/>
          <w:lang w:val="en-US" w:eastAsia="zh-CN"/>
        </w:rPr>
        <w:t>5.3.2.2回缩剪：剪短树冠顶部多年生的徒长枝，回缩过长的“藤条枝”等</w:t>
      </w:r>
      <w:r>
        <w:rPr>
          <w:rFonts w:hint="eastAsia" w:ascii="Times New Roman" w:hAnsi="Times New Roman" w:eastAsia="宋体" w:cs="Times New Roman"/>
          <w:strike w:val="0"/>
          <w:color w:val="auto"/>
          <w:szCs w:val="21"/>
          <w:lang w:val="en-US" w:eastAsia="zh-CN"/>
        </w:rPr>
        <w:t>；</w:t>
      </w:r>
    </w:p>
    <w:p>
      <w:pPr>
        <w:spacing w:after="156" w:afterLines="50" w:line="360" w:lineRule="auto"/>
        <w:ind w:firstLine="210" w:firstLineChars="1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5.3.2.3疗伤剪（锯）：剪除或锯掉病虫枝、受伤枝、枯枝、植物寄生枝等，保留健壮枝，</w:t>
      </w:r>
    </w:p>
    <w:p>
      <w:pPr>
        <w:spacing w:after="156" w:afterLines="50" w:line="360" w:lineRule="auto"/>
        <w:ind w:firstLine="210" w:firstLineChars="1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5.3.3 修剪荒野茶时，应同步对园地覆阴树进行修枝或清理，控制郁闭度在0.3~0.4.</w:t>
      </w: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6. 荒野茶茶园生态修复</w:t>
      </w: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6.1植被修复</w:t>
      </w:r>
    </w:p>
    <w:p>
      <w:pPr>
        <w:spacing w:after="156" w:afterLines="50"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荒野茶周边植被遭破坏的区域，应蓄养天然林，或营造水源林、防风林、经济林等，恢复植被，增加生物多样性。</w:t>
      </w: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6.2林地清理</w:t>
      </w:r>
    </w:p>
    <w:p>
      <w:pPr>
        <w:spacing w:after="156" w:afterLines="50"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6.2.1 不定时清理对荒野茶品质有影响的竹子、</w:t>
      </w: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lang w:val="en-US" w:eastAsia="zh-CN"/>
        </w:rPr>
        <w:t>藤本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植物等。</w:t>
      </w:r>
    </w:p>
    <w:p>
      <w:pPr>
        <w:spacing w:after="156" w:afterLines="50"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6.2.2 及时清除枯死树木、宿根树桩和倒伏树木等，减少白蚁等害虫栖息场所。</w:t>
      </w:r>
    </w:p>
    <w:p>
      <w:pPr>
        <w:spacing w:after="156" w:afterLines="50" w:line="360" w:lineRule="auto"/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6.4道路系统</w:t>
      </w:r>
    </w:p>
    <w:p>
      <w:pPr>
        <w:spacing w:after="156" w:afterLines="50" w:line="360" w:lineRule="auto"/>
        <w:ind w:firstLine="420" w:firstLineChars="200"/>
        <w:rPr>
          <w:rFonts w:hint="default" w:ascii="Times New Roman" w:hAnsi="Times New Roman" w:eastAsia="宋体" w:cs="Times New Roman"/>
          <w:strike/>
          <w:dstrike w:val="0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lang w:val="en-US" w:eastAsia="zh-CN"/>
        </w:rPr>
        <w:t>有基本的林间道路，用于茶树的管理，茶叶的采摘等人工作业。</w:t>
      </w:r>
    </w:p>
    <w:p>
      <w:pPr>
        <w:spacing w:after="156" w:afterLines="50" w:line="360" w:lineRule="auto"/>
        <w:rPr>
          <w:rFonts w:hint="default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7.采摘与留养</w:t>
      </w:r>
    </w:p>
    <w:p>
      <w:pPr>
        <w:spacing w:after="156" w:afterLines="50"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7.1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鲜叶采摘应按所制茶茶类及其产品定位标准，及时分级分批采摘。每年仅人工采摘首轮芽叶，每轮芽叶宜分2次~3次采完。夏、秋季芽叶留养不采。</w:t>
      </w:r>
    </w:p>
    <w:p>
      <w:pPr>
        <w:spacing w:after="156" w:afterLines="50"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7.2 鲜叶要求色泽鲜活，不含茶梗和老叶，无非茶类夹杂物。</w:t>
      </w:r>
    </w:p>
    <w:p>
      <w:pPr>
        <w:spacing w:after="156" w:afterLines="50"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 xml:space="preserve">7.3 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不宜采摘带雨水或露水的芽叶。</w:t>
      </w:r>
    </w:p>
    <w:p>
      <w:pPr>
        <w:spacing w:after="156" w:afterLines="50"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7.4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高大荒野茶茶树应搭架或扶梯采茶。</w:t>
      </w:r>
    </w:p>
    <w:p>
      <w:pPr>
        <w:spacing w:after="156" w:afterLines="50"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7.5</w:t>
      </w: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盛装、存放和运输茶鲜叶的器具，应通风透气、清洁卫生，宜使用竹制品等天然物质制作的容器。</w:t>
      </w:r>
    </w:p>
    <w:p>
      <w:pPr>
        <w:spacing w:after="156" w:afterLines="50" w:line="360" w:lineRule="auto"/>
        <w:ind w:firstLine="420" w:firstLineChars="200"/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</w:pPr>
      <w:r>
        <w:rPr>
          <w:rFonts w:hint="eastAsia" w:ascii="黑体" w:hAnsi="Times New Roman" w:eastAsia="黑体" w:cs="Times New Roman"/>
          <w:color w:val="auto"/>
          <w:szCs w:val="21"/>
          <w:lang w:val="en-US" w:eastAsia="zh-CN"/>
        </w:rPr>
        <w:t>8 病虫草害防治。</w:t>
      </w:r>
    </w:p>
    <w:p>
      <w:pPr>
        <w:spacing w:after="156" w:afterLines="50" w:line="360" w:lineRule="auto"/>
        <w:ind w:firstLine="420" w:firstLineChars="200"/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8.1</w:t>
      </w: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highlight w:val="none"/>
          <w:lang w:val="en-US" w:eastAsia="zh-CN"/>
        </w:rPr>
        <w:t>避免使用对环境和人体有害的农药、农药助剂、生长调节剂和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除草剂</w:t>
      </w:r>
      <w:r>
        <w:rPr>
          <w:rFonts w:hint="eastAsia" w:ascii="Times New Roman" w:hAnsi="Times New Roman" w:eastAsia="宋体" w:cs="Times New Roman"/>
          <w:strike w:val="0"/>
          <w:dstrike w:val="0"/>
          <w:color w:val="auto"/>
          <w:szCs w:val="21"/>
          <w:highlight w:val="none"/>
          <w:lang w:val="en-US" w:eastAsia="zh-CN"/>
        </w:rPr>
        <w:t>，宜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lang w:val="en-US" w:eastAsia="zh-CN"/>
        </w:rPr>
        <w:t>采用人工捉虫、人工去除病枝、以草控草、人工除草等物理措施，或植物源、生物源、矿物源农药防治茶树病虫害。</w:t>
      </w:r>
    </w:p>
    <w:p>
      <w:pPr>
        <w:spacing w:after="156" w:afterLines="50" w:line="360" w:lineRule="auto"/>
        <w:ind w:firstLine="210" w:firstLineChars="100"/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 xml:space="preserve">8.2春季末期及夏、秋季留养期，将正遭受病虫严重危害的芽叶采尽，带出销毁。 </w:t>
      </w:r>
    </w:p>
    <w:p>
      <w:pPr>
        <w:numPr>
          <w:ilvl w:val="0"/>
          <w:numId w:val="0"/>
        </w:numPr>
        <w:spacing w:after="156" w:afterLines="50" w:line="360" w:lineRule="auto"/>
        <w:ind w:firstLine="420" w:firstLineChars="20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color w:val="auto"/>
          <w:szCs w:val="21"/>
          <w:lang w:val="en-US" w:eastAsia="zh-CN"/>
        </w:rPr>
        <w:t>8.3荒野茶茶园可散养鸡、鸭、鹅、兔、羊、黄牛等家禽、家畜，取食除草。</w:t>
      </w:r>
      <w:bookmarkStart w:id="3" w:name="_GoBack"/>
      <w:bookmarkEnd w:id="3"/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ind w:right="360"/>
      <w:rPr>
        <w:rStyle w:val="8"/>
      </w:rPr>
    </w:pP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WUzNGE5ZDhhMTQ1MTZiMTQ3NDAyMDBlYTMzMjQifQ=="/>
  </w:docVars>
  <w:rsids>
    <w:rsidRoot w:val="451D3092"/>
    <w:rsid w:val="3A436F93"/>
    <w:rsid w:val="451D3092"/>
    <w:rsid w:val="48FA6652"/>
    <w:rsid w:val="6FB42B0C"/>
    <w:rsid w:val="72D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2498</Words>
  <Characters>3014</Characters>
  <Lines>0</Lines>
  <Paragraphs>0</Paragraphs>
  <TotalTime>43</TotalTime>
  <ScaleCrop>false</ScaleCrop>
  <LinksUpToDate>false</LinksUpToDate>
  <CharactersWithSpaces>3084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2024-07-12T01:06:00Z</dcterms:created>
  <dc:creator>晓ma苡</dc:creator>
  <cp:lastModifiedBy>晓ma苡</cp:lastModifiedBy>
  <cp:lastPrinted>2024-07-12T08:50:00Z</cp:lastPrinted>
  <dcterms:modified xsi:type="dcterms:W3CDTF">2024-07-21T01:47:59Z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0B723E72B5F64703A1E12DF3C14CED05_11</vt:lpwstr>
  </property>
</Properties>
</file>