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于《松阳县民政局   松阳县财政局关于明确松阳县居家养老服务资金补助政策的通知》的起草说明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现就关于《松阳县民政局 松阳县财政局关于印发松阳县居家养老服务资金补助政策的通知（征求意见稿））（以下简称《通知》）有关情况说明如下：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72"/>
          <w:lang w:eastAsia="zh-CN"/>
        </w:rPr>
      </w:pPr>
      <w:r>
        <w:rPr>
          <w:rFonts w:hint="eastAsia"/>
          <w:sz w:val="32"/>
          <w:szCs w:val="48"/>
        </w:rPr>
        <w:t>一、</w:t>
      </w:r>
      <w:r>
        <w:rPr>
          <w:rFonts w:hint="eastAsia"/>
          <w:sz w:val="32"/>
          <w:szCs w:val="72"/>
        </w:rPr>
        <w:t>制定文件的必要性和可行性</w:t>
      </w:r>
      <w:r>
        <w:rPr>
          <w:rFonts w:hint="eastAsia"/>
          <w:sz w:val="32"/>
          <w:szCs w:val="72"/>
          <w:lang w:eastAsia="zh-CN"/>
        </w:rPr>
        <w:t>（背景）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为进一步推动我县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居家养老服务产业发展，规范居家养老服务补助资金管理，提高资金使用绩效，充分发挥服务保障和引导撬动作用。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  <w:t>二、起草依据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（一）《丽水市居家养老服务条例》；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（二）《丽水市人民政府办公室关于印发丽水市基本养老服务清单（2023 年版）(丽政办发〔2023〕23 号)；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（三）《丽水市民政局 丽水市财政局关于印发《丽水市乡镇（街道）居家养老服务中心运营评估与补贴实施细则（试行）》的通知》（丽民〔2022〕84 号）。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  <w:t>三、起草情况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月，起草单位松阳县民政局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组织相关工作人员开展了调研论证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；202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月份，松阳县民政局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与松阳县财政局进行初步对接并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形成《通知》初稿；202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月，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与松阳县财政局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稿进行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初审并形成征求意见稿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ind w:firstLine="640" w:firstLineChars="200"/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  <w:t>四、主要内容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《松阳县民政局 松阳县财政局关于印发松阳县居家养老服务资金补助政策的通知》编制主要为进一步推动我县居家养老服务产业发展，规范居家养老服务补助资金管理，不断满足老年人持续增长的养老服务需求，提高资金使用绩效，充分发挥服务保障和引导撬动作用，并在基础设施建设和提升补助、服务运营补助、老年人助餐补贴、养老护理员特殊岗位津贴等范围内进行资金使用分配解释说明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56541-1483-4263-8A42-19E1FB6049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977C179-BB59-4127-A1BC-F8CA8320E6F6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F6454E3-5BC7-4891-ABED-B0EC3F435780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346674BA-96BF-4942-AEC7-046CC9FD4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zIwNmNjZTI4YmVjOWZiMjhhOGQyMmVhMTA2MTIifQ=="/>
  </w:docVars>
  <w:rsids>
    <w:rsidRoot w:val="46D62215"/>
    <w:rsid w:val="00A41E1A"/>
    <w:rsid w:val="03D4535F"/>
    <w:rsid w:val="183649BC"/>
    <w:rsid w:val="24586AC6"/>
    <w:rsid w:val="3C781B92"/>
    <w:rsid w:val="41BA278D"/>
    <w:rsid w:val="46D62215"/>
    <w:rsid w:val="4BAB4FBE"/>
    <w:rsid w:val="5B5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ind w:left="74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5">
    <w:name w:val="heading 3"/>
    <w:basedOn w:val="1"/>
    <w:next w:val="1"/>
    <w:qFormat/>
    <w:uiPriority w:val="9"/>
    <w:pPr>
      <w:widowControl w:val="0"/>
      <w:spacing w:before="200" w:beforeLines="0" w:afterLines="0" w:line="271" w:lineRule="auto"/>
      <w:outlineLvl w:val="2"/>
    </w:pPr>
    <w:rPr>
      <w:rFonts w:hint="eastAsia" w:ascii="Cambria" w:hAnsi="Cambria"/>
      <w:b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  <w:ind w:firstLine="0" w:firstLineChars="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6"/>
    <w:next w:val="1"/>
    <w:qFormat/>
    <w:uiPriority w:val="0"/>
    <w:pPr>
      <w:snapToGrid w:val="0"/>
      <w:ind w:firstLine="0" w:firstLineChars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2023-12-13T06:15:00Z</dcterms:created>
  <dc:creator>柳子怡</dc:creator>
  <cp:lastModifiedBy>包平阳</cp:lastModifiedBy>
  <dcterms:modified xsi:type="dcterms:W3CDTF">2024-06-12T07:30:29Z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641690DC6574427A82548AC7C7DF4BF2_11</vt:lpwstr>
  </property>
</Properties>
</file>