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AB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2DFD6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文件起草说明</w:t>
      </w:r>
    </w:p>
    <w:p w14:paraId="009CB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65697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为推动工业经济高质量发展，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聚焦补短板和锻长板，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根据县主要领导要求，由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牵头，会同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政府办、发改局、财政局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、市场监管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等相关部门，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在学习借鉴省市和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周边德清、上虞、桐乡等地区政策基础上，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结合当前工业经济发展形势及我县鼓励发展的重点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行业、重点领域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，对202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-202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年度大工业政策进行修编修订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提交局党委会审议通过，</w:t>
      </w:r>
      <w:r>
        <w:rPr>
          <w:rFonts w:ascii="Times New Roman" w:hAnsi="Times New Roman" w:eastAsia="仿宋_GB2312"/>
          <w:sz w:val="32"/>
          <w:szCs w:val="32"/>
        </w:rPr>
        <w:t>现将具体情况汇报如下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 w14:paraId="5F5DC8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一、主要内容</w:t>
      </w:r>
    </w:p>
    <w:p w14:paraId="1129E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本次大工业政策修编按照“有效政策加力提效、低效政策全面缩减、无效政策果断取消”原则，围绕问题导向、效果导向、目的导向，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在考虑原政策的执行绩效后，进一步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聚焦政策的延续性、承接性、精准性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、规范性。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在政策体系上，结合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“企业敢干”12条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，重点对企业登高晋级、投资扩能、股改上市、外资外贸、品质提升等方面予以奖励。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修改后的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大工业政策共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有8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方面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较原政策减少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条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此外还有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条附则，对执行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要求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、兑现流程等进行了明确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。</w:t>
      </w:r>
    </w:p>
    <w:p w14:paraId="01436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一是保持稳定性。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近年来，大工业政策在推动工业经济高质量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促进产业转型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发展方面，起到了至关重要的作用，有较高认同度和知晓度，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在本轮修订中，也坚持了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“大稳定、小调整”，进一步保持政策的延续性。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现有的26条政策中，奖励内容基本沿用上一轮政策的有20条。如工业全域治理政策，在上一轮政策实施期间有力推动了工业全域治理工作，成效较为明显，本次修编仍然予以延续。在企业培育方面，对“雄鹰”、单项冠军、专精特新“小巨人”、隐形冠军等，也延续了上一轮政策奖励，持续推动企业登高晋级。</w:t>
      </w:r>
    </w:p>
    <w:p w14:paraId="69DD99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10"/>
          <w:sz w:val="32"/>
          <w:szCs w:val="32"/>
          <w:highlight w:val="none"/>
          <w:lang w:val="en-US" w:eastAsia="zh-CN"/>
        </w:rPr>
        <w:t>二是注重承接性。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在政策条款制定上，更加注重对省、市重大决策、重要政策的承接。如“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金融支持设备更新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”，就是在国家大规模设备更新和消费品以旧换新背景下，承接落实省市有关政策要求，新增的一项政策条款。数字经济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方面，今年省经信厅要求数字化改造1.0覆盖率100%，为此新增了“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推进轻量化改造</w:t>
      </w:r>
      <w:r>
        <w:rPr>
          <w:rFonts w:hint="eastAsia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”条款，对数字化改造项目最高奖励额度从80万元提高到100万元；同时进一步突出数字经济一号发展工程，在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软件和信息服务业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"/>
        </w:rPr>
        <w:t>方面新增相关奖励内容。</w:t>
      </w:r>
    </w:p>
    <w:p w14:paraId="627A3A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b/>
          <w:bCs/>
          <w:color w:val="auto"/>
          <w:kern w:val="10"/>
          <w:sz w:val="32"/>
          <w:szCs w:val="32"/>
          <w:highlight w:val="none"/>
          <w:lang w:val="en-US" w:eastAsia="zh-CN"/>
        </w:rPr>
        <w:t>三是提高精准性。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结合当前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国家、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省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市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  <w:t>制造业高质量发展重点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进一步聚焦重点领域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加大政策支持力度，提升政策实施效果。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10"/>
          <w:sz w:val="32"/>
          <w:szCs w:val="32"/>
          <w:highlight w:val="none"/>
          <w:lang w:val="en-US" w:eastAsia="zh-CN"/>
        </w:rPr>
        <w:t>一方面加大重点领域支持力度。</w:t>
      </w: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如“鼓励重大项目投资”中，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对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数字经济和燃料电池、固态电池、钠电池、液流电池等符合我县未来产业的新型能源产业项目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，奖励标准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较一般的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提高1个百分点。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对绿色化改造项目的最高奖励额度从50万元提高到100万元；对上市分阶段奖励从1300万元提高至2000万元。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另一方面压减绩效不明显项目。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考虑到财政资金的引导绩效，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对部分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可市场化运作的、企业自身发展需求无需激励的或者省市最低要求的奖励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条款进行了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取消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，如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企业屋顶光伏、亩均税收达标奖励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、超出容积率面积奖励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绿色低碳园区奖励等，本次修编均予以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删除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1ACCF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kern w:val="10"/>
          <w:sz w:val="32"/>
          <w:szCs w:val="32"/>
          <w:highlight w:val="none"/>
          <w:lang w:val="en-US" w:eastAsia="zh-CN"/>
        </w:rPr>
        <w:t>四是加强规范性。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一方面规范兑现流程。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在附则中明确“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各政策条款按照企业申请、部门受理、联合审核、网上公示、牵头部门审批并报县分管领导审阅的程序执行，通过企业码政策兑现平台实施网上申报审核兑现。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”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highlight w:val="none"/>
          <w:lang w:val="en-US" w:eastAsia="zh-CN" w:bidi="ar"/>
        </w:rPr>
        <w:t>另一方面规范政策条款。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将部分不易操作的条款进行了调整，如小升规奖励中，不再区分数字经济企业；对“50强”的奖励条款由按税收奖励调整为“企业税收增长为基础条件，达到目标后，按企业产值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增量给予奖励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”。</w:t>
      </w:r>
    </w:p>
    <w:p w14:paraId="641C5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二、资金预算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及有关情况说明</w:t>
      </w:r>
    </w:p>
    <w:p w14:paraId="3DC17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10"/>
          <w:sz w:val="32"/>
          <w:szCs w:val="32"/>
          <w:highlight w:val="none"/>
          <w:lang w:val="en-US" w:eastAsia="zh-CN"/>
        </w:rPr>
        <w:t>根据县财政预算要求，2022-2023年度大工业政策预算为2.408亿元，由于疫情等方面影响，2023年度政策预算按照1.4448亿元安排。建议新一轮大工业政策县级资金盘子仍按1.4448亿元安排，其中商务局2400万元（增加960万元）、市场监管局980万元（增加392万元）、发改局200万元（增加110万元）有所提高，县经信局7988万元（减少1462万元），政府办（金融政策）2820万元、科协60万元保持不变。</w:t>
      </w:r>
    </w:p>
    <w:tbl>
      <w:tblPr>
        <w:tblStyle w:val="4"/>
        <w:tblW w:w="81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0"/>
        <w:gridCol w:w="1576"/>
        <w:gridCol w:w="1575"/>
        <w:gridCol w:w="1988"/>
      </w:tblGrid>
      <w:tr w14:paraId="5E749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6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F1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原预算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B2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2023年预算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9D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新政策预算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B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C83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经信局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A8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15900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A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9450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A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7988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3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Ansi="Times New Roman"/>
                <w:lang w:val="en-US" w:eastAsia="zh-CN" w:bidi="ar"/>
              </w:rPr>
              <w:t>另有</w:t>
            </w:r>
            <w:r>
              <w:rPr>
                <w:rStyle w:val="7"/>
                <w:rFonts w:eastAsia="宋体"/>
                <w:lang w:val="en-US" w:eastAsia="zh-CN" w:bidi="ar"/>
              </w:rPr>
              <w:t>9000</w:t>
            </w:r>
            <w:r>
              <w:rPr>
                <w:rStyle w:val="6"/>
                <w:rFonts w:hAnsi="Times New Roman"/>
                <w:lang w:val="en-US" w:eastAsia="zh-CN" w:bidi="ar"/>
              </w:rPr>
              <w:t>万省级资金统筹使用</w:t>
            </w:r>
          </w:p>
        </w:tc>
      </w:tr>
      <w:tr w14:paraId="5775A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A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金融政策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2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4700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1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2820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4C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2820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C3D24">
            <w:pP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AFDF8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09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F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B4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E287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B28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C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市场监管局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EF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588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B8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749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F2CE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17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发改局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CB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BB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9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7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5C8C6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3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科协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3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B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5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60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527B2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1E02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6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3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24080</w:t>
            </w: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42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14448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A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14448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BBF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7821A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D498F12-982F-4029-AB33-294BDAADE9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88818A4-60B8-4C69-A1D1-B0039C9FF3B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6453AA0-18F0-4E4F-9017-D52AAF97D6F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1ED7054A-73C8-4D42-A4B8-45B4CEB64C82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F062CF68-522F-485E-AC0E-C146402552B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ODJhN2E0MTZkMzM5Y2E4YzU4NjcxNzZjZmQwNjIifQ=="/>
  </w:docVars>
  <w:rsids>
    <w:rsidRoot w:val="164E1B20"/>
    <w:rsid w:val="08F847AC"/>
    <w:rsid w:val="0CAA4E85"/>
    <w:rsid w:val="164E1B20"/>
    <w:rsid w:val="32B73B8A"/>
    <w:rsid w:val="5C2D3855"/>
    <w:rsid w:val="6A752DF2"/>
    <w:rsid w:val="6AB4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1590</Words>
  <Characters>1730</Characters>
  <Lines>0</Lines>
  <Paragraphs>0</Paragraphs>
  <TotalTime>0</TotalTime>
  <ScaleCrop>false</ScaleCrop>
  <LinksUpToDate>false</LinksUpToDate>
  <CharactersWithSpaces>1730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2024-01-24T06:07:00Z</dcterms:created>
  <dc:creator>Cc</dc:creator>
  <cp:lastModifiedBy>Cc</cp:lastModifiedBy>
  <dcterms:modified xsi:type="dcterms:W3CDTF">2024-12-12T08:46:14Z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DB1650E8775B4D53871F2432BB1958A5_11</vt:lpwstr>
  </property>
</Properties>
</file>