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B0820">
      <w:pPr>
        <w:spacing w:line="360" w:lineRule="auto"/>
        <w:ind w:firstLine="480"/>
        <w:jc w:val="center"/>
        <w:rPr>
          <w:b/>
          <w:bCs/>
          <w:kern w:val="0"/>
          <w:sz w:val="32"/>
          <w:szCs w:val="32"/>
        </w:rPr>
      </w:pPr>
      <w:r>
        <w:rPr>
          <w:rFonts w:hint="eastAsia"/>
          <w:b/>
          <w:kern w:val="0"/>
          <w:sz w:val="32"/>
          <w:szCs w:val="32"/>
        </w:rPr>
        <w:t>浙江岱山经济开发区（核心区）控制性详细规划</w:t>
      </w:r>
    </w:p>
    <w:p w14:paraId="0477DA3C">
      <w:pPr>
        <w:spacing w:line="360" w:lineRule="auto"/>
        <w:ind w:firstLine="480"/>
        <w:jc w:val="center"/>
        <w:rPr>
          <w:b/>
          <w:bCs/>
          <w:kern w:val="0"/>
          <w:sz w:val="32"/>
          <w:szCs w:val="32"/>
        </w:rPr>
      </w:pPr>
      <w:r>
        <w:rPr>
          <w:b/>
          <w:bCs/>
          <w:kern w:val="0"/>
          <w:sz w:val="32"/>
          <w:szCs w:val="32"/>
        </w:rPr>
        <w:t>环境影响评价</w:t>
      </w:r>
      <w:r>
        <w:rPr>
          <w:rFonts w:hint="eastAsia"/>
          <w:b/>
          <w:bCs/>
          <w:kern w:val="0"/>
          <w:sz w:val="32"/>
          <w:szCs w:val="32"/>
        </w:rPr>
        <w:t>信息</w:t>
      </w:r>
      <w:r>
        <w:rPr>
          <w:b/>
          <w:bCs/>
          <w:kern w:val="0"/>
          <w:sz w:val="32"/>
          <w:szCs w:val="32"/>
        </w:rPr>
        <w:t>公示</w:t>
      </w:r>
    </w:p>
    <w:p w14:paraId="16866228">
      <w:pPr>
        <w:jc w:val="center"/>
        <w:rPr>
          <w:b/>
          <w:bCs/>
          <w:sz w:val="24"/>
        </w:rPr>
      </w:pPr>
    </w:p>
    <w:p w14:paraId="03C4F398">
      <w:pPr>
        <w:spacing w:line="360" w:lineRule="auto"/>
        <w:ind w:firstLine="480" w:firstLineChars="200"/>
        <w:outlineLvl w:val="0"/>
        <w:rPr>
          <w:color w:val="000000"/>
          <w:kern w:val="0"/>
          <w:sz w:val="24"/>
        </w:rPr>
      </w:pPr>
      <w:r>
        <w:rPr>
          <w:color w:val="000000"/>
          <w:kern w:val="0"/>
          <w:sz w:val="24"/>
        </w:rPr>
        <w:t>根据《中华人民共和国环境影响评价法》、《规划环境影响评价条例》、</w:t>
      </w:r>
      <w:r>
        <w:rPr>
          <w:sz w:val="24"/>
        </w:rPr>
        <w:t>《环境保护公众参与办法》</w:t>
      </w:r>
      <w:r>
        <w:rPr>
          <w:color w:val="000000"/>
          <w:kern w:val="0"/>
          <w:sz w:val="24"/>
        </w:rPr>
        <w:t>，现就</w:t>
      </w:r>
      <w:r>
        <w:rPr>
          <w:rFonts w:hint="eastAsia"/>
          <w:color w:val="000000"/>
          <w:kern w:val="0"/>
          <w:sz w:val="24"/>
        </w:rPr>
        <w:t>浙江岱山经济开发区（核心区）控制性详细规划</w:t>
      </w:r>
      <w:r>
        <w:rPr>
          <w:color w:val="000000"/>
          <w:kern w:val="0"/>
          <w:sz w:val="24"/>
        </w:rPr>
        <w:t xml:space="preserve">环境影响评价初步结论的信息进行公示，并进一步征求公众意见。 </w:t>
      </w:r>
    </w:p>
    <w:p w14:paraId="776F3EE5">
      <w:pPr>
        <w:spacing w:line="360" w:lineRule="auto"/>
        <w:outlineLvl w:val="0"/>
        <w:rPr>
          <w:b/>
          <w:sz w:val="24"/>
        </w:rPr>
      </w:pPr>
      <w:r>
        <w:rPr>
          <w:b/>
          <w:sz w:val="24"/>
        </w:rPr>
        <w:t>一、规划名称及概要</w:t>
      </w:r>
    </w:p>
    <w:p w14:paraId="347F1907">
      <w:pPr>
        <w:spacing w:line="360" w:lineRule="auto"/>
        <w:ind w:firstLine="480" w:firstLineChars="200"/>
        <w:rPr>
          <w:snapToGrid w:val="0"/>
          <w:color w:val="000000" w:themeColor="text1"/>
          <w:kern w:val="0"/>
          <w:sz w:val="24"/>
        </w:rPr>
      </w:pPr>
      <w:r>
        <w:rPr>
          <w:snapToGrid w:val="0"/>
          <w:color w:val="000000" w:themeColor="text1"/>
          <w:kern w:val="0"/>
          <w:sz w:val="24"/>
        </w:rPr>
        <w:t>规划名称：</w:t>
      </w:r>
      <w:r>
        <w:rPr>
          <w:rFonts w:hint="eastAsia"/>
          <w:snapToGrid w:val="0"/>
          <w:color w:val="000000" w:themeColor="text1"/>
          <w:kern w:val="0"/>
          <w:sz w:val="24"/>
        </w:rPr>
        <w:t>浙江岱山经济开发区（核心区）控制性详细规划</w:t>
      </w:r>
    </w:p>
    <w:p w14:paraId="6A222315">
      <w:pPr>
        <w:spacing w:line="360" w:lineRule="auto"/>
        <w:ind w:firstLine="480" w:firstLineChars="200"/>
        <w:rPr>
          <w:snapToGrid w:val="0"/>
          <w:kern w:val="0"/>
          <w:sz w:val="24"/>
        </w:rPr>
      </w:pPr>
      <w:r>
        <w:rPr>
          <w:snapToGrid w:val="0"/>
          <w:color w:val="000000" w:themeColor="text1"/>
          <w:kern w:val="0"/>
          <w:sz w:val="24"/>
        </w:rPr>
        <w:t>规划概况：为深入贯彻省委省政府要求和党的十九大精神，积极推进开发区整合提升工作，</w:t>
      </w:r>
      <w:r>
        <w:rPr>
          <w:rFonts w:hint="eastAsia"/>
          <w:snapToGrid w:val="0"/>
          <w:color w:val="000000" w:themeColor="text1"/>
          <w:kern w:val="0"/>
          <w:sz w:val="24"/>
        </w:rPr>
        <w:t>浙江岱山经济开发区</w:t>
      </w:r>
      <w:r>
        <w:rPr>
          <w:snapToGrid w:val="0"/>
          <w:color w:val="000000" w:themeColor="text1"/>
          <w:kern w:val="0"/>
          <w:sz w:val="24"/>
        </w:rPr>
        <w:t>管理委员会协同上海同济城市规划设计研究院有限公司和同济大学共同编制《</w:t>
      </w:r>
      <w:r>
        <w:rPr>
          <w:rFonts w:hint="eastAsia"/>
          <w:snapToGrid w:val="0"/>
          <w:color w:val="000000" w:themeColor="text1"/>
          <w:kern w:val="0"/>
          <w:sz w:val="24"/>
        </w:rPr>
        <w:t>浙江岱山经济开发区</w:t>
      </w:r>
      <w:r>
        <w:rPr>
          <w:snapToGrid w:val="0"/>
          <w:color w:val="000000" w:themeColor="text1"/>
          <w:kern w:val="0"/>
          <w:sz w:val="24"/>
        </w:rPr>
        <w:t>（核心区）控制性详细规划》，</w:t>
      </w:r>
      <w:r>
        <w:rPr>
          <w:sz w:val="24"/>
        </w:rPr>
        <w:t>本次规划分为两个片区，其中，南部片区规划面积由原控规的陆域8.96km</w:t>
      </w:r>
      <w:r>
        <w:rPr>
          <w:sz w:val="24"/>
          <w:vertAlign w:val="superscript"/>
        </w:rPr>
        <w:t>2</w:t>
      </w:r>
      <w:r>
        <w:rPr>
          <w:sz w:val="24"/>
        </w:rPr>
        <w:t>调整至陆域9.17km</w:t>
      </w:r>
      <w:r>
        <w:rPr>
          <w:sz w:val="24"/>
          <w:vertAlign w:val="superscript"/>
        </w:rPr>
        <w:t>2</w:t>
      </w:r>
      <w:r>
        <w:rPr>
          <w:sz w:val="24"/>
        </w:rPr>
        <w:t>，无海域面积。规划范围北至规划长欣西路-徐福大道-海工三路-徐福大道-海工五路-徐福大道-海缘路-海鑫路，南至海岸线，西至元宝山，东至磨心山。东沙片区规划总面积约2.98km</w:t>
      </w:r>
      <w:r>
        <w:rPr>
          <w:sz w:val="24"/>
          <w:vertAlign w:val="superscript"/>
        </w:rPr>
        <w:t>2</w:t>
      </w:r>
      <w:r>
        <w:rPr>
          <w:sz w:val="24"/>
        </w:rPr>
        <w:t>，规划范围东至工升路东侧沿线厂区、南至高双线南部村庄、西至盐田、北至东黄线</w:t>
      </w:r>
      <w:r>
        <w:rPr>
          <w:rFonts w:hint="eastAsia"/>
          <w:sz w:val="24"/>
        </w:rPr>
        <w:t>辅道</w:t>
      </w:r>
      <w:r>
        <w:rPr>
          <w:snapToGrid w:val="0"/>
          <w:color w:val="000000" w:themeColor="text1"/>
          <w:kern w:val="0"/>
          <w:sz w:val="24"/>
        </w:rPr>
        <w:t>。</w:t>
      </w:r>
    </w:p>
    <w:p w14:paraId="65157217">
      <w:pPr>
        <w:pStyle w:val="22"/>
        <w:spacing w:beforeLines="0"/>
        <w:ind w:firstLine="480"/>
        <w:rPr>
          <w:color w:val="000000" w:themeColor="text1"/>
        </w:rPr>
      </w:pPr>
      <w:r>
        <w:rPr>
          <w:color w:val="000000" w:themeColor="text1"/>
        </w:rPr>
        <w:t>总体定位：</w:t>
      </w:r>
      <w:bookmarkStart w:id="0" w:name="_bookmark27"/>
      <w:bookmarkEnd w:id="0"/>
      <w:r>
        <w:t>南部片区：通过“集群发展、链式发展、协同发展”，结合自贸区开放优势、绿色石化产业优势，建设本片区成为：国内先进的高端石化循环经济产业基地、长三角一体化中区域经济发展新增长极之一、舟山产城融合、贸易与产业内外循环交汇点、岱山产业高质量发展示范区。东沙片区：汽船配产业高地，汽船配技术服务业平台，特色海岛旅游目的地。</w:t>
      </w:r>
    </w:p>
    <w:p w14:paraId="4D66CC73">
      <w:pPr>
        <w:spacing w:line="360" w:lineRule="auto"/>
        <w:ind w:firstLine="480" w:firstLineChars="200"/>
        <w:rPr>
          <w:sz w:val="24"/>
        </w:rPr>
      </w:pPr>
      <w:r>
        <w:rPr>
          <w:sz w:val="24"/>
        </w:rPr>
        <w:t>规划结构：南部片区</w:t>
      </w:r>
      <w:r>
        <w:rPr>
          <w:rFonts w:hint="eastAsia"/>
          <w:sz w:val="24"/>
        </w:rPr>
        <w:t>：</w:t>
      </w:r>
      <w:r>
        <w:rPr>
          <w:sz w:val="24"/>
        </w:rPr>
        <w:t>规划形成“一</w:t>
      </w:r>
      <w:r>
        <w:rPr>
          <w:rFonts w:hint="eastAsia"/>
          <w:sz w:val="24"/>
        </w:rPr>
        <w:t>带两心四区</w:t>
      </w:r>
      <w:r>
        <w:rPr>
          <w:sz w:val="24"/>
        </w:rPr>
        <w:t>”的空间结构。</w:t>
      </w:r>
    </w:p>
    <w:p w14:paraId="348497B9">
      <w:pPr>
        <w:spacing w:line="360" w:lineRule="auto"/>
        <w:ind w:firstLine="480" w:firstLineChars="200"/>
        <w:rPr>
          <w:sz w:val="24"/>
        </w:rPr>
      </w:pPr>
      <w:r>
        <w:rPr>
          <w:sz w:val="24"/>
        </w:rPr>
        <w:t>“一心”：规划形成一个功能核心。由生态核心、商务商业中心、居住生活中心、行政办公中心组成的本片区服务中心。</w:t>
      </w:r>
    </w:p>
    <w:p w14:paraId="20B2F80B">
      <w:pPr>
        <w:spacing w:line="360" w:lineRule="auto"/>
        <w:ind w:firstLine="480" w:firstLineChars="200"/>
        <w:rPr>
          <w:sz w:val="24"/>
        </w:rPr>
      </w:pPr>
      <w:r>
        <w:rPr>
          <w:sz w:val="24"/>
        </w:rPr>
        <w:t>“一带”：沿长欣西路和徐福大道形成的沿海高端产业发展带，贯穿船舶与装备制造产业区、滨水宜居区、新材料研发产业区、海洋生物产业区，串联综合服务主中心、片区配套副中心，带动片区发展。</w:t>
      </w:r>
    </w:p>
    <w:p w14:paraId="1C663ED8">
      <w:pPr>
        <w:spacing w:line="360" w:lineRule="auto"/>
        <w:ind w:firstLine="480" w:firstLineChars="200"/>
        <w:rPr>
          <w:sz w:val="24"/>
        </w:rPr>
      </w:pPr>
      <w:r>
        <w:rPr>
          <w:sz w:val="24"/>
        </w:rPr>
        <w:t>“四区”：装备制造产业区、生活生产综合配套区、新材料研发产业区、海洋生物产业区。</w:t>
      </w:r>
    </w:p>
    <w:p w14:paraId="53E10655">
      <w:pPr>
        <w:spacing w:line="360" w:lineRule="auto"/>
        <w:ind w:firstLine="480" w:firstLineChars="200"/>
        <w:rPr>
          <w:sz w:val="24"/>
        </w:rPr>
      </w:pPr>
      <w:r>
        <w:rPr>
          <w:sz w:val="24"/>
        </w:rPr>
        <w:t>东沙片区</w:t>
      </w:r>
      <w:r>
        <w:rPr>
          <w:rFonts w:hint="eastAsia"/>
          <w:sz w:val="24"/>
        </w:rPr>
        <w:t>：</w:t>
      </w:r>
      <w:r>
        <w:rPr>
          <w:sz w:val="24"/>
        </w:rPr>
        <w:t>本片区功能结构规划为“两带两门户、一廊三区、一心两节点”。</w:t>
      </w:r>
    </w:p>
    <w:p w14:paraId="50925534">
      <w:pPr>
        <w:spacing w:line="360" w:lineRule="auto"/>
        <w:ind w:firstLine="480" w:firstLineChars="200"/>
        <w:rPr>
          <w:sz w:val="24"/>
        </w:rPr>
      </w:pPr>
      <w:r>
        <w:rPr>
          <w:sz w:val="24"/>
        </w:rPr>
        <w:t>“两带两门户”</w:t>
      </w:r>
      <w:r>
        <w:rPr>
          <w:rFonts w:hint="eastAsia"/>
          <w:sz w:val="24"/>
        </w:rPr>
        <w:t>：</w:t>
      </w:r>
      <w:r>
        <w:rPr>
          <w:sz w:val="24"/>
        </w:rPr>
        <w:t>以526国道支线与高双线作为贯穿特色小镇的主通道，联系各功能区，形成本片区的综合服务带；北入口门户：G526国道与其支线的交叉口，打造北入口形象；南入口门户：G526国道支线与高双线的交叉口，打造南入口形象。</w:t>
      </w:r>
    </w:p>
    <w:p w14:paraId="30C5D32B">
      <w:pPr>
        <w:spacing w:line="360" w:lineRule="auto"/>
        <w:ind w:firstLine="480" w:firstLineChars="200"/>
        <w:rPr>
          <w:sz w:val="24"/>
        </w:rPr>
      </w:pPr>
      <w:r>
        <w:rPr>
          <w:sz w:val="24"/>
        </w:rPr>
        <w:t>“</w:t>
      </w:r>
      <w:r>
        <w:rPr>
          <w:rFonts w:hint="eastAsia"/>
          <w:sz w:val="24"/>
        </w:rPr>
        <w:t>一廊三区</w:t>
      </w:r>
      <w:r>
        <w:rPr>
          <w:sz w:val="24"/>
        </w:rPr>
        <w:t>”</w:t>
      </w:r>
      <w:r>
        <w:rPr>
          <w:rFonts w:hint="eastAsia"/>
          <w:sz w:val="24"/>
        </w:rPr>
        <w:t>：</w:t>
      </w:r>
      <w:r>
        <w:rPr>
          <w:sz w:val="24"/>
        </w:rPr>
        <w:t>一廊：以中部的水系与滨水带状绿地为载体打造中部生态绿廊；三区：生活服务配套区、汽船配制造区和新材料应用制造区。</w:t>
      </w:r>
    </w:p>
    <w:p w14:paraId="1F453793">
      <w:pPr>
        <w:spacing w:line="360" w:lineRule="auto"/>
        <w:ind w:firstLine="480" w:firstLineChars="200"/>
        <w:rPr>
          <w:sz w:val="24"/>
        </w:rPr>
      </w:pPr>
      <w:r>
        <w:rPr>
          <w:sz w:val="24"/>
        </w:rPr>
        <w:t>“一心两节点”</w:t>
      </w:r>
      <w:r>
        <w:rPr>
          <w:rFonts w:hint="eastAsia"/>
          <w:sz w:val="24"/>
        </w:rPr>
        <w:t>：</w:t>
      </w:r>
      <w:r>
        <w:rPr>
          <w:sz w:val="24"/>
        </w:rPr>
        <w:t>一心：位于创业大道与高双线交叉口，为东沙片区配置生产服务设施以及十五分钟生活圈公共服务设施，打造综合服务中心。两节点：分别为产业区配置基层服务的十分钟生活圈公共服务设施。</w:t>
      </w:r>
    </w:p>
    <w:p w14:paraId="264A6A71">
      <w:pPr>
        <w:spacing w:line="360" w:lineRule="auto"/>
        <w:rPr>
          <w:color w:val="000000"/>
          <w:kern w:val="0"/>
          <w:sz w:val="24"/>
        </w:rPr>
      </w:pPr>
      <w:r>
        <w:rPr>
          <w:b/>
          <w:sz w:val="24"/>
        </w:rPr>
        <w:t>二、规划的环境影响分析</w:t>
      </w:r>
    </w:p>
    <w:p w14:paraId="0047ABF5">
      <w:pPr>
        <w:widowControl/>
        <w:spacing w:line="360" w:lineRule="auto"/>
        <w:ind w:firstLine="480"/>
        <w:rPr>
          <w:sz w:val="24"/>
        </w:rPr>
      </w:pPr>
      <w:r>
        <w:rPr>
          <w:sz w:val="24"/>
        </w:rPr>
        <w:t>1、环境空气</w:t>
      </w:r>
    </w:p>
    <w:p w14:paraId="3B70CFEA">
      <w:pPr>
        <w:spacing w:line="440" w:lineRule="exact"/>
        <w:ind w:firstLine="480" w:firstLineChars="200"/>
        <w:rPr>
          <w:snapToGrid w:val="0"/>
          <w:color w:val="000000"/>
          <w:kern w:val="0"/>
          <w:sz w:val="24"/>
        </w:rPr>
      </w:pPr>
      <w:bookmarkStart w:id="1" w:name="_Hlk497212826"/>
      <w:r>
        <w:rPr>
          <w:snapToGrid w:val="0"/>
          <w:color w:val="000000"/>
          <w:kern w:val="0"/>
          <w:sz w:val="24"/>
        </w:rPr>
        <w:t>①常规污染物SO</w:t>
      </w:r>
      <w:r>
        <w:rPr>
          <w:snapToGrid w:val="0"/>
          <w:color w:val="000000"/>
          <w:kern w:val="0"/>
          <w:sz w:val="24"/>
          <w:vertAlign w:val="subscript"/>
        </w:rPr>
        <w:t>2</w:t>
      </w:r>
      <w:r>
        <w:rPr>
          <w:snapToGrid w:val="0"/>
          <w:color w:val="000000"/>
          <w:kern w:val="0"/>
          <w:sz w:val="24"/>
        </w:rPr>
        <w:t>、NO</w:t>
      </w:r>
      <w:r>
        <w:rPr>
          <w:snapToGrid w:val="0"/>
          <w:color w:val="000000"/>
          <w:kern w:val="0"/>
          <w:sz w:val="24"/>
          <w:vertAlign w:val="subscript"/>
        </w:rPr>
        <w:t>X</w:t>
      </w:r>
    </w:p>
    <w:p w14:paraId="218DECC0">
      <w:pPr>
        <w:spacing w:line="440" w:lineRule="exact"/>
        <w:ind w:firstLine="480" w:firstLineChars="200"/>
        <w:rPr>
          <w:snapToGrid w:val="0"/>
          <w:color w:val="000000"/>
          <w:kern w:val="0"/>
          <w:sz w:val="24"/>
        </w:rPr>
      </w:pPr>
      <w:r>
        <w:rPr>
          <w:rFonts w:hint="eastAsia"/>
          <w:snapToGrid w:val="0"/>
          <w:kern w:val="0"/>
          <w:sz w:val="24"/>
        </w:rPr>
        <w:t>规划</w:t>
      </w:r>
      <w:r>
        <w:rPr>
          <w:snapToGrid w:val="0"/>
          <w:kern w:val="0"/>
          <w:sz w:val="24"/>
        </w:rPr>
        <w:t>末期SO</w:t>
      </w:r>
      <w:r>
        <w:rPr>
          <w:snapToGrid w:val="0"/>
          <w:kern w:val="0"/>
          <w:sz w:val="24"/>
          <w:vertAlign w:val="subscript"/>
        </w:rPr>
        <w:t>2</w:t>
      </w:r>
      <w:r>
        <w:rPr>
          <w:snapToGrid w:val="0"/>
          <w:kern w:val="0"/>
          <w:sz w:val="24"/>
        </w:rPr>
        <w:t>、NOx排放量稍有增加，主要是因为开发规模的进一步扩大，另一方面因区域天然气等清洁能源的推广，污染物排放新增不多，总体而言，对周边大气环境影响不大。</w:t>
      </w:r>
    </w:p>
    <w:p w14:paraId="458189FE">
      <w:pPr>
        <w:spacing w:line="440" w:lineRule="exact"/>
        <w:ind w:firstLine="480" w:firstLineChars="200"/>
        <w:rPr>
          <w:snapToGrid w:val="0"/>
          <w:color w:val="000000"/>
          <w:kern w:val="0"/>
          <w:sz w:val="24"/>
        </w:rPr>
      </w:pPr>
      <w:r>
        <w:rPr>
          <w:snapToGrid w:val="0"/>
          <w:color w:val="000000"/>
          <w:kern w:val="0"/>
          <w:sz w:val="24"/>
        </w:rPr>
        <w:t>②常规污染物颗粒物</w:t>
      </w:r>
    </w:p>
    <w:p w14:paraId="41BE58C5">
      <w:pPr>
        <w:spacing w:line="440" w:lineRule="exact"/>
        <w:ind w:firstLine="480" w:firstLineChars="200"/>
        <w:rPr>
          <w:snapToGrid w:val="0"/>
          <w:color w:val="000000"/>
          <w:kern w:val="0"/>
          <w:sz w:val="24"/>
        </w:rPr>
      </w:pPr>
      <w:r>
        <w:rPr>
          <w:snapToGrid w:val="0"/>
          <w:color w:val="000000"/>
          <w:kern w:val="0"/>
          <w:sz w:val="24"/>
        </w:rPr>
        <w:t>规划实施后烟粉尘排放量稍有增加，同时颗粒物污染的来源除烟尘外，另外还包括工业粉尘和地面扬尘污染。目前一般来说烟尘和工业粉尘污染在TSP贡献中逐年降低，而地面扬尘污染逐年加大，占贡献值50%以上。因此对各个污染源，尤其是扬尘污染源仍需加以重视。</w:t>
      </w:r>
    </w:p>
    <w:p w14:paraId="6145CDB1">
      <w:pPr>
        <w:spacing w:line="440" w:lineRule="exact"/>
        <w:ind w:firstLine="480" w:firstLineChars="200"/>
        <w:rPr>
          <w:snapToGrid w:val="0"/>
          <w:color w:val="000000"/>
          <w:kern w:val="0"/>
          <w:sz w:val="24"/>
        </w:rPr>
      </w:pPr>
      <w:r>
        <w:rPr>
          <w:snapToGrid w:val="0"/>
          <w:color w:val="000000"/>
          <w:kern w:val="0"/>
          <w:sz w:val="24"/>
        </w:rPr>
        <w:fldChar w:fldCharType="begin"/>
      </w:r>
      <w:r>
        <w:rPr>
          <w:snapToGrid w:val="0"/>
          <w:color w:val="000000"/>
          <w:kern w:val="0"/>
          <w:sz w:val="24"/>
        </w:rPr>
        <w:instrText xml:space="preserve"> = 3 \* GB3 </w:instrText>
      </w:r>
      <w:r>
        <w:rPr>
          <w:snapToGrid w:val="0"/>
          <w:color w:val="000000"/>
          <w:kern w:val="0"/>
          <w:sz w:val="24"/>
        </w:rPr>
        <w:fldChar w:fldCharType="separate"/>
      </w:r>
      <w:r>
        <w:rPr>
          <w:snapToGrid w:val="0"/>
          <w:color w:val="000000"/>
          <w:kern w:val="0"/>
          <w:sz w:val="24"/>
        </w:rPr>
        <w:t>③</w:t>
      </w:r>
      <w:r>
        <w:rPr>
          <w:snapToGrid w:val="0"/>
          <w:color w:val="000000"/>
          <w:kern w:val="0"/>
          <w:sz w:val="24"/>
        </w:rPr>
        <w:fldChar w:fldCharType="end"/>
      </w:r>
      <w:r>
        <w:rPr>
          <w:snapToGrid w:val="0"/>
          <w:color w:val="000000"/>
          <w:kern w:val="0"/>
          <w:sz w:val="24"/>
        </w:rPr>
        <w:t>特征污染物</w:t>
      </w:r>
    </w:p>
    <w:p w14:paraId="23282E42">
      <w:pPr>
        <w:spacing w:line="360" w:lineRule="auto"/>
        <w:ind w:firstLine="480" w:firstLineChars="200"/>
        <w:rPr>
          <w:snapToGrid w:val="0"/>
          <w:kern w:val="0"/>
          <w:sz w:val="24"/>
        </w:rPr>
      </w:pPr>
      <w:r>
        <w:rPr>
          <w:snapToGrid w:val="0"/>
          <w:color w:val="000000"/>
          <w:kern w:val="0"/>
          <w:sz w:val="24"/>
        </w:rPr>
        <w:t>V</w:t>
      </w:r>
      <w:bookmarkEnd w:id="1"/>
      <w:r>
        <w:rPr>
          <w:snapToGrid w:val="0"/>
          <w:kern w:val="0"/>
          <w:sz w:val="24"/>
        </w:rPr>
        <w:t>OCs：规划区废气特征污染物主要为VOCs，来源于开发区化工企业，涂装企业，少量来自于印刷企业，因VOCs治理工艺逐步整改优化，VOCs排放量新增不多。本评价要求落实</w:t>
      </w:r>
      <w:r>
        <w:rPr>
          <w:sz w:val="24"/>
          <w:shd w:val="clear" w:color="auto" w:fill="FFFFFF"/>
        </w:rPr>
        <w:t>《浙江省生态环境厅、浙江省发展和改革委员会、浙江省经济和信息化厅、浙江省住房和城乡建设厅、浙江省交通运输厅、浙江省市场监督管理局、国家税务总局浙江省税务局关于印发浙江省</w:t>
      </w:r>
      <w:r>
        <w:rPr>
          <w:rFonts w:hint="eastAsia"/>
          <w:sz w:val="24"/>
          <w:shd w:val="clear" w:color="auto" w:fill="FFFFFF"/>
        </w:rPr>
        <w:t>“</w:t>
      </w:r>
      <w:bookmarkStart w:id="12" w:name="_GoBack"/>
      <w:bookmarkEnd w:id="12"/>
      <w:r>
        <w:rPr>
          <w:sz w:val="24"/>
          <w:shd w:val="clear" w:color="auto" w:fill="FFFFFF"/>
        </w:rPr>
        <w:t>十四五</w:t>
      </w:r>
      <w:r>
        <w:rPr>
          <w:rFonts w:hint="eastAsia"/>
          <w:sz w:val="24"/>
          <w:shd w:val="clear" w:color="auto" w:fill="FFFFFF"/>
        </w:rPr>
        <w:t>”</w:t>
      </w:r>
      <w:r>
        <w:rPr>
          <w:sz w:val="24"/>
          <w:shd w:val="clear" w:color="auto" w:fill="FFFFFF"/>
        </w:rPr>
        <w:t>挥发性有机物综合治理方案的通知》（浙环发〔2021〕10号）等</w:t>
      </w:r>
      <w:r>
        <w:rPr>
          <w:snapToGrid w:val="0"/>
          <w:kern w:val="0"/>
          <w:sz w:val="24"/>
        </w:rPr>
        <w:t>关于挥发性有机废气的治理要求，有机废气排放对周边大气环境影响将逐步降低，有利于周边大气环境保护。</w:t>
      </w:r>
    </w:p>
    <w:p w14:paraId="2CDA21DA">
      <w:pPr>
        <w:widowControl/>
        <w:spacing w:line="360" w:lineRule="auto"/>
        <w:ind w:firstLine="480"/>
        <w:rPr>
          <w:sz w:val="24"/>
        </w:rPr>
      </w:pPr>
      <w:r>
        <w:rPr>
          <w:snapToGrid w:val="0"/>
          <w:kern w:val="0"/>
          <w:sz w:val="24"/>
        </w:rPr>
        <w:t>恶臭废气：</w:t>
      </w:r>
      <w:bookmarkStart w:id="2" w:name="_Toc20868"/>
      <w:bookmarkStart w:id="3" w:name="_Toc22234"/>
      <w:bookmarkStart w:id="4" w:name="_Toc20209"/>
      <w:bookmarkStart w:id="5" w:name="_Toc29363"/>
      <w:bookmarkStart w:id="6" w:name="_Toc18047"/>
      <w:bookmarkStart w:id="7" w:name="_Toc32080"/>
      <w:r>
        <w:rPr>
          <w:snapToGrid w:val="0"/>
          <w:kern w:val="0"/>
          <w:sz w:val="24"/>
        </w:rPr>
        <w:t>水产类产业一般有恶臭气体排放，另外其他产业配套的污水站也排放一定量的恶臭气体。本评价要求开发区加强恶臭废气管理，关注恶臭废气企业选址、布局，并监督企业落实相应的收集处理措施，在此基础上，恶臭废气对周边环境影响不大。</w:t>
      </w:r>
      <w:bookmarkEnd w:id="2"/>
      <w:bookmarkEnd w:id="3"/>
      <w:bookmarkEnd w:id="4"/>
      <w:bookmarkEnd w:id="5"/>
      <w:bookmarkEnd w:id="6"/>
      <w:bookmarkEnd w:id="7"/>
    </w:p>
    <w:p w14:paraId="715005D2">
      <w:pPr>
        <w:widowControl/>
        <w:spacing w:line="360" w:lineRule="auto"/>
        <w:ind w:firstLine="480"/>
        <w:rPr>
          <w:sz w:val="24"/>
        </w:rPr>
      </w:pPr>
      <w:r>
        <w:rPr>
          <w:sz w:val="24"/>
        </w:rPr>
        <w:t>2、地表水环境</w:t>
      </w:r>
    </w:p>
    <w:p w14:paraId="3510A42A">
      <w:pPr>
        <w:pStyle w:val="20"/>
        <w:ind w:firstLine="480"/>
        <w:jc w:val="left"/>
      </w:pPr>
      <w:bookmarkStart w:id="8" w:name="_Hlk508005362"/>
      <w:r>
        <w:t>根据规划，规划区内所有污水经预处理后，均排入市政污水管网，进污水处理厂处理。规划区污水，不得排入周边地表水体，因此正常情况不会对地表水体产生不良的污染影响。</w:t>
      </w:r>
    </w:p>
    <w:p w14:paraId="1800D2F2">
      <w:pPr>
        <w:pStyle w:val="20"/>
        <w:ind w:firstLine="480"/>
        <w:jc w:val="left"/>
      </w:pPr>
      <w:r>
        <w:t>岱山经济开发区新材料产业园污水厂目前已建成，处于前期调试运行阶段，尚未进行竣工环保验收。处理规模为1万m3/d，处理岱山经济开发区新材料产业区块和综合拓展区企业废水，该类水质性质较为复杂，污水处理工艺应经过综合论证，以保证污水处理厂的工艺针对性、可行性和可达性。</w:t>
      </w:r>
    </w:p>
    <w:p w14:paraId="32CC5D86">
      <w:pPr>
        <w:pStyle w:val="20"/>
        <w:ind w:firstLine="480"/>
        <w:jc w:val="left"/>
      </w:pPr>
      <w:r>
        <w:t>规划区不在岱南平地水库水库的饮用水源保护区范围内，污水管线也不经过上述区域，故本项目污水排放对水库无影响。</w:t>
      </w:r>
    </w:p>
    <w:p w14:paraId="0E3F9ADD">
      <w:pPr>
        <w:pStyle w:val="20"/>
        <w:ind w:firstLine="480"/>
        <w:jc w:val="left"/>
      </w:pPr>
      <w:r>
        <w:t>本规划污水处理厂清洁化改造后可达到《城镇污水处理厂主要水污染物排放标准》（DB33/2169-2018），有利于改善周边水体环境质量。</w:t>
      </w:r>
    </w:p>
    <w:bookmarkEnd w:id="8"/>
    <w:p w14:paraId="0F11E8B1">
      <w:pPr>
        <w:pStyle w:val="20"/>
        <w:ind w:firstLine="480"/>
        <w:jc w:val="left"/>
      </w:pPr>
      <w:r>
        <w:t>3、地下水环境</w:t>
      </w:r>
    </w:p>
    <w:p w14:paraId="7BEE60BC">
      <w:pPr>
        <w:pStyle w:val="20"/>
        <w:ind w:firstLine="480"/>
        <w:jc w:val="left"/>
      </w:pPr>
      <w:r>
        <w:t>总体而言，开发区企业若防护措施到位，理论上不会造成地下水环境污染，仅从风险的角度讲存在地下水环境污染的风险，因此，本环评从环境保护的角度提出措施：各入区企业必须严格按照《一般工业固体废物贮存和填埋污染控制标准》（GB18599-2020）、《危险废物贮存污染控制标准》（GB18597-2001）及修改单（环保部公告 2013年第36号）等有关要求，做好各类固废在厂内的暂存和最终处置工作，在此前提下，规划实施后对地下水环境影响较小。</w:t>
      </w:r>
    </w:p>
    <w:p w14:paraId="66D0F2A3">
      <w:pPr>
        <w:pStyle w:val="20"/>
        <w:ind w:firstLine="480"/>
        <w:jc w:val="left"/>
      </w:pPr>
      <w:r>
        <w:t>4、固体废物</w:t>
      </w:r>
    </w:p>
    <w:p w14:paraId="0C7C1FEB">
      <w:pPr>
        <w:widowControl/>
        <w:spacing w:line="360" w:lineRule="auto"/>
        <w:ind w:firstLine="480"/>
        <w:rPr>
          <w:sz w:val="24"/>
        </w:rPr>
      </w:pPr>
      <w:r>
        <w:rPr>
          <w:sz w:val="24"/>
        </w:rPr>
        <w:t>开发区规划实施后新增的生活垃圾、一般固废和危险废物均没有超出各处置设施的处理能力范围，可得到妥善处理，只要加强收集处置过程的环境管理，不会对环境造成大的影响。</w:t>
      </w:r>
    </w:p>
    <w:p w14:paraId="2D93CDCD">
      <w:pPr>
        <w:pStyle w:val="20"/>
        <w:ind w:firstLine="480"/>
        <w:jc w:val="left"/>
      </w:pPr>
      <w:r>
        <w:t>5、声环境</w:t>
      </w:r>
    </w:p>
    <w:p w14:paraId="318C7F5B">
      <w:pPr>
        <w:pStyle w:val="20"/>
        <w:ind w:firstLine="480"/>
        <w:jc w:val="left"/>
      </w:pPr>
      <w:r>
        <w:t>针对开发区污染特点而言，噪声影响一般远小于废气污染物排放的影响，但由于开发区有居住区分布，开发区应加强对噪声的控制。为确保开发区内噪声功能区达标，入驻企业前期应优化布局，同时应采取相应隔声降噪措施，确保自身厂界噪声达标。同时加强交通噪声的控制和管理，城区和居住区内严禁鸣笛。只要按照规划要求以及采取一定的工程措施进行控制，噪声影响可控制在允许范围之内。</w:t>
      </w:r>
    </w:p>
    <w:p w14:paraId="15DC2304">
      <w:pPr>
        <w:pStyle w:val="20"/>
        <w:ind w:firstLine="480"/>
        <w:jc w:val="left"/>
      </w:pPr>
      <w:r>
        <w:t>6、土壤环境</w:t>
      </w:r>
    </w:p>
    <w:p w14:paraId="658F9F84">
      <w:pPr>
        <w:pStyle w:val="20"/>
        <w:ind w:firstLine="480"/>
        <w:jc w:val="left"/>
        <w:rPr>
          <w:color w:val="000000"/>
        </w:rPr>
      </w:pPr>
      <w:r>
        <w:t>开发区内及周边土壤环境各评价因子均能满足相关风险管控标准限值，土壤污染风险一般情况下可以忽略。要求现有企业及新进企业切实落实各项土壤污染防治措施及风险防治措施，做好各类设施及地面的防腐、防渗措施，加强治理设施运行维护。</w:t>
      </w:r>
    </w:p>
    <w:p w14:paraId="1BA73616">
      <w:pPr>
        <w:widowControl/>
        <w:spacing w:line="360" w:lineRule="auto"/>
        <w:ind w:firstLine="480" w:firstLineChars="200"/>
        <w:rPr>
          <w:snapToGrid w:val="0"/>
          <w:sz w:val="24"/>
        </w:rPr>
      </w:pPr>
      <w:r>
        <w:rPr>
          <w:snapToGrid w:val="0"/>
          <w:sz w:val="24"/>
        </w:rPr>
        <w:t>7</w:t>
      </w:r>
      <w:r>
        <w:rPr>
          <w:rFonts w:hint="eastAsia"/>
          <w:snapToGrid w:val="0"/>
          <w:sz w:val="24"/>
        </w:rPr>
        <w:t>、</w:t>
      </w:r>
      <w:r>
        <w:rPr>
          <w:snapToGrid w:val="0"/>
          <w:sz w:val="24"/>
        </w:rPr>
        <w:t>生态环境</w:t>
      </w:r>
    </w:p>
    <w:p w14:paraId="102A4652">
      <w:pPr>
        <w:widowControl/>
        <w:spacing w:line="360" w:lineRule="auto"/>
        <w:ind w:firstLine="480" w:firstLineChars="200"/>
        <w:jc w:val="left"/>
        <w:rPr>
          <w:sz w:val="24"/>
        </w:rPr>
      </w:pPr>
      <w:r>
        <w:rPr>
          <w:sz w:val="24"/>
        </w:rPr>
        <w:t>规划区属于工业园区，至1992年成立以来，开发程度已经较高。通过对规划区及周边环境的详细踏勘，并收集环保、林业、规划、国土等相关部门资料，规划范围内不涉及红线，也不涉及森林公园、湿地公园等生态敏感区。</w:t>
      </w:r>
    </w:p>
    <w:p w14:paraId="489A6C3C">
      <w:pPr>
        <w:widowControl/>
        <w:spacing w:line="360" w:lineRule="auto"/>
        <w:ind w:firstLine="480" w:firstLineChars="200"/>
        <w:jc w:val="left"/>
        <w:rPr>
          <w:snapToGrid w:val="0"/>
          <w:kern w:val="0"/>
          <w:sz w:val="24"/>
        </w:rPr>
      </w:pPr>
      <w:r>
        <w:rPr>
          <w:snapToGrid w:val="0"/>
          <w:kern w:val="0"/>
          <w:sz w:val="24"/>
        </w:rPr>
        <w:t>8</w:t>
      </w:r>
      <w:r>
        <w:rPr>
          <w:rFonts w:hint="eastAsia"/>
          <w:snapToGrid w:val="0"/>
          <w:kern w:val="0"/>
          <w:sz w:val="24"/>
        </w:rPr>
        <w:t>、</w:t>
      </w:r>
      <w:r>
        <w:rPr>
          <w:snapToGrid w:val="0"/>
          <w:kern w:val="0"/>
          <w:sz w:val="24"/>
        </w:rPr>
        <w:t>人群健康</w:t>
      </w:r>
    </w:p>
    <w:p w14:paraId="7CB35974">
      <w:pPr>
        <w:widowControl/>
        <w:spacing w:line="360" w:lineRule="auto"/>
        <w:ind w:firstLine="480" w:firstLineChars="200"/>
        <w:jc w:val="left"/>
        <w:rPr>
          <w:kern w:val="0"/>
          <w:sz w:val="24"/>
        </w:rPr>
      </w:pPr>
      <w:r>
        <w:rPr>
          <w:kern w:val="0"/>
          <w:sz w:val="24"/>
        </w:rPr>
        <w:t>开发区现状对人群健康影响风险较大的主要污染源为电镀企业，主要污染物为重金属铬及六价铬。根据现场调查情况可知，电镀企业针对电镀废水均采用分类分质收集处理，电镀废水输送采用明沟套明管，车间地面均按照规范进行防腐防渗处理，因此一般正常情况，重金属不会进入土壤或地下水，对人群健康产生长期或短期的不利影响。</w:t>
      </w:r>
    </w:p>
    <w:p w14:paraId="0E0C9C1B">
      <w:pPr>
        <w:widowControl/>
        <w:spacing w:line="360" w:lineRule="auto"/>
        <w:ind w:firstLine="480" w:firstLineChars="200"/>
        <w:jc w:val="left"/>
        <w:rPr>
          <w:snapToGrid w:val="0"/>
          <w:kern w:val="0"/>
          <w:sz w:val="24"/>
        </w:rPr>
      </w:pPr>
      <w:r>
        <w:rPr>
          <w:snapToGrid w:val="0"/>
          <w:kern w:val="0"/>
          <w:sz w:val="24"/>
        </w:rPr>
        <w:t>9</w:t>
      </w:r>
      <w:r>
        <w:rPr>
          <w:rFonts w:hint="eastAsia"/>
          <w:snapToGrid w:val="0"/>
          <w:kern w:val="0"/>
          <w:sz w:val="24"/>
        </w:rPr>
        <w:t>、</w:t>
      </w:r>
      <w:r>
        <w:rPr>
          <w:snapToGrid w:val="0"/>
          <w:kern w:val="0"/>
          <w:sz w:val="24"/>
        </w:rPr>
        <w:t>环境风险</w:t>
      </w:r>
    </w:p>
    <w:p w14:paraId="4390F027">
      <w:pPr>
        <w:widowControl/>
        <w:spacing w:line="360" w:lineRule="auto"/>
        <w:ind w:firstLine="480"/>
        <w:rPr>
          <w:color w:val="000000"/>
          <w:kern w:val="0"/>
          <w:sz w:val="24"/>
        </w:rPr>
      </w:pPr>
      <w:r>
        <w:rPr>
          <w:kern w:val="0"/>
          <w:sz w:val="24"/>
        </w:rPr>
        <w:t>开发区在生产环节中，存在生产装置事故问题、人员操作失误等各种情况，风险事故是客观存在的，其潜在危害亦是较大的。尽管随着科技的进步和生产水平的提高，事故发生率在减少，防抗灾能力在提高，但仍需要引起高度重视。根据调查核实可知，开发区现有部分企业已经编制应急预案，基本涵盖风险企业，应加强应急预案管理，落实经济措施，定期要求企业进行演习和修编。同时要求未编制应急预案的企业尽快落实相关相关文件要求，加强企业应急预案管理。</w:t>
      </w:r>
    </w:p>
    <w:p w14:paraId="2C236121">
      <w:pPr>
        <w:widowControl/>
        <w:spacing w:line="360" w:lineRule="auto"/>
        <w:outlineLvl w:val="0"/>
        <w:rPr>
          <w:b/>
          <w:sz w:val="24"/>
        </w:rPr>
      </w:pPr>
      <w:r>
        <w:rPr>
          <w:rFonts w:hint="eastAsia"/>
          <w:b/>
          <w:sz w:val="24"/>
        </w:rPr>
        <w:t>三、</w:t>
      </w:r>
      <w:r>
        <w:rPr>
          <w:b/>
          <w:sz w:val="24"/>
        </w:rPr>
        <w:t>预防或者减轻不良环境影响的对策和措施</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8"/>
        <w:gridCol w:w="500"/>
        <w:gridCol w:w="8629"/>
      </w:tblGrid>
      <w:tr w14:paraId="4B8E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7" w:hRule="atLeast"/>
          <w:tblHeader/>
          <w:jc w:val="center"/>
        </w:trPr>
        <w:tc>
          <w:tcPr>
            <w:tcW w:w="509" w:type="pct"/>
            <w:gridSpan w:val="2"/>
            <w:vAlign w:val="center"/>
          </w:tcPr>
          <w:p w14:paraId="3C7C8590">
            <w:pPr>
              <w:jc w:val="center"/>
              <w:rPr>
                <w:szCs w:val="21"/>
              </w:rPr>
            </w:pPr>
            <w:r>
              <w:rPr>
                <w:szCs w:val="21"/>
              </w:rPr>
              <w:t>类型</w:t>
            </w:r>
          </w:p>
        </w:tc>
        <w:tc>
          <w:tcPr>
            <w:tcW w:w="4490" w:type="pct"/>
            <w:vAlign w:val="center"/>
          </w:tcPr>
          <w:p w14:paraId="1D3CD1B9">
            <w:pPr>
              <w:jc w:val="center"/>
              <w:rPr>
                <w:szCs w:val="21"/>
              </w:rPr>
            </w:pPr>
            <w:r>
              <w:rPr>
                <w:szCs w:val="21"/>
              </w:rPr>
              <w:t>主要措施</w:t>
            </w:r>
          </w:p>
        </w:tc>
      </w:tr>
      <w:tr w14:paraId="714B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9" w:type="pct"/>
            <w:gridSpan w:val="2"/>
            <w:vAlign w:val="center"/>
          </w:tcPr>
          <w:p w14:paraId="171B1FB1">
            <w:pPr>
              <w:jc w:val="center"/>
              <w:rPr>
                <w:snapToGrid w:val="0"/>
                <w:kern w:val="0"/>
                <w:szCs w:val="21"/>
              </w:rPr>
            </w:pPr>
            <w:r>
              <w:rPr>
                <w:snapToGrid w:val="0"/>
                <w:kern w:val="0"/>
                <w:szCs w:val="21"/>
              </w:rPr>
              <w:t>土地</w:t>
            </w:r>
          </w:p>
          <w:p w14:paraId="0212D00D">
            <w:pPr>
              <w:jc w:val="center"/>
              <w:rPr>
                <w:szCs w:val="21"/>
              </w:rPr>
            </w:pPr>
            <w:r>
              <w:rPr>
                <w:snapToGrid w:val="0"/>
                <w:kern w:val="0"/>
                <w:szCs w:val="21"/>
              </w:rPr>
              <w:t>资源</w:t>
            </w:r>
          </w:p>
        </w:tc>
        <w:tc>
          <w:tcPr>
            <w:tcW w:w="4490" w:type="pct"/>
            <w:vAlign w:val="center"/>
          </w:tcPr>
          <w:p w14:paraId="636BEF59">
            <w:pPr>
              <w:rPr>
                <w:snapToGrid w:val="0"/>
                <w:kern w:val="0"/>
                <w:szCs w:val="21"/>
              </w:rPr>
            </w:pPr>
            <w:r>
              <w:rPr>
                <w:snapToGrid w:val="0"/>
                <w:kern w:val="0"/>
                <w:szCs w:val="21"/>
              </w:rPr>
              <w:t>（1）</w:t>
            </w:r>
            <w:r>
              <w:rPr>
                <w:szCs w:val="21"/>
              </w:rPr>
              <w:t>严格执行土地集约开发的原则，控制规划区块建设用地规模，积极推广“空间经济、立体经济”模式</w:t>
            </w:r>
            <w:r>
              <w:rPr>
                <w:snapToGrid w:val="0"/>
                <w:kern w:val="0"/>
                <w:szCs w:val="21"/>
              </w:rPr>
              <w:t>。</w:t>
            </w:r>
          </w:p>
          <w:p w14:paraId="3EEEECA3">
            <w:pPr>
              <w:rPr>
                <w:snapToGrid w:val="0"/>
                <w:kern w:val="0"/>
                <w:szCs w:val="21"/>
              </w:rPr>
            </w:pPr>
            <w:r>
              <w:rPr>
                <w:snapToGrid w:val="0"/>
                <w:kern w:val="0"/>
                <w:szCs w:val="21"/>
              </w:rPr>
              <w:t>（2）</w:t>
            </w:r>
            <w:r>
              <w:rPr>
                <w:szCs w:val="21"/>
              </w:rPr>
              <w:t>按照布局集中、产业集聚、用地集约的原则，优化开发区空间布局，突出生产功能。</w:t>
            </w:r>
          </w:p>
          <w:p w14:paraId="74BA7202">
            <w:pPr>
              <w:rPr>
                <w:snapToGrid w:val="0"/>
                <w:kern w:val="0"/>
                <w:szCs w:val="21"/>
              </w:rPr>
            </w:pPr>
            <w:r>
              <w:rPr>
                <w:snapToGrid w:val="0"/>
                <w:kern w:val="0"/>
                <w:szCs w:val="21"/>
              </w:rPr>
              <w:t>（3）</w:t>
            </w:r>
            <w:r>
              <w:rPr>
                <w:szCs w:val="21"/>
              </w:rPr>
              <w:t>强化工业用地全生命周期管理，严把“四道关口</w:t>
            </w:r>
            <w:r>
              <w:rPr>
                <w:snapToGrid w:val="0"/>
                <w:kern w:val="0"/>
                <w:szCs w:val="21"/>
              </w:rPr>
              <w:t>。</w:t>
            </w:r>
          </w:p>
          <w:p w14:paraId="56D35B5C">
            <w:pPr>
              <w:rPr>
                <w:snapToGrid w:val="0"/>
                <w:kern w:val="0"/>
                <w:szCs w:val="21"/>
              </w:rPr>
            </w:pPr>
            <w:r>
              <w:rPr>
                <w:snapToGrid w:val="0"/>
                <w:kern w:val="0"/>
                <w:szCs w:val="21"/>
              </w:rPr>
              <w:t>（4）</w:t>
            </w:r>
            <w:r>
              <w:rPr>
                <w:szCs w:val="21"/>
              </w:rPr>
              <w:t>深入贯彻实施《岱山县人民政府办公室关于印发工业企业综合评价办法的通知》、《岱山县工业项目用地全生命周期管理实施意见》，深化“亩均论英雄”改革</w:t>
            </w:r>
            <w:r>
              <w:rPr>
                <w:snapToGrid w:val="0"/>
                <w:kern w:val="0"/>
                <w:szCs w:val="21"/>
              </w:rPr>
              <w:t>。</w:t>
            </w:r>
          </w:p>
          <w:p w14:paraId="7605E167">
            <w:pPr>
              <w:rPr>
                <w:szCs w:val="21"/>
              </w:rPr>
            </w:pPr>
            <w:r>
              <w:rPr>
                <w:snapToGrid w:val="0"/>
                <w:kern w:val="0"/>
                <w:szCs w:val="21"/>
              </w:rPr>
              <w:t>（5）与岱山县国土空间总体规划充分衔接，发挥国土空间规划对土地资源要素保障的引导、统筹和控制作用，根据国土空间规划调整用地性质，控制开发进度。</w:t>
            </w:r>
          </w:p>
        </w:tc>
      </w:tr>
      <w:tr w14:paraId="5484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9" w:type="pct"/>
            <w:gridSpan w:val="2"/>
            <w:vAlign w:val="center"/>
          </w:tcPr>
          <w:p w14:paraId="56F725B5">
            <w:pPr>
              <w:jc w:val="center"/>
              <w:rPr>
                <w:szCs w:val="21"/>
              </w:rPr>
            </w:pPr>
            <w:r>
              <w:rPr>
                <w:snapToGrid w:val="0"/>
                <w:kern w:val="0"/>
                <w:szCs w:val="21"/>
              </w:rPr>
              <w:t>水资源</w:t>
            </w:r>
          </w:p>
        </w:tc>
        <w:tc>
          <w:tcPr>
            <w:tcW w:w="4490" w:type="pct"/>
            <w:vAlign w:val="center"/>
          </w:tcPr>
          <w:p w14:paraId="6B47B748">
            <w:pPr>
              <w:rPr>
                <w:snapToGrid w:val="0"/>
                <w:kern w:val="0"/>
                <w:szCs w:val="21"/>
              </w:rPr>
            </w:pPr>
            <w:r>
              <w:rPr>
                <w:snapToGrid w:val="0"/>
                <w:kern w:val="0"/>
                <w:szCs w:val="21"/>
              </w:rPr>
              <w:t>（1）</w:t>
            </w:r>
            <w:r>
              <w:rPr>
                <w:szCs w:val="21"/>
              </w:rPr>
              <w:t>持续深入开展“五水共治”“污水零直排”工作，</w:t>
            </w:r>
            <w:r>
              <w:rPr>
                <w:snapToGrid w:val="0"/>
                <w:kern w:val="0"/>
                <w:szCs w:val="21"/>
              </w:rPr>
              <w:t>在企业生产及日常生活中全方位推行节水技术、工艺和设备。</w:t>
            </w:r>
          </w:p>
          <w:p w14:paraId="4D3D0218">
            <w:pPr>
              <w:rPr>
                <w:snapToGrid w:val="0"/>
                <w:kern w:val="0"/>
                <w:szCs w:val="21"/>
              </w:rPr>
            </w:pPr>
            <w:r>
              <w:rPr>
                <w:snapToGrid w:val="0"/>
                <w:kern w:val="0"/>
                <w:szCs w:val="21"/>
              </w:rPr>
              <w:t>（2）</w:t>
            </w:r>
            <w:r>
              <w:rPr>
                <w:szCs w:val="21"/>
              </w:rPr>
              <w:t>结合规划实施，逐步推动高水耗、高排放行业和企业的升级改造和调整退出</w:t>
            </w:r>
            <w:r>
              <w:rPr>
                <w:snapToGrid w:val="0"/>
                <w:kern w:val="0"/>
                <w:szCs w:val="21"/>
              </w:rPr>
              <w:t>。</w:t>
            </w:r>
          </w:p>
          <w:p w14:paraId="0F977438">
            <w:pPr>
              <w:rPr>
                <w:szCs w:val="21"/>
              </w:rPr>
            </w:pPr>
            <w:r>
              <w:rPr>
                <w:snapToGrid w:val="0"/>
                <w:kern w:val="0"/>
                <w:szCs w:val="21"/>
              </w:rPr>
              <w:t>（3）</w:t>
            </w:r>
            <w:r>
              <w:rPr>
                <w:szCs w:val="21"/>
              </w:rPr>
              <w:t>严格按照“三线一单”水资源利用上线及相关管控措施要求，提高准入门槛，对用水大户开展水平衡测试，提高水资源利用率</w:t>
            </w:r>
            <w:r>
              <w:rPr>
                <w:snapToGrid w:val="0"/>
                <w:kern w:val="0"/>
                <w:szCs w:val="21"/>
              </w:rPr>
              <w:t>。</w:t>
            </w:r>
          </w:p>
        </w:tc>
      </w:tr>
      <w:tr w14:paraId="09E0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9" w:type="pct"/>
            <w:vMerge w:val="restart"/>
            <w:vAlign w:val="center"/>
          </w:tcPr>
          <w:p w14:paraId="472576CB">
            <w:pPr>
              <w:jc w:val="center"/>
              <w:rPr>
                <w:szCs w:val="21"/>
              </w:rPr>
            </w:pPr>
            <w:r>
              <w:rPr>
                <w:szCs w:val="21"/>
              </w:rPr>
              <w:t>大气</w:t>
            </w:r>
          </w:p>
          <w:p w14:paraId="5417DD6C">
            <w:pPr>
              <w:jc w:val="center"/>
              <w:rPr>
                <w:szCs w:val="21"/>
              </w:rPr>
            </w:pPr>
            <w:r>
              <w:rPr>
                <w:szCs w:val="21"/>
              </w:rPr>
              <w:t>环境</w:t>
            </w:r>
          </w:p>
          <w:p w14:paraId="16194F68">
            <w:pPr>
              <w:jc w:val="center"/>
              <w:rPr>
                <w:szCs w:val="21"/>
              </w:rPr>
            </w:pPr>
          </w:p>
        </w:tc>
        <w:tc>
          <w:tcPr>
            <w:tcW w:w="260" w:type="pct"/>
            <w:vAlign w:val="center"/>
          </w:tcPr>
          <w:p w14:paraId="51D9B2CD">
            <w:pPr>
              <w:jc w:val="center"/>
              <w:rPr>
                <w:szCs w:val="21"/>
              </w:rPr>
            </w:pPr>
            <w:r>
              <w:rPr>
                <w:szCs w:val="21"/>
              </w:rPr>
              <w:t>区域</w:t>
            </w:r>
          </w:p>
        </w:tc>
        <w:tc>
          <w:tcPr>
            <w:tcW w:w="4490" w:type="pct"/>
            <w:vAlign w:val="center"/>
          </w:tcPr>
          <w:p w14:paraId="4579B8E0">
            <w:pPr>
              <w:rPr>
                <w:szCs w:val="21"/>
              </w:rPr>
            </w:pPr>
            <w:r>
              <w:rPr>
                <w:szCs w:val="21"/>
              </w:rPr>
              <w:t>根据《长江经济带生态环境保护规划》、《长江经济带生态环境保护规划浙江省实施方案》，落实大区域大气污染治理措施。</w:t>
            </w:r>
          </w:p>
        </w:tc>
      </w:tr>
      <w:tr w14:paraId="725C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9" w:type="pct"/>
            <w:vMerge w:val="continue"/>
            <w:vAlign w:val="center"/>
          </w:tcPr>
          <w:p w14:paraId="3F375F08">
            <w:pPr>
              <w:jc w:val="center"/>
              <w:rPr>
                <w:szCs w:val="21"/>
              </w:rPr>
            </w:pPr>
          </w:p>
        </w:tc>
        <w:tc>
          <w:tcPr>
            <w:tcW w:w="260" w:type="pct"/>
            <w:vAlign w:val="center"/>
          </w:tcPr>
          <w:p w14:paraId="6729FEB2">
            <w:pPr>
              <w:jc w:val="center"/>
              <w:rPr>
                <w:szCs w:val="21"/>
              </w:rPr>
            </w:pPr>
            <w:r>
              <w:rPr>
                <w:szCs w:val="21"/>
              </w:rPr>
              <w:t>开发区</w:t>
            </w:r>
          </w:p>
        </w:tc>
        <w:tc>
          <w:tcPr>
            <w:tcW w:w="4490" w:type="pct"/>
            <w:vAlign w:val="center"/>
          </w:tcPr>
          <w:p w14:paraId="2AB1B90C">
            <w:pPr>
              <w:rPr>
                <w:szCs w:val="21"/>
              </w:rPr>
            </w:pPr>
            <w:r>
              <w:rPr>
                <w:szCs w:val="21"/>
              </w:rPr>
              <w:t>（1）加快能源结构调整和优化。</w:t>
            </w:r>
          </w:p>
          <w:p w14:paraId="6B01684A">
            <w:pPr>
              <w:rPr>
                <w:snapToGrid w:val="0"/>
                <w:kern w:val="0"/>
                <w:szCs w:val="21"/>
              </w:rPr>
            </w:pPr>
            <w:r>
              <w:rPr>
                <w:szCs w:val="21"/>
              </w:rPr>
              <w:t>（2）积极推行综合治理，严格控制工艺废气</w:t>
            </w:r>
            <w:r>
              <w:rPr>
                <w:snapToGrid w:val="0"/>
                <w:kern w:val="0"/>
                <w:szCs w:val="21"/>
              </w:rPr>
              <w:t>：加强开发区内重点行业VOCs废气治理，小微企业VOCs废气治理采用“源头替代为主、规范管理并重”的原则。</w:t>
            </w:r>
          </w:p>
          <w:p w14:paraId="5183700A">
            <w:pPr>
              <w:rPr>
                <w:szCs w:val="21"/>
              </w:rPr>
            </w:pPr>
            <w:r>
              <w:rPr>
                <w:snapToGrid w:val="0"/>
                <w:kern w:val="0"/>
                <w:szCs w:val="21"/>
              </w:rPr>
              <w:t>（3）城市污染源控制方案：对于城市建成区，应整治城市扬尘和烟尘，加强服务行业管理，推广绿色交通，防治机动车交通污染。</w:t>
            </w:r>
          </w:p>
          <w:p w14:paraId="20E1EC17">
            <w:pPr>
              <w:rPr>
                <w:szCs w:val="21"/>
              </w:rPr>
            </w:pPr>
            <w:r>
              <w:rPr>
                <w:szCs w:val="21"/>
              </w:rPr>
              <w:t>（4）全面开展“大气立体走航监测”全域常态化巡查，锁定规划区内异常高值点和主要污染区域，采取有针对性的大气污染治理措施，实现精准治污。</w:t>
            </w:r>
          </w:p>
        </w:tc>
      </w:tr>
      <w:tr w14:paraId="0DFB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9" w:type="pct"/>
            <w:gridSpan w:val="2"/>
            <w:vAlign w:val="center"/>
          </w:tcPr>
          <w:p w14:paraId="2FC809D7">
            <w:pPr>
              <w:jc w:val="center"/>
              <w:rPr>
                <w:szCs w:val="21"/>
              </w:rPr>
            </w:pPr>
            <w:r>
              <w:rPr>
                <w:szCs w:val="21"/>
              </w:rPr>
              <w:t>地表水环境</w:t>
            </w:r>
          </w:p>
        </w:tc>
        <w:tc>
          <w:tcPr>
            <w:tcW w:w="4490" w:type="pct"/>
            <w:vAlign w:val="center"/>
          </w:tcPr>
          <w:p w14:paraId="4375BA4B">
            <w:pPr>
              <w:rPr>
                <w:szCs w:val="21"/>
              </w:rPr>
            </w:pPr>
            <w:r>
              <w:rPr>
                <w:szCs w:val="21"/>
              </w:rPr>
              <w:t>（1）深入实施“五水共治”，落实“美丽河湖”建设任务，持续改善水环境质量。</w:t>
            </w:r>
          </w:p>
          <w:p w14:paraId="084BBB26">
            <w:pPr>
              <w:rPr>
                <w:szCs w:val="21"/>
              </w:rPr>
            </w:pPr>
            <w:r>
              <w:rPr>
                <w:szCs w:val="21"/>
              </w:rPr>
              <w:t>（2）全面推行“污水零直排区”建设，加快推进雨污分流、清污分流工程，加强管网运行管理和日常维护。</w:t>
            </w:r>
          </w:p>
          <w:p w14:paraId="089C9918">
            <w:pPr>
              <w:rPr>
                <w:szCs w:val="21"/>
              </w:rPr>
            </w:pPr>
            <w:r>
              <w:rPr>
                <w:szCs w:val="21"/>
              </w:rPr>
              <w:t>（3）加快污水处理厂提标改造。</w:t>
            </w:r>
          </w:p>
          <w:p w14:paraId="7E88E917">
            <w:pPr>
              <w:rPr>
                <w:szCs w:val="21"/>
              </w:rPr>
            </w:pPr>
            <w:r>
              <w:rPr>
                <w:szCs w:val="21"/>
              </w:rPr>
              <w:t>（4）推进重点行业废水深度处理，强化印染等高耗水企业污染治理设施运维管理和清洁化改造，鼓励高耗水企业废水深度处理回用。</w:t>
            </w:r>
          </w:p>
          <w:p w14:paraId="6C4BF99C">
            <w:pPr>
              <w:rPr>
                <w:szCs w:val="21"/>
              </w:rPr>
            </w:pPr>
            <w:r>
              <w:rPr>
                <w:szCs w:val="21"/>
              </w:rPr>
              <w:t>（5）推进餐饮业污水治理，餐饮单位须安装隔油池，废油脂统一交由具有资质的单位集中收集处理。</w:t>
            </w:r>
          </w:p>
          <w:p w14:paraId="0460B0AE">
            <w:pPr>
              <w:rPr>
                <w:szCs w:val="21"/>
              </w:rPr>
            </w:pPr>
            <w:r>
              <w:rPr>
                <w:szCs w:val="21"/>
              </w:rPr>
              <w:t>（6）加强项目施工管理，鼓励绿色施工。</w:t>
            </w:r>
          </w:p>
        </w:tc>
      </w:tr>
      <w:tr w14:paraId="7814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9" w:type="pct"/>
            <w:gridSpan w:val="2"/>
            <w:vAlign w:val="center"/>
          </w:tcPr>
          <w:p w14:paraId="1857DC49">
            <w:pPr>
              <w:jc w:val="center"/>
              <w:rPr>
                <w:szCs w:val="21"/>
              </w:rPr>
            </w:pPr>
            <w:r>
              <w:rPr>
                <w:szCs w:val="21"/>
              </w:rPr>
              <w:t>地下水环境</w:t>
            </w:r>
          </w:p>
        </w:tc>
        <w:tc>
          <w:tcPr>
            <w:tcW w:w="4490" w:type="pct"/>
            <w:vAlign w:val="center"/>
          </w:tcPr>
          <w:p w14:paraId="05F345C0">
            <w:pPr>
              <w:rPr>
                <w:szCs w:val="21"/>
              </w:rPr>
            </w:pPr>
            <w:r>
              <w:rPr>
                <w:szCs w:val="21"/>
              </w:rPr>
              <w:t>（1）推进地表、土壤与地下水协同防治。</w:t>
            </w:r>
          </w:p>
          <w:p w14:paraId="318AEB8A">
            <w:pPr>
              <w:rPr>
                <w:szCs w:val="21"/>
              </w:rPr>
            </w:pPr>
            <w:r>
              <w:rPr>
                <w:szCs w:val="21"/>
              </w:rPr>
              <w:t>（2）企业防控：各建设单位应对主要生产车间、清洗车间、雨水收集池、事故应急池以及储罐区等主要构筑物采取相应的措施，防治和降低污染物跑、冒、滴、漏，将污染物泄漏的环境风险事故降低到最低程度。固废临时存放场所应有遮挡，或存放在相应容器中。设置渗沥液收集清除系统及雨水、径流疏导系统，防止污染地下水。</w:t>
            </w:r>
          </w:p>
          <w:p w14:paraId="36C7E86E">
            <w:pPr>
              <w:rPr>
                <w:szCs w:val="21"/>
              </w:rPr>
            </w:pPr>
            <w:r>
              <w:rPr>
                <w:szCs w:val="21"/>
              </w:rPr>
              <w:t>（3）污水管网防控：污水管道须采用防渗防腐蚀材料，并对管道进行定期检查；废水收集池和沉淀池要进行复合防渗，确保污染物不通过包气带下渗至地下含水层。</w:t>
            </w:r>
          </w:p>
          <w:p w14:paraId="0475E62A">
            <w:pPr>
              <w:rPr>
                <w:szCs w:val="21"/>
              </w:rPr>
            </w:pPr>
            <w:r>
              <w:rPr>
                <w:szCs w:val="21"/>
              </w:rPr>
              <w:t>（4）垃圾转运站防控：排水管网做到雨污分流。垃圾堆放在室内，应铺设PE膜、环氧地坪、抗渗混凝土等防渗性能较好的材料，必要时可采用双层防渗措施。</w:t>
            </w:r>
          </w:p>
        </w:tc>
      </w:tr>
      <w:tr w14:paraId="2287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9" w:type="pct"/>
            <w:vMerge w:val="restart"/>
            <w:vAlign w:val="center"/>
          </w:tcPr>
          <w:p w14:paraId="5BE97D75">
            <w:pPr>
              <w:jc w:val="center"/>
              <w:rPr>
                <w:szCs w:val="21"/>
              </w:rPr>
            </w:pPr>
            <w:r>
              <w:rPr>
                <w:szCs w:val="21"/>
              </w:rPr>
              <w:t>固体废物</w:t>
            </w:r>
          </w:p>
          <w:p w14:paraId="08C52711">
            <w:pPr>
              <w:jc w:val="center"/>
              <w:rPr>
                <w:szCs w:val="21"/>
              </w:rPr>
            </w:pPr>
          </w:p>
        </w:tc>
        <w:tc>
          <w:tcPr>
            <w:tcW w:w="260" w:type="pct"/>
            <w:vAlign w:val="center"/>
          </w:tcPr>
          <w:p w14:paraId="7DA91BD6">
            <w:pPr>
              <w:jc w:val="center"/>
              <w:rPr>
                <w:szCs w:val="21"/>
              </w:rPr>
            </w:pPr>
            <w:r>
              <w:rPr>
                <w:szCs w:val="21"/>
              </w:rPr>
              <w:t>生活垃圾</w:t>
            </w:r>
          </w:p>
        </w:tc>
        <w:tc>
          <w:tcPr>
            <w:tcW w:w="4490" w:type="pct"/>
            <w:vAlign w:val="center"/>
          </w:tcPr>
          <w:p w14:paraId="6C5CE0A0">
            <w:pPr>
              <w:rPr>
                <w:szCs w:val="21"/>
              </w:rPr>
            </w:pPr>
            <w:r>
              <w:rPr>
                <w:szCs w:val="21"/>
              </w:rPr>
              <w:t>（1）开展绿色生活方式宣传，倡导“光盘行动”，限制一次性消费用品使用监督管理，促进生活垃圾源头减量。</w:t>
            </w:r>
          </w:p>
          <w:p w14:paraId="010A6264">
            <w:pPr>
              <w:rPr>
                <w:szCs w:val="21"/>
              </w:rPr>
            </w:pPr>
            <w:r>
              <w:rPr>
                <w:szCs w:val="21"/>
              </w:rPr>
              <w:t>（2）全面提升农村“二次四分”，推广城区“两定四分”分类模式，设置一定密度的垃圾箱和投放点，实施生活垃圾强制分类。</w:t>
            </w:r>
          </w:p>
        </w:tc>
      </w:tr>
      <w:tr w14:paraId="4EFA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9" w:type="pct"/>
            <w:vMerge w:val="continue"/>
            <w:vAlign w:val="center"/>
          </w:tcPr>
          <w:p w14:paraId="7DAB2718">
            <w:pPr>
              <w:jc w:val="center"/>
              <w:rPr>
                <w:szCs w:val="21"/>
              </w:rPr>
            </w:pPr>
          </w:p>
        </w:tc>
        <w:tc>
          <w:tcPr>
            <w:tcW w:w="260" w:type="pct"/>
            <w:vAlign w:val="center"/>
          </w:tcPr>
          <w:p w14:paraId="665DFA2A">
            <w:pPr>
              <w:jc w:val="center"/>
              <w:rPr>
                <w:szCs w:val="21"/>
              </w:rPr>
            </w:pPr>
            <w:r>
              <w:rPr>
                <w:szCs w:val="21"/>
              </w:rPr>
              <w:t>工业固废</w:t>
            </w:r>
          </w:p>
        </w:tc>
        <w:tc>
          <w:tcPr>
            <w:tcW w:w="4490" w:type="pct"/>
            <w:vAlign w:val="center"/>
          </w:tcPr>
          <w:p w14:paraId="0F7B8B7B">
            <w:pPr>
              <w:rPr>
                <w:szCs w:val="21"/>
              </w:rPr>
            </w:pPr>
            <w:r>
              <w:rPr>
                <w:szCs w:val="21"/>
              </w:rPr>
              <w:t>（1）积极推行废物减量化，企业应尽可能采用无废、低废的生产工艺，尽量减少固体废物的产生量。</w:t>
            </w:r>
          </w:p>
          <w:p w14:paraId="743711EC">
            <w:pPr>
              <w:rPr>
                <w:szCs w:val="21"/>
              </w:rPr>
            </w:pPr>
            <w:r>
              <w:rPr>
                <w:szCs w:val="21"/>
              </w:rPr>
              <w:t>（2）实施工业固废强制分类制度，企业需设置专门的堆放点分类暂存一般工业固废，提倡一般固废废物的回收和综合利用。</w:t>
            </w:r>
          </w:p>
          <w:p w14:paraId="1689D887">
            <w:pPr>
              <w:rPr>
                <w:szCs w:val="21"/>
              </w:rPr>
            </w:pPr>
            <w:r>
              <w:rPr>
                <w:szCs w:val="21"/>
              </w:rPr>
              <w:t>（3）危险废物由有资质单位统一收集，进行安全处置。</w:t>
            </w:r>
          </w:p>
        </w:tc>
      </w:tr>
      <w:tr w14:paraId="5CAD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9" w:type="pct"/>
            <w:vMerge w:val="restart"/>
            <w:vAlign w:val="center"/>
          </w:tcPr>
          <w:p w14:paraId="59AA9E3A">
            <w:pPr>
              <w:jc w:val="center"/>
              <w:rPr>
                <w:szCs w:val="21"/>
              </w:rPr>
            </w:pPr>
            <w:r>
              <w:rPr>
                <w:szCs w:val="21"/>
              </w:rPr>
              <w:t>声环境</w:t>
            </w:r>
          </w:p>
          <w:p w14:paraId="7D918E20">
            <w:pPr>
              <w:jc w:val="center"/>
              <w:rPr>
                <w:szCs w:val="21"/>
              </w:rPr>
            </w:pPr>
          </w:p>
        </w:tc>
        <w:tc>
          <w:tcPr>
            <w:tcW w:w="260" w:type="pct"/>
            <w:vAlign w:val="center"/>
          </w:tcPr>
          <w:p w14:paraId="69BE3D3A">
            <w:pPr>
              <w:jc w:val="center"/>
              <w:rPr>
                <w:szCs w:val="21"/>
              </w:rPr>
            </w:pPr>
            <w:r>
              <w:rPr>
                <w:szCs w:val="21"/>
              </w:rPr>
              <w:t>工业企业</w:t>
            </w:r>
          </w:p>
        </w:tc>
        <w:tc>
          <w:tcPr>
            <w:tcW w:w="4490" w:type="pct"/>
            <w:vAlign w:val="center"/>
          </w:tcPr>
          <w:p w14:paraId="5817731A">
            <w:pPr>
              <w:rPr>
                <w:szCs w:val="21"/>
              </w:rPr>
            </w:pPr>
            <w:r>
              <w:rPr>
                <w:szCs w:val="21"/>
              </w:rPr>
              <w:t>（1）合理布局工业用地和居住用地，工业区应尽量远离居住区，对于现状工业与居住混杂的区块，需严格控制企业生产噪声，保证居住区声环境功能达标。</w:t>
            </w:r>
          </w:p>
          <w:p w14:paraId="2AFF4F2D">
            <w:pPr>
              <w:rPr>
                <w:szCs w:val="21"/>
              </w:rPr>
            </w:pPr>
            <w:r>
              <w:rPr>
                <w:szCs w:val="21"/>
              </w:rPr>
              <w:t>（2）加强对企业生产噪声的管理，项目总图布置应充分考虑高噪声设备的影响，合理布局；对各种工业噪声源分别采用隔声、吸声和消声等措施，必要时应设置隔声设施；加强厂区绿化。</w:t>
            </w:r>
          </w:p>
        </w:tc>
      </w:tr>
      <w:tr w14:paraId="55A5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9" w:type="pct"/>
            <w:vMerge w:val="continue"/>
            <w:vAlign w:val="center"/>
          </w:tcPr>
          <w:p w14:paraId="51C880DA">
            <w:pPr>
              <w:jc w:val="center"/>
              <w:rPr>
                <w:szCs w:val="21"/>
              </w:rPr>
            </w:pPr>
          </w:p>
        </w:tc>
        <w:tc>
          <w:tcPr>
            <w:tcW w:w="260" w:type="pct"/>
            <w:vAlign w:val="center"/>
          </w:tcPr>
          <w:p w14:paraId="5F3EBD2E">
            <w:pPr>
              <w:jc w:val="center"/>
              <w:rPr>
                <w:szCs w:val="21"/>
              </w:rPr>
            </w:pPr>
            <w:r>
              <w:rPr>
                <w:szCs w:val="21"/>
              </w:rPr>
              <w:t>交通</w:t>
            </w:r>
          </w:p>
        </w:tc>
        <w:tc>
          <w:tcPr>
            <w:tcW w:w="4490" w:type="pct"/>
            <w:vAlign w:val="center"/>
          </w:tcPr>
          <w:p w14:paraId="2C06B346">
            <w:pPr>
              <w:rPr>
                <w:szCs w:val="21"/>
              </w:rPr>
            </w:pPr>
            <w:r>
              <w:rPr>
                <w:szCs w:val="21"/>
              </w:rPr>
              <w:t>（1）加强新建道路项目交通噪声环评和道路隔声屏障/绿化带的建设力度。</w:t>
            </w:r>
          </w:p>
          <w:p w14:paraId="59FFC48C">
            <w:pPr>
              <w:rPr>
                <w:szCs w:val="21"/>
              </w:rPr>
            </w:pPr>
            <w:r>
              <w:rPr>
                <w:szCs w:val="21"/>
              </w:rPr>
              <w:t>（2）控制车流量，建议居住区等噪声敏感区域附近车流量控制在500辆/小时以内。</w:t>
            </w:r>
          </w:p>
          <w:p w14:paraId="18D1C8A6">
            <w:pPr>
              <w:rPr>
                <w:szCs w:val="21"/>
              </w:rPr>
            </w:pPr>
            <w:r>
              <w:rPr>
                <w:szCs w:val="21"/>
              </w:rPr>
              <w:t>（3）控制车辆噪声源强，限制装载车、大型货车等高噪声车辆进入居住生活配套区。</w:t>
            </w:r>
          </w:p>
          <w:p w14:paraId="0D7D6465">
            <w:pPr>
              <w:rPr>
                <w:szCs w:val="21"/>
              </w:rPr>
            </w:pPr>
            <w:r>
              <w:rPr>
                <w:szCs w:val="21"/>
              </w:rPr>
              <w:t>（4）加强路面保养，减少车辆颠簸振动噪声。</w:t>
            </w:r>
          </w:p>
        </w:tc>
      </w:tr>
      <w:tr w14:paraId="6F26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9" w:type="pct"/>
            <w:vMerge w:val="continue"/>
            <w:vAlign w:val="center"/>
          </w:tcPr>
          <w:p w14:paraId="7EC543F6">
            <w:pPr>
              <w:jc w:val="center"/>
              <w:rPr>
                <w:szCs w:val="21"/>
              </w:rPr>
            </w:pPr>
          </w:p>
        </w:tc>
        <w:tc>
          <w:tcPr>
            <w:tcW w:w="260" w:type="pct"/>
            <w:vAlign w:val="center"/>
          </w:tcPr>
          <w:p w14:paraId="2493FB39">
            <w:pPr>
              <w:jc w:val="center"/>
              <w:rPr>
                <w:szCs w:val="21"/>
              </w:rPr>
            </w:pPr>
            <w:r>
              <w:rPr>
                <w:szCs w:val="21"/>
              </w:rPr>
              <w:t>生活</w:t>
            </w:r>
          </w:p>
        </w:tc>
        <w:tc>
          <w:tcPr>
            <w:tcW w:w="4490" w:type="pct"/>
            <w:vAlign w:val="center"/>
          </w:tcPr>
          <w:p w14:paraId="1C60922C">
            <w:pPr>
              <w:rPr>
                <w:szCs w:val="21"/>
              </w:rPr>
            </w:pPr>
            <w:r>
              <w:rPr>
                <w:szCs w:val="21"/>
              </w:rPr>
              <w:t>（1）严格控制商场、餐饮、娱乐、健身、超市、加工、维修及其他商业服务业的噪声污染；对室内装修进行严格管理，明确限制作业时间；加强对群众自发性娱乐活动的引导，规范社会生活噪声排放行为。</w:t>
            </w:r>
          </w:p>
          <w:p w14:paraId="62CA0322">
            <w:pPr>
              <w:rPr>
                <w:szCs w:val="21"/>
              </w:rPr>
            </w:pPr>
            <w:r>
              <w:rPr>
                <w:szCs w:val="21"/>
              </w:rPr>
              <w:t>（2）加强施工噪声排放申报管理，实施城市建筑施工环保公告制度。严格管理夜间施工建设，实施城市夜间施工审批管理，鼓励使用低噪声施工设备和工艺，对于高噪设备必须进行隔声降噪，以减少噪声污染。</w:t>
            </w:r>
          </w:p>
        </w:tc>
      </w:tr>
      <w:tr w14:paraId="4258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9" w:type="pct"/>
            <w:gridSpan w:val="2"/>
            <w:vAlign w:val="center"/>
          </w:tcPr>
          <w:p w14:paraId="1255B663">
            <w:pPr>
              <w:jc w:val="center"/>
              <w:rPr>
                <w:szCs w:val="21"/>
              </w:rPr>
            </w:pPr>
            <w:r>
              <w:rPr>
                <w:szCs w:val="21"/>
              </w:rPr>
              <w:t>土壤</w:t>
            </w:r>
          </w:p>
          <w:p w14:paraId="054858E1">
            <w:pPr>
              <w:jc w:val="center"/>
              <w:rPr>
                <w:szCs w:val="21"/>
              </w:rPr>
            </w:pPr>
            <w:r>
              <w:rPr>
                <w:szCs w:val="21"/>
              </w:rPr>
              <w:t>环境</w:t>
            </w:r>
          </w:p>
        </w:tc>
        <w:tc>
          <w:tcPr>
            <w:tcW w:w="4490" w:type="pct"/>
            <w:vAlign w:val="center"/>
          </w:tcPr>
          <w:p w14:paraId="034D4E87">
            <w:pPr>
              <w:rPr>
                <w:szCs w:val="21"/>
              </w:rPr>
            </w:pPr>
            <w:r>
              <w:rPr>
                <w:szCs w:val="21"/>
              </w:rPr>
              <w:t>（1）强化土壤污染源头管控。</w:t>
            </w:r>
          </w:p>
          <w:p w14:paraId="0469BE49">
            <w:pPr>
              <w:rPr>
                <w:szCs w:val="21"/>
              </w:rPr>
            </w:pPr>
            <w:r>
              <w:rPr>
                <w:szCs w:val="21"/>
              </w:rPr>
              <w:t>（2）加强污染地块风险管控和治理修复。</w:t>
            </w:r>
          </w:p>
          <w:p w14:paraId="11A23D17">
            <w:pPr>
              <w:rPr>
                <w:szCs w:val="21"/>
              </w:rPr>
            </w:pPr>
            <w:r>
              <w:rPr>
                <w:szCs w:val="21"/>
              </w:rPr>
              <w:t>（3）确保开发区腾退企业地块安全利用。</w:t>
            </w:r>
          </w:p>
        </w:tc>
      </w:tr>
      <w:tr w14:paraId="6DA4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9" w:type="pct"/>
            <w:gridSpan w:val="2"/>
            <w:vAlign w:val="center"/>
          </w:tcPr>
          <w:p w14:paraId="260D2AA5">
            <w:pPr>
              <w:jc w:val="center"/>
              <w:rPr>
                <w:szCs w:val="21"/>
              </w:rPr>
            </w:pPr>
            <w:r>
              <w:rPr>
                <w:szCs w:val="21"/>
              </w:rPr>
              <w:t>生态</w:t>
            </w:r>
          </w:p>
          <w:p w14:paraId="73EE0645">
            <w:pPr>
              <w:jc w:val="center"/>
              <w:rPr>
                <w:szCs w:val="21"/>
              </w:rPr>
            </w:pPr>
            <w:r>
              <w:rPr>
                <w:szCs w:val="21"/>
              </w:rPr>
              <w:t>环境</w:t>
            </w:r>
          </w:p>
        </w:tc>
        <w:tc>
          <w:tcPr>
            <w:tcW w:w="4490" w:type="pct"/>
            <w:vAlign w:val="center"/>
          </w:tcPr>
          <w:p w14:paraId="02B9F847">
            <w:pPr>
              <w:rPr>
                <w:szCs w:val="21"/>
              </w:rPr>
            </w:pPr>
            <w:r>
              <w:rPr>
                <w:szCs w:val="21"/>
              </w:rPr>
              <w:t>加强区内绿化，尽可能保护原有生态系统。</w:t>
            </w:r>
          </w:p>
        </w:tc>
      </w:tr>
      <w:tr w14:paraId="2AD9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9" w:type="pct"/>
            <w:gridSpan w:val="2"/>
            <w:vAlign w:val="center"/>
          </w:tcPr>
          <w:p w14:paraId="24EB84C8">
            <w:pPr>
              <w:jc w:val="center"/>
              <w:rPr>
                <w:szCs w:val="21"/>
              </w:rPr>
            </w:pPr>
            <w:r>
              <w:rPr>
                <w:szCs w:val="21"/>
              </w:rPr>
              <w:t>环境</w:t>
            </w:r>
          </w:p>
          <w:p w14:paraId="55EE324C">
            <w:pPr>
              <w:jc w:val="center"/>
              <w:rPr>
                <w:szCs w:val="21"/>
              </w:rPr>
            </w:pPr>
            <w:r>
              <w:rPr>
                <w:szCs w:val="21"/>
              </w:rPr>
              <w:t>风险</w:t>
            </w:r>
          </w:p>
        </w:tc>
        <w:tc>
          <w:tcPr>
            <w:tcW w:w="4490" w:type="pct"/>
            <w:vAlign w:val="center"/>
          </w:tcPr>
          <w:p w14:paraId="02B633E7">
            <w:pPr>
              <w:rPr>
                <w:szCs w:val="21"/>
              </w:rPr>
            </w:pPr>
            <w:r>
              <w:rPr>
                <w:szCs w:val="21"/>
              </w:rPr>
              <w:t>（1）规划区应严格项目环境准入门槛，严格控制涉危企业。项目入区后，要合理规划平面布置，危化品储存用地应与周边水体、人员稠密的车间、食堂等保持一定距离；凡禁火区均应设置明显标志牌；配备足够的消防设施，落实防火安全责任制。</w:t>
            </w:r>
          </w:p>
          <w:p w14:paraId="53C2245C">
            <w:pPr>
              <w:rPr>
                <w:szCs w:val="21"/>
              </w:rPr>
            </w:pPr>
            <w:r>
              <w:rPr>
                <w:szCs w:val="21"/>
              </w:rPr>
              <w:t>（2）加强现有风险源环境管理工作，落实大气、地表水、地下水、运输、应急体系等方面的风险防范措施。</w:t>
            </w:r>
          </w:p>
        </w:tc>
      </w:tr>
      <w:tr w14:paraId="0286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9" w:type="pct"/>
            <w:gridSpan w:val="2"/>
            <w:vAlign w:val="center"/>
          </w:tcPr>
          <w:p w14:paraId="1C7A13CD">
            <w:pPr>
              <w:jc w:val="center"/>
              <w:rPr>
                <w:szCs w:val="21"/>
              </w:rPr>
            </w:pPr>
            <w:r>
              <w:rPr>
                <w:szCs w:val="21"/>
              </w:rPr>
              <w:t>清洁生产及循环化发展建议</w:t>
            </w:r>
          </w:p>
        </w:tc>
        <w:tc>
          <w:tcPr>
            <w:tcW w:w="4490" w:type="pct"/>
            <w:vAlign w:val="center"/>
          </w:tcPr>
          <w:p w14:paraId="285DF819">
            <w:pPr>
              <w:rPr>
                <w:szCs w:val="21"/>
              </w:rPr>
            </w:pPr>
            <w:r>
              <w:rPr>
                <w:szCs w:val="21"/>
              </w:rPr>
              <w:t>（1）</w:t>
            </w:r>
            <w:r>
              <w:rPr>
                <w:szCs w:val="21"/>
                <w:shd w:val="clear" w:color="auto" w:fill="FFFFFF"/>
              </w:rPr>
              <w:t>产业结构方面：</w:t>
            </w:r>
            <w:r>
              <w:rPr>
                <w:szCs w:val="21"/>
              </w:rPr>
              <w:t>加强规划引领，</w:t>
            </w:r>
            <w:r>
              <w:rPr>
                <w:szCs w:val="21"/>
                <w:shd w:val="clear" w:color="auto" w:fill="FFFFFF"/>
              </w:rPr>
              <w:t>加速传统产业智能化转型，提高产业准入标准</w:t>
            </w:r>
            <w:r>
              <w:rPr>
                <w:szCs w:val="21"/>
              </w:rPr>
              <w:t>。</w:t>
            </w:r>
          </w:p>
          <w:p w14:paraId="3A7FEF5C">
            <w:pPr>
              <w:rPr>
                <w:szCs w:val="21"/>
              </w:rPr>
            </w:pPr>
            <w:r>
              <w:rPr>
                <w:szCs w:val="21"/>
              </w:rPr>
              <w:t>（2）</w:t>
            </w:r>
            <w:r>
              <w:rPr>
                <w:szCs w:val="21"/>
                <w:shd w:val="clear" w:color="auto" w:fill="FFFFFF"/>
              </w:rPr>
              <w:t>循环经济方面：持续推进循环化改造先行示范，</w:t>
            </w:r>
            <w:r>
              <w:rPr>
                <w:szCs w:val="21"/>
              </w:rPr>
              <w:t>抓好工业循环经济四个环节的重点工作，完善开发区的循环经济产业链建设。</w:t>
            </w:r>
          </w:p>
          <w:p w14:paraId="008EDDB1">
            <w:pPr>
              <w:rPr>
                <w:szCs w:val="21"/>
              </w:rPr>
            </w:pPr>
            <w:r>
              <w:rPr>
                <w:szCs w:val="21"/>
              </w:rPr>
              <w:t>（3）清洁生产方面：鼓励企业自愿开展清洁生产审核，</w:t>
            </w:r>
            <w:r>
              <w:rPr>
                <w:kern w:val="0"/>
                <w:szCs w:val="21"/>
              </w:rPr>
              <w:t>积极推进生态开发区建设。</w:t>
            </w:r>
          </w:p>
        </w:tc>
      </w:tr>
    </w:tbl>
    <w:p w14:paraId="2433E814">
      <w:pPr>
        <w:widowControl/>
        <w:spacing w:line="360" w:lineRule="auto"/>
        <w:rPr>
          <w:color w:val="000000"/>
          <w:kern w:val="0"/>
          <w:sz w:val="24"/>
        </w:rPr>
      </w:pPr>
    </w:p>
    <w:p w14:paraId="761F37B9">
      <w:pPr>
        <w:widowControl/>
        <w:spacing w:line="360" w:lineRule="auto"/>
        <w:rPr>
          <w:color w:val="000000"/>
          <w:kern w:val="0"/>
          <w:sz w:val="24"/>
        </w:rPr>
      </w:pPr>
      <w:r>
        <w:rPr>
          <w:b/>
          <w:sz w:val="24"/>
        </w:rPr>
        <w:t>四、环境影响评价初步结论要点</w:t>
      </w:r>
    </w:p>
    <w:p w14:paraId="1B4445A9">
      <w:pPr>
        <w:pStyle w:val="22"/>
        <w:spacing w:before="93"/>
        <w:ind w:firstLine="480"/>
        <w:rPr>
          <w:bCs/>
          <w:color w:val="000000" w:themeColor="text1"/>
        </w:rPr>
      </w:pPr>
      <w:r>
        <w:rPr>
          <w:rFonts w:hint="eastAsia"/>
          <w:bCs/>
          <w:color w:val="000000" w:themeColor="text1"/>
        </w:rPr>
        <w:t>浙江岱山经济开发区地处岱山县城东部，是省级经济开发区。本次规划分为两个片区，其中，南部片区规划面积由原控规的陆域8.96km</w:t>
      </w:r>
      <w:r>
        <w:rPr>
          <w:rFonts w:hint="eastAsia"/>
          <w:bCs/>
          <w:color w:val="000000" w:themeColor="text1"/>
          <w:vertAlign w:val="superscript"/>
        </w:rPr>
        <w:t>2</w:t>
      </w:r>
      <w:r>
        <w:rPr>
          <w:rFonts w:hint="eastAsia"/>
          <w:bCs/>
          <w:color w:val="000000" w:themeColor="text1"/>
        </w:rPr>
        <w:t>调整至陆域9.17km</w:t>
      </w:r>
      <w:r>
        <w:rPr>
          <w:rFonts w:hint="eastAsia"/>
          <w:bCs/>
          <w:color w:val="000000" w:themeColor="text1"/>
          <w:vertAlign w:val="superscript"/>
        </w:rPr>
        <w:t>2</w:t>
      </w:r>
      <w:r>
        <w:rPr>
          <w:rFonts w:hint="eastAsia"/>
          <w:bCs/>
          <w:color w:val="000000" w:themeColor="text1"/>
        </w:rPr>
        <w:t>，无海域面积。东沙片区规划总面积约2.98km</w:t>
      </w:r>
      <w:r>
        <w:rPr>
          <w:rFonts w:hint="eastAsia"/>
          <w:bCs/>
          <w:color w:val="000000" w:themeColor="text1"/>
          <w:vertAlign w:val="superscript"/>
        </w:rPr>
        <w:t>2</w:t>
      </w:r>
      <w:r>
        <w:rPr>
          <w:rFonts w:hint="eastAsia"/>
          <w:bCs/>
          <w:color w:val="000000" w:themeColor="text1"/>
        </w:rPr>
        <w:t>。开发区</w:t>
      </w:r>
      <w:r>
        <w:rPr>
          <w:rFonts w:hint="eastAsia"/>
          <w:bCs/>
          <w:color w:val="000000" w:themeColor="text1"/>
          <w:lang w:val="en-GB"/>
        </w:rPr>
        <w:t>发展形成4大产业集群：循环化工新材料、海洋生物制品、海工及石化装备制造、生产与研发服务</w:t>
      </w:r>
      <w:r>
        <w:rPr>
          <w:rFonts w:hint="eastAsia"/>
          <w:bCs/>
          <w:color w:val="000000" w:themeColor="text1"/>
        </w:rPr>
        <w:t>，产业规划与浙江省主体功能区规划、岱山县域总体规划、岱山县</w:t>
      </w:r>
      <w:r>
        <w:rPr>
          <w:rFonts w:hint="eastAsia"/>
          <w:bCs/>
          <w:color w:val="000000" w:themeColor="text1"/>
          <w:lang w:eastAsia="zh-CN"/>
        </w:rPr>
        <w:t>“</w:t>
      </w:r>
      <w:r>
        <w:rPr>
          <w:rFonts w:hint="eastAsia"/>
          <w:bCs/>
          <w:color w:val="000000" w:themeColor="text1"/>
        </w:rPr>
        <w:t>十四五</w:t>
      </w:r>
      <w:r>
        <w:rPr>
          <w:rFonts w:hint="eastAsia"/>
          <w:bCs/>
          <w:color w:val="000000" w:themeColor="text1"/>
          <w:lang w:eastAsia="zh-CN"/>
        </w:rPr>
        <w:t>”</w:t>
      </w:r>
      <w:r>
        <w:rPr>
          <w:rFonts w:hint="eastAsia"/>
          <w:bCs/>
          <w:color w:val="000000" w:themeColor="text1"/>
        </w:rPr>
        <w:t>环境保护规划等上位规划一致，规划结构与当前“三线一单”等环保要求相符，总体定位符合大环境背景要求。报告认为，岱山经济技术开发区在产业规划、总体定位和规划结构等方面较为合理。</w:t>
      </w:r>
    </w:p>
    <w:p w14:paraId="4A5F7429">
      <w:pPr>
        <w:pStyle w:val="22"/>
        <w:spacing w:before="93"/>
        <w:ind w:firstLine="480"/>
        <w:rPr>
          <w:bCs/>
          <w:color w:val="000000" w:themeColor="text1"/>
        </w:rPr>
      </w:pPr>
      <w:r>
        <w:rPr>
          <w:rFonts w:hint="eastAsia"/>
          <w:bCs/>
          <w:color w:val="000000" w:themeColor="text1"/>
        </w:rPr>
        <w:t>在规划层面上土地资源、水资源、能源能够得到保障；环保基础设施已配套建设；布局优化后，规划实施对环境敏感目标的影响总体不大。结合规划环境保护目标与评价指标的可达性分析，本环评认为在合理优化和调整用地规模、基础设施建设规模、规划空间布局，并具体落实各类影响减缓措施的前提下，从环境保护角度分析，本规划的实施是可行的。</w:t>
      </w:r>
    </w:p>
    <w:p w14:paraId="0DCC7BB0">
      <w:pPr>
        <w:widowControl/>
        <w:spacing w:line="360" w:lineRule="auto"/>
        <w:ind w:firstLine="482"/>
        <w:rPr>
          <w:color w:val="000000"/>
          <w:kern w:val="0"/>
          <w:sz w:val="24"/>
        </w:rPr>
      </w:pPr>
    </w:p>
    <w:p w14:paraId="5639F56A">
      <w:pPr>
        <w:widowControl/>
        <w:spacing w:line="360" w:lineRule="auto"/>
        <w:outlineLvl w:val="0"/>
        <w:rPr>
          <w:b/>
          <w:sz w:val="24"/>
        </w:rPr>
      </w:pPr>
      <w:r>
        <w:rPr>
          <w:b/>
          <w:sz w:val="24"/>
        </w:rPr>
        <w:t>五、规划实施单位、环评单位、当地环保主管部门和审查单位联系方式</w:t>
      </w:r>
    </w:p>
    <w:p w14:paraId="0CB2ABC3">
      <w:pPr>
        <w:spacing w:line="360" w:lineRule="auto"/>
        <w:ind w:firstLine="480" w:firstLineChars="200"/>
        <w:rPr>
          <w:sz w:val="24"/>
        </w:rPr>
      </w:pPr>
      <w:r>
        <w:rPr>
          <w:sz w:val="24"/>
        </w:rPr>
        <w:t>规划实施单位名称：</w:t>
      </w:r>
      <w:bookmarkStart w:id="9" w:name="_Toc14809"/>
      <w:bookmarkStart w:id="10" w:name="_Toc18053"/>
      <w:r>
        <w:rPr>
          <w:sz w:val="24"/>
        </w:rPr>
        <w:t>浙江岱山经济开发区管理委员会</w:t>
      </w:r>
      <w:bookmarkEnd w:id="9"/>
      <w:bookmarkEnd w:id="10"/>
    </w:p>
    <w:p w14:paraId="07F3DDCE">
      <w:pPr>
        <w:spacing w:line="360" w:lineRule="auto"/>
        <w:ind w:firstLine="480" w:firstLineChars="200"/>
        <w:rPr>
          <w:sz w:val="24"/>
        </w:rPr>
      </w:pPr>
      <w:r>
        <w:rPr>
          <w:sz w:val="24"/>
        </w:rPr>
        <w:t xml:space="preserve">联系电话：0580-7332605                       </w:t>
      </w:r>
    </w:p>
    <w:p w14:paraId="0818AF29">
      <w:pPr>
        <w:spacing w:line="360" w:lineRule="auto"/>
        <w:ind w:firstLine="480" w:firstLineChars="200"/>
        <w:rPr>
          <w:sz w:val="24"/>
        </w:rPr>
      </w:pPr>
      <w:r>
        <w:rPr>
          <w:sz w:val="24"/>
        </w:rPr>
        <w:t>环评单位名称：中煤科工集团杭州研究院有限公司</w:t>
      </w:r>
    </w:p>
    <w:p w14:paraId="5F9D475A">
      <w:pPr>
        <w:spacing w:line="360" w:lineRule="auto"/>
        <w:ind w:firstLine="480" w:firstLineChars="200"/>
        <w:rPr>
          <w:sz w:val="24"/>
        </w:rPr>
      </w:pPr>
      <w:r>
        <w:rPr>
          <w:sz w:val="24"/>
        </w:rPr>
        <w:t>联系方式：13738104198</w:t>
      </w:r>
    </w:p>
    <w:p w14:paraId="0434C010">
      <w:pPr>
        <w:spacing w:line="360" w:lineRule="auto"/>
        <w:ind w:firstLine="480" w:firstLineChars="200"/>
        <w:rPr>
          <w:sz w:val="24"/>
        </w:rPr>
      </w:pPr>
      <w:r>
        <w:rPr>
          <w:sz w:val="24"/>
        </w:rPr>
        <w:t>地址：杭州市</w:t>
      </w:r>
      <w:r>
        <w:rPr>
          <w:rFonts w:hint="eastAsia"/>
          <w:sz w:val="24"/>
        </w:rPr>
        <w:t>萧山区拱秀路2</w:t>
      </w:r>
      <w:r>
        <w:rPr>
          <w:sz w:val="24"/>
        </w:rPr>
        <w:t>88</w:t>
      </w:r>
      <w:r>
        <w:rPr>
          <w:rFonts w:hint="eastAsia"/>
          <w:sz w:val="24"/>
        </w:rPr>
        <w:t>号</w:t>
      </w:r>
    </w:p>
    <w:p w14:paraId="6446E2BB">
      <w:pPr>
        <w:spacing w:line="360" w:lineRule="auto"/>
        <w:ind w:firstLine="480" w:firstLineChars="200"/>
        <w:rPr>
          <w:sz w:val="24"/>
        </w:rPr>
      </w:pPr>
      <w:r>
        <w:rPr>
          <w:sz w:val="24"/>
        </w:rPr>
        <w:t>当地环保部门：舟山市生态环境局岱山</w:t>
      </w:r>
      <w:r>
        <w:rPr>
          <w:sz w:val="24"/>
          <w:lang w:val="zh-CN"/>
        </w:rPr>
        <w:t>分局</w:t>
      </w:r>
    </w:p>
    <w:p w14:paraId="23827BB4">
      <w:pPr>
        <w:spacing w:line="360" w:lineRule="auto"/>
        <w:ind w:firstLine="470" w:firstLineChars="196"/>
        <w:rPr>
          <w:sz w:val="24"/>
        </w:rPr>
      </w:pPr>
      <w:r>
        <w:rPr>
          <w:sz w:val="24"/>
        </w:rPr>
        <w:t>联系方式：0580-4476840</w:t>
      </w:r>
    </w:p>
    <w:p w14:paraId="6FC1FCC2">
      <w:pPr>
        <w:spacing w:line="360" w:lineRule="auto"/>
        <w:ind w:firstLine="480" w:firstLineChars="200"/>
        <w:rPr>
          <w:sz w:val="24"/>
        </w:rPr>
      </w:pPr>
      <w:r>
        <w:rPr>
          <w:sz w:val="24"/>
        </w:rPr>
        <w:t>审查单位名称：舟山市生态环境局</w:t>
      </w:r>
    </w:p>
    <w:p w14:paraId="2951151B">
      <w:pPr>
        <w:spacing w:line="360" w:lineRule="auto"/>
        <w:ind w:firstLine="480" w:firstLineChars="200"/>
        <w:rPr>
          <w:sz w:val="24"/>
        </w:rPr>
      </w:pPr>
      <w:r>
        <w:rPr>
          <w:sz w:val="24"/>
        </w:rPr>
        <w:t>联系方式：0580-2033012</w:t>
      </w:r>
    </w:p>
    <w:p w14:paraId="15D66AE0">
      <w:pPr>
        <w:spacing w:line="360" w:lineRule="auto"/>
        <w:ind w:firstLine="470" w:firstLineChars="196"/>
        <w:rPr>
          <w:sz w:val="24"/>
        </w:rPr>
      </w:pPr>
    </w:p>
    <w:p w14:paraId="4B27EE8C">
      <w:pPr>
        <w:widowControl/>
        <w:spacing w:line="360" w:lineRule="auto"/>
        <w:rPr>
          <w:b/>
          <w:sz w:val="24"/>
        </w:rPr>
      </w:pPr>
      <w:r>
        <w:rPr>
          <w:b/>
          <w:sz w:val="24"/>
        </w:rPr>
        <w:t>六、征求公众意见的范围和起止时间</w:t>
      </w:r>
    </w:p>
    <w:p w14:paraId="183AD629">
      <w:pPr>
        <w:widowControl/>
        <w:spacing w:line="360" w:lineRule="auto"/>
        <w:rPr>
          <w:color w:val="000000"/>
          <w:kern w:val="0"/>
          <w:sz w:val="24"/>
        </w:rPr>
      </w:pPr>
      <w:r>
        <w:rPr>
          <w:color w:val="000000"/>
          <w:kern w:val="0"/>
          <w:sz w:val="24"/>
        </w:rPr>
        <w:t>　　征求公众意见的主要事项包括：对当地环境质量现状的满意程度；当地主要的现状环境问题；对规划的了解程度；规划实施的环境保护措施满意程度；规划实施对周边居民就业和经济收入的影响；本规划的实施最担心的环境问题；</w:t>
      </w:r>
      <w:r>
        <w:rPr>
          <w:color w:val="000000"/>
          <w:sz w:val="24"/>
        </w:rPr>
        <w:t>规划实施对周围环境的影响程度</w:t>
      </w:r>
      <w:r>
        <w:rPr>
          <w:color w:val="000000"/>
          <w:kern w:val="0"/>
          <w:sz w:val="24"/>
        </w:rPr>
        <w:t>等。</w:t>
      </w:r>
    </w:p>
    <w:p w14:paraId="6D77CDF4">
      <w:pPr>
        <w:widowControl/>
        <w:spacing w:line="360" w:lineRule="auto"/>
        <w:rPr>
          <w:color w:val="000000"/>
          <w:kern w:val="0"/>
          <w:sz w:val="24"/>
        </w:rPr>
      </w:pPr>
      <w:r>
        <w:rPr>
          <w:color w:val="000000"/>
          <w:kern w:val="0"/>
          <w:sz w:val="24"/>
        </w:rPr>
        <w:t>　　公告起止日</w:t>
      </w:r>
      <w:r>
        <w:rPr>
          <w:kern w:val="0"/>
          <w:sz w:val="24"/>
        </w:rPr>
        <w:t>期为202</w:t>
      </w:r>
      <w:r>
        <w:rPr>
          <w:rFonts w:hint="eastAsia"/>
          <w:kern w:val="0"/>
          <w:sz w:val="24"/>
        </w:rPr>
        <w:t>3</w:t>
      </w:r>
      <w:r>
        <w:rPr>
          <w:kern w:val="0"/>
          <w:sz w:val="24"/>
        </w:rPr>
        <w:t>年</w:t>
      </w:r>
      <w:r>
        <w:rPr>
          <w:rFonts w:hint="eastAsia"/>
          <w:kern w:val="0"/>
          <w:sz w:val="24"/>
        </w:rPr>
        <w:t>2</w:t>
      </w:r>
      <w:r>
        <w:rPr>
          <w:kern w:val="0"/>
          <w:sz w:val="24"/>
        </w:rPr>
        <w:t>月</w:t>
      </w:r>
      <w:r>
        <w:rPr>
          <w:rFonts w:hint="eastAsia"/>
          <w:kern w:val="0"/>
          <w:sz w:val="24"/>
          <w:lang w:val="en-US" w:eastAsia="zh-CN"/>
        </w:rPr>
        <w:t>6</w:t>
      </w:r>
      <w:r>
        <w:rPr>
          <w:kern w:val="0"/>
          <w:sz w:val="24"/>
        </w:rPr>
        <w:t>日至202</w:t>
      </w:r>
      <w:r>
        <w:rPr>
          <w:rFonts w:hint="eastAsia"/>
          <w:kern w:val="0"/>
          <w:sz w:val="24"/>
        </w:rPr>
        <w:t>3</w:t>
      </w:r>
      <w:r>
        <w:rPr>
          <w:kern w:val="0"/>
          <w:sz w:val="24"/>
        </w:rPr>
        <w:t>年</w:t>
      </w:r>
      <w:r>
        <w:rPr>
          <w:rFonts w:hint="eastAsia"/>
          <w:kern w:val="0"/>
          <w:sz w:val="24"/>
        </w:rPr>
        <w:t>2</w:t>
      </w:r>
      <w:r>
        <w:rPr>
          <w:kern w:val="0"/>
          <w:sz w:val="24"/>
        </w:rPr>
        <w:t>月</w:t>
      </w:r>
      <w:r>
        <w:rPr>
          <w:rFonts w:hint="eastAsia"/>
          <w:kern w:val="0"/>
          <w:sz w:val="24"/>
          <w:lang w:val="en-US" w:eastAsia="zh-CN"/>
        </w:rPr>
        <w:t>17</w:t>
      </w:r>
      <w:r>
        <w:rPr>
          <w:kern w:val="0"/>
          <w:sz w:val="24"/>
        </w:rPr>
        <w:t>日，共10</w:t>
      </w:r>
      <w:r>
        <w:rPr>
          <w:color w:val="000000"/>
          <w:kern w:val="0"/>
          <w:sz w:val="24"/>
        </w:rPr>
        <w:t>个工作日，公告期间有关单位、专家、个人和社会各界可以来电、来信、来访等方式提出意见和建议。</w:t>
      </w:r>
    </w:p>
    <w:p w14:paraId="16010F66">
      <w:pPr>
        <w:widowControl/>
        <w:spacing w:line="360" w:lineRule="auto"/>
        <w:rPr>
          <w:color w:val="000000"/>
          <w:kern w:val="0"/>
          <w:sz w:val="24"/>
        </w:rPr>
      </w:pPr>
      <w:r>
        <w:rPr>
          <w:color w:val="000000"/>
          <w:kern w:val="0"/>
          <w:sz w:val="24"/>
        </w:rPr>
        <w:t xml:space="preserve">　　　 </w:t>
      </w:r>
    </w:p>
    <w:p w14:paraId="2837899F">
      <w:pPr>
        <w:widowControl/>
        <w:spacing w:line="360" w:lineRule="auto"/>
        <w:jc w:val="right"/>
        <w:rPr>
          <w:color w:val="000000"/>
          <w:kern w:val="0"/>
          <w:sz w:val="24"/>
        </w:rPr>
      </w:pPr>
      <w:bookmarkStart w:id="11" w:name="_Hlk503347696"/>
      <w:r>
        <w:rPr>
          <w:color w:val="000000"/>
          <w:kern w:val="0"/>
          <w:sz w:val="24"/>
        </w:rPr>
        <w:t>浙江岱山经济开发区管理委员会</w:t>
      </w:r>
    </w:p>
    <w:bookmarkEnd w:id="11"/>
    <w:p w14:paraId="7BF91057">
      <w:pPr>
        <w:widowControl/>
        <w:spacing w:line="360" w:lineRule="auto"/>
        <w:jc w:val="right"/>
        <w:rPr>
          <w:color w:val="000000"/>
          <w:kern w:val="0"/>
          <w:sz w:val="24"/>
        </w:rPr>
      </w:pPr>
      <w:r>
        <w:rPr>
          <w:color w:val="000000"/>
          <w:kern w:val="0"/>
          <w:sz w:val="24"/>
        </w:rPr>
        <w:t>202</w:t>
      </w:r>
      <w:r>
        <w:rPr>
          <w:rFonts w:hint="eastAsia"/>
          <w:color w:val="000000"/>
          <w:kern w:val="0"/>
          <w:sz w:val="24"/>
        </w:rPr>
        <w:t>3</w:t>
      </w:r>
      <w:r>
        <w:rPr>
          <w:color w:val="000000"/>
          <w:kern w:val="0"/>
          <w:sz w:val="24"/>
        </w:rPr>
        <w:t>年</w:t>
      </w:r>
      <w:r>
        <w:rPr>
          <w:rFonts w:hint="eastAsia"/>
          <w:color w:val="000000"/>
          <w:kern w:val="0"/>
          <w:sz w:val="24"/>
        </w:rPr>
        <w:t>2</w:t>
      </w:r>
      <w:r>
        <w:rPr>
          <w:color w:val="000000"/>
          <w:kern w:val="0"/>
          <w:sz w:val="24"/>
        </w:rPr>
        <w:t>月</w:t>
      </w:r>
      <w:r>
        <w:rPr>
          <w:rFonts w:hint="eastAsia"/>
          <w:color w:val="000000"/>
          <w:kern w:val="0"/>
          <w:sz w:val="24"/>
          <w:lang w:val="en-US" w:eastAsia="zh-CN"/>
        </w:rPr>
        <w:t>6</w:t>
      </w:r>
      <w:r>
        <w:rPr>
          <w:color w:val="000000"/>
          <w:kern w:val="0"/>
          <w:sz w:val="24"/>
        </w:rPr>
        <w:t>日</w:t>
      </w:r>
    </w:p>
    <w:sectPr>
      <w:pgSz w:w="11906" w:h="16838"/>
      <w:pgMar w:top="935" w:right="1091" w:bottom="1440" w:left="1260"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ZDhhMzA1ZmQ4YjY5OWRjNDRiZTc5Y2QwNTU1YjIifQ=="/>
  </w:docVars>
  <w:rsids>
    <w:rsidRoot w:val="00172A27"/>
    <w:rsid w:val="00045DA6"/>
    <w:rsid w:val="00073685"/>
    <w:rsid w:val="000951BE"/>
    <w:rsid w:val="0012121E"/>
    <w:rsid w:val="001223A0"/>
    <w:rsid w:val="00172A27"/>
    <w:rsid w:val="00190ECA"/>
    <w:rsid w:val="001942C1"/>
    <w:rsid w:val="001D5207"/>
    <w:rsid w:val="001F2B92"/>
    <w:rsid w:val="002102B2"/>
    <w:rsid w:val="0022219E"/>
    <w:rsid w:val="00226B92"/>
    <w:rsid w:val="00271037"/>
    <w:rsid w:val="0027692C"/>
    <w:rsid w:val="00284FAD"/>
    <w:rsid w:val="002A1739"/>
    <w:rsid w:val="002B4BFD"/>
    <w:rsid w:val="002C6F6B"/>
    <w:rsid w:val="00301E32"/>
    <w:rsid w:val="003B3B4F"/>
    <w:rsid w:val="003F6463"/>
    <w:rsid w:val="0047261C"/>
    <w:rsid w:val="00474C7A"/>
    <w:rsid w:val="00497A55"/>
    <w:rsid w:val="004D4EEF"/>
    <w:rsid w:val="00531835"/>
    <w:rsid w:val="005D70FA"/>
    <w:rsid w:val="005E1B88"/>
    <w:rsid w:val="005F73E8"/>
    <w:rsid w:val="006242DC"/>
    <w:rsid w:val="006972F4"/>
    <w:rsid w:val="006A387D"/>
    <w:rsid w:val="006B4C30"/>
    <w:rsid w:val="006B587C"/>
    <w:rsid w:val="00772C9F"/>
    <w:rsid w:val="007A1404"/>
    <w:rsid w:val="007D0EB0"/>
    <w:rsid w:val="00823527"/>
    <w:rsid w:val="008502C1"/>
    <w:rsid w:val="008544A1"/>
    <w:rsid w:val="00877464"/>
    <w:rsid w:val="00883FF7"/>
    <w:rsid w:val="008914F5"/>
    <w:rsid w:val="00895387"/>
    <w:rsid w:val="008A501B"/>
    <w:rsid w:val="00903EE6"/>
    <w:rsid w:val="0090436B"/>
    <w:rsid w:val="00987D3C"/>
    <w:rsid w:val="009F40E6"/>
    <w:rsid w:val="00A07487"/>
    <w:rsid w:val="00A360DC"/>
    <w:rsid w:val="00A67C67"/>
    <w:rsid w:val="00A843B8"/>
    <w:rsid w:val="00A86089"/>
    <w:rsid w:val="00AA4F0C"/>
    <w:rsid w:val="00B50585"/>
    <w:rsid w:val="00B6265F"/>
    <w:rsid w:val="00B92D9B"/>
    <w:rsid w:val="00BA0C0D"/>
    <w:rsid w:val="00BA2A15"/>
    <w:rsid w:val="00BA4DBB"/>
    <w:rsid w:val="00BD0AAA"/>
    <w:rsid w:val="00BE046E"/>
    <w:rsid w:val="00BE76E9"/>
    <w:rsid w:val="00C231FB"/>
    <w:rsid w:val="00C76645"/>
    <w:rsid w:val="00CB26D7"/>
    <w:rsid w:val="00CD076C"/>
    <w:rsid w:val="00CE7D6A"/>
    <w:rsid w:val="00E3730E"/>
    <w:rsid w:val="00E4241B"/>
    <w:rsid w:val="00EB2CBD"/>
    <w:rsid w:val="00EB424C"/>
    <w:rsid w:val="00F11BD5"/>
    <w:rsid w:val="00F96A52"/>
    <w:rsid w:val="00FC6DDF"/>
    <w:rsid w:val="03763BC5"/>
    <w:rsid w:val="04B769D7"/>
    <w:rsid w:val="05542478"/>
    <w:rsid w:val="06FC2945"/>
    <w:rsid w:val="09694018"/>
    <w:rsid w:val="0CEF732B"/>
    <w:rsid w:val="0CFC0531"/>
    <w:rsid w:val="0D6B65B1"/>
    <w:rsid w:val="0DC14423"/>
    <w:rsid w:val="0E7C3CF1"/>
    <w:rsid w:val="0EDC6F67"/>
    <w:rsid w:val="0F3E4977"/>
    <w:rsid w:val="100864D3"/>
    <w:rsid w:val="1128213E"/>
    <w:rsid w:val="136F14D4"/>
    <w:rsid w:val="15BF7820"/>
    <w:rsid w:val="16015B2F"/>
    <w:rsid w:val="1763654B"/>
    <w:rsid w:val="178D1819"/>
    <w:rsid w:val="194C587A"/>
    <w:rsid w:val="19F60C71"/>
    <w:rsid w:val="1A4B1717"/>
    <w:rsid w:val="1A6A4FB7"/>
    <w:rsid w:val="1BD23836"/>
    <w:rsid w:val="1C131A7C"/>
    <w:rsid w:val="20E357F5"/>
    <w:rsid w:val="210A7595"/>
    <w:rsid w:val="215164C0"/>
    <w:rsid w:val="218D69CE"/>
    <w:rsid w:val="21AC2755"/>
    <w:rsid w:val="23283497"/>
    <w:rsid w:val="26924756"/>
    <w:rsid w:val="273B41BA"/>
    <w:rsid w:val="27895B59"/>
    <w:rsid w:val="27B34661"/>
    <w:rsid w:val="27D1202F"/>
    <w:rsid w:val="2ADB2B70"/>
    <w:rsid w:val="2CB03B88"/>
    <w:rsid w:val="2CF6225B"/>
    <w:rsid w:val="30FB20E2"/>
    <w:rsid w:val="32690A61"/>
    <w:rsid w:val="343B127C"/>
    <w:rsid w:val="3A103EB8"/>
    <w:rsid w:val="3C286701"/>
    <w:rsid w:val="3CE8111C"/>
    <w:rsid w:val="3DE36532"/>
    <w:rsid w:val="3E1A5306"/>
    <w:rsid w:val="3F8B6862"/>
    <w:rsid w:val="3F95313E"/>
    <w:rsid w:val="3FC60617"/>
    <w:rsid w:val="407707ED"/>
    <w:rsid w:val="4148049C"/>
    <w:rsid w:val="44BC2C73"/>
    <w:rsid w:val="46250CEB"/>
    <w:rsid w:val="490D161C"/>
    <w:rsid w:val="4ABB26A4"/>
    <w:rsid w:val="4E30647F"/>
    <w:rsid w:val="4F101129"/>
    <w:rsid w:val="5156639E"/>
    <w:rsid w:val="5259040A"/>
    <w:rsid w:val="52AE282E"/>
    <w:rsid w:val="52CD68CC"/>
    <w:rsid w:val="53D4222B"/>
    <w:rsid w:val="54CA641E"/>
    <w:rsid w:val="571420F1"/>
    <w:rsid w:val="59633BAD"/>
    <w:rsid w:val="5A841756"/>
    <w:rsid w:val="5AAB711C"/>
    <w:rsid w:val="5B2C4BFF"/>
    <w:rsid w:val="5D35760E"/>
    <w:rsid w:val="5FD94725"/>
    <w:rsid w:val="60EE1FAE"/>
    <w:rsid w:val="623E0CBF"/>
    <w:rsid w:val="674129C2"/>
    <w:rsid w:val="67977F4F"/>
    <w:rsid w:val="6A440E91"/>
    <w:rsid w:val="6AD13EC3"/>
    <w:rsid w:val="6CB95945"/>
    <w:rsid w:val="6F1654F2"/>
    <w:rsid w:val="71C97BA8"/>
    <w:rsid w:val="72062ED0"/>
    <w:rsid w:val="73223D39"/>
    <w:rsid w:val="743867B5"/>
    <w:rsid w:val="749B3DA3"/>
    <w:rsid w:val="79A25BD4"/>
    <w:rsid w:val="7A811C8D"/>
    <w:rsid w:val="7ADA13E5"/>
    <w:rsid w:val="7B4B6285"/>
    <w:rsid w:val="B7B7A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widowControl/>
      <w:overflowPunct w:val="0"/>
      <w:adjustRightInd w:val="0"/>
      <w:snapToGrid w:val="0"/>
      <w:spacing w:before="60" w:line="460" w:lineRule="exact"/>
      <w:jc w:val="left"/>
      <w:textAlignment w:val="baseline"/>
      <w:outlineLvl w:val="3"/>
    </w:pPr>
    <w:rPr>
      <w:kern w:val="0"/>
      <w:sz w:val="24"/>
      <w:szCs w:val="20"/>
    </w:rPr>
  </w:style>
  <w:style w:type="paragraph" w:styleId="3">
    <w:name w:val="heading 5"/>
    <w:basedOn w:val="1"/>
    <w:next w:val="1"/>
    <w:qFormat/>
    <w:uiPriority w:val="0"/>
    <w:pPr>
      <w:widowControl/>
      <w:overflowPunct w:val="0"/>
      <w:adjustRightInd w:val="0"/>
      <w:snapToGrid w:val="0"/>
      <w:spacing w:line="480" w:lineRule="exact"/>
      <w:jc w:val="left"/>
      <w:textAlignment w:val="baseline"/>
      <w:outlineLvl w:val="4"/>
    </w:pPr>
    <w:rPr>
      <w:b/>
      <w:kern w:val="0"/>
      <w:sz w:val="24"/>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First Indent 2"/>
    <w:basedOn w:val="2"/>
    <w:next w:val="1"/>
    <w:qFormat/>
    <w:uiPriority w:val="0"/>
    <w:pPr>
      <w:spacing w:before="0" w:after="120" w:line="240" w:lineRule="auto"/>
      <w:ind w:left="420" w:leftChars="200" w:firstLine="420" w:firstLineChars="200"/>
    </w:pPr>
    <w:rPr>
      <w:rFonts w:asciiTheme="minorHAnsi"/>
      <w:szCs w:val="22"/>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Plain Text"/>
    <w:basedOn w:val="1"/>
    <w:next w:val="1"/>
    <w:qFormat/>
    <w:uiPriority w:val="0"/>
    <w:rPr>
      <w:rFonts w:ascii="宋体" w:cs="Courier New"/>
      <w:szCs w:val="21"/>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u w:val="single"/>
    </w:rPr>
  </w:style>
  <w:style w:type="character" w:customStyle="1" w:styleId="16">
    <w:name w:val="页眉 字符"/>
    <w:link w:val="10"/>
    <w:qFormat/>
    <w:uiPriority w:val="0"/>
    <w:rPr>
      <w:kern w:val="2"/>
      <w:sz w:val="18"/>
      <w:szCs w:val="18"/>
    </w:rPr>
  </w:style>
  <w:style w:type="character" w:customStyle="1" w:styleId="17">
    <w:name w:val="页脚 字符"/>
    <w:link w:val="9"/>
    <w:qFormat/>
    <w:uiPriority w:val="0"/>
    <w:rPr>
      <w:kern w:val="2"/>
      <w:sz w:val="18"/>
      <w:szCs w:val="18"/>
    </w:rPr>
  </w:style>
  <w:style w:type="paragraph" w:customStyle="1" w:styleId="18">
    <w:name w:val="正文01"/>
    <w:basedOn w:val="1"/>
    <w:qFormat/>
    <w:uiPriority w:val="0"/>
    <w:rPr>
      <w:kern w:val="0"/>
    </w:rPr>
  </w:style>
  <w:style w:type="paragraph" w:customStyle="1" w:styleId="19">
    <w:name w:val="样式 行距: 1.5 倍行距"/>
    <w:basedOn w:val="1"/>
    <w:qFormat/>
    <w:uiPriority w:val="0"/>
    <w:pPr>
      <w:spacing w:line="360" w:lineRule="auto"/>
      <w:ind w:firstLine="420" w:firstLineChars="200"/>
    </w:pPr>
    <w:rPr>
      <w:sz w:val="24"/>
    </w:rPr>
  </w:style>
  <w:style w:type="paragraph" w:customStyle="1" w:styleId="20">
    <w:name w:val="SA0正文文本"/>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4"/>
      <w:lang w:val="en-US" w:eastAsia="zh-CN" w:bidi="ar-SA"/>
    </w:rPr>
  </w:style>
  <w:style w:type="paragraph" w:customStyle="1" w:styleId="22">
    <w:name w:val="正文-7"/>
    <w:basedOn w:val="1"/>
    <w:qFormat/>
    <w:uiPriority w:val="0"/>
    <w:pPr>
      <w:spacing w:beforeLines="30" w:line="460" w:lineRule="exact"/>
      <w:ind w:firstLine="200" w:firstLineChars="200"/>
    </w:pPr>
    <w:rPr>
      <w:snapToGrid w:val="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6185</Words>
  <Characters>6370</Characters>
  <Lines>46</Lines>
  <Paragraphs>13</Paragraphs>
  <TotalTime>21</TotalTime>
  <ScaleCrop>false</ScaleCrop>
  <LinksUpToDate>false</LinksUpToDate>
  <CharactersWithSpaces>6403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2019-01-24T14:42:00Z</dcterms:created>
  <dc:creator>wz</dc:creator>
  <cp:lastModifiedBy>cxb</cp:lastModifiedBy>
  <dcterms:modified xsi:type="dcterms:W3CDTF">2025-05-07T17:15:57Z</dcterms:modified>
  <dc:title>宁波鄞州工业园区规划研究环境保护公告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B217DEF59E1CADA8CD241B687F72AE11_43</vt:lpwstr>
  </property>
</Properties>
</file>