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lang w:eastAsia="zh-CN"/>
        </w:rPr>
        <w:t>衢江</w:t>
      </w:r>
      <w:r>
        <w:t>区消防行政执法委托实施方案</w:t>
      </w:r>
    </w:p>
    <w:p>
      <w:pPr>
        <w:spacing w:line="560" w:lineRule="exact"/>
        <w:jc w:val="center"/>
        <w:rPr>
          <w:rFonts w:hint="eastAsia" w:eastAsia="方正小标宋简体"/>
          <w:sz w:val="44"/>
          <w:szCs w:val="44"/>
          <w:lang w:eastAsia="zh-CN"/>
        </w:rPr>
      </w:pPr>
      <w:r>
        <w:rPr>
          <w:rFonts w:hint="eastAsia" w:eastAsia="方正小标宋简体"/>
          <w:sz w:val="44"/>
          <w:szCs w:val="44"/>
          <w:lang w:eastAsia="zh-CN"/>
        </w:rPr>
        <w:t>（征求意见稿）</w:t>
      </w:r>
    </w:p>
    <w:p>
      <w:pPr>
        <w:pStyle w:val="9"/>
      </w:pPr>
    </w:p>
    <w:p>
      <w:pPr>
        <w:pStyle w:val="10"/>
        <w:ind w:firstLine="640"/>
        <w:rPr>
          <w:rFonts w:cs="Times New Roman"/>
        </w:rPr>
      </w:pPr>
      <w:r>
        <w:rPr>
          <w:rFonts w:cs="Times New Roman"/>
        </w:rPr>
        <w:t>为进一步</w:t>
      </w:r>
      <w:r>
        <w:rPr>
          <w:rFonts w:hint="eastAsia" w:cs="Times New Roman"/>
        </w:rPr>
        <w:t>完善消防安全治理体系，</w:t>
      </w:r>
      <w:r>
        <w:rPr>
          <w:rFonts w:cs="Times New Roman"/>
        </w:rPr>
        <w:t>更好发挥</w:t>
      </w:r>
      <w:r>
        <w:rPr>
          <w:rFonts w:hint="eastAsia" w:cs="Times New Roman"/>
        </w:rPr>
        <w:t>乡镇</w:t>
      </w:r>
      <w:r>
        <w:rPr>
          <w:rFonts w:cs="Times New Roman"/>
        </w:rPr>
        <w:t>（街道）属地管理作用，</w:t>
      </w:r>
      <w:r>
        <w:rPr>
          <w:rFonts w:hint="eastAsia" w:cs="Times New Roman"/>
        </w:rPr>
        <w:t>压实</w:t>
      </w:r>
      <w:r>
        <w:rPr>
          <w:rFonts w:cs="Times New Roman"/>
        </w:rPr>
        <w:t>责任</w:t>
      </w:r>
      <w:r>
        <w:rPr>
          <w:rFonts w:hint="eastAsia" w:cs="Times New Roman"/>
        </w:rPr>
        <w:t>、</w:t>
      </w:r>
      <w:r>
        <w:rPr>
          <w:rFonts w:cs="Times New Roman"/>
        </w:rPr>
        <w:t>强化预防</w:t>
      </w:r>
      <w:r>
        <w:rPr>
          <w:rFonts w:hint="eastAsia" w:cs="Times New Roman"/>
        </w:rPr>
        <w:t>、</w:t>
      </w:r>
      <w:r>
        <w:rPr>
          <w:rFonts w:cs="Times New Roman"/>
        </w:rPr>
        <w:t>整治隐患</w:t>
      </w:r>
      <w:r>
        <w:rPr>
          <w:rFonts w:hint="eastAsia" w:cs="Times New Roman"/>
        </w:rPr>
        <w:t>、</w:t>
      </w:r>
      <w:r>
        <w:rPr>
          <w:rFonts w:cs="Times New Roman"/>
        </w:rPr>
        <w:t>夯实基础，提升基层火灾防控能力</w:t>
      </w:r>
      <w:r>
        <w:rPr>
          <w:rFonts w:hint="eastAsia" w:cs="Times New Roman"/>
        </w:rPr>
        <w:t>，</w:t>
      </w:r>
      <w:r>
        <w:rPr>
          <w:rFonts w:cs="Times New Roman"/>
        </w:rPr>
        <w:t>根据《中华人民共和国消防法》《中华人民共和国行政处罚法》《浙江省消防条例》等有关法律法规</w:t>
      </w:r>
      <w:r>
        <w:rPr>
          <w:rFonts w:hint="eastAsia" w:cs="Times New Roman"/>
        </w:rPr>
        <w:t>的</w:t>
      </w:r>
      <w:r>
        <w:rPr>
          <w:rFonts w:cs="Times New Roman"/>
        </w:rPr>
        <w:t>规定，</w:t>
      </w:r>
      <w:r>
        <w:rPr>
          <w:rFonts w:hint="eastAsia" w:cs="Times New Roman"/>
        </w:rPr>
        <w:t>结合</w:t>
      </w:r>
      <w:r>
        <w:rPr>
          <w:rFonts w:hint="eastAsia" w:cs="Times New Roman"/>
          <w:lang w:eastAsia="zh-CN"/>
        </w:rPr>
        <w:t>衢江</w:t>
      </w:r>
      <w:r>
        <w:rPr>
          <w:rFonts w:hint="eastAsia" w:cs="Times New Roman"/>
        </w:rPr>
        <w:t>实际</w:t>
      </w:r>
      <w:r>
        <w:rPr>
          <w:rFonts w:cs="Times New Roman"/>
        </w:rPr>
        <w:t>，</w:t>
      </w:r>
      <w:r>
        <w:rPr>
          <w:rFonts w:hint="eastAsia" w:cs="Times New Roman"/>
        </w:rPr>
        <w:t>制定本方案</w:t>
      </w:r>
      <w:r>
        <w:rPr>
          <w:rFonts w:cs="Times New Roman"/>
        </w:rPr>
        <w:t>。</w:t>
      </w:r>
    </w:p>
    <w:p>
      <w:pPr>
        <w:pStyle w:val="13"/>
        <w:ind w:firstLine="640"/>
      </w:pPr>
      <w:r>
        <w:t>一、指导思想</w:t>
      </w:r>
    </w:p>
    <w:p>
      <w:pPr>
        <w:pStyle w:val="10"/>
        <w:ind w:firstLine="640"/>
        <w:rPr>
          <w:rFonts w:cs="Times New Roman"/>
        </w:rPr>
      </w:pPr>
      <w:r>
        <w:rPr>
          <w:rFonts w:hint="eastAsia" w:cs="Times New Roman"/>
        </w:rPr>
        <w:t>以习近平新时代中国特色社会主义思想为指导，坚持人民至上、生命至上，牢固树立安全发展理念，全面深化消防执法改革，坚持整体智治、上下联动，构建权责统一、运行规范、精简高效、保障有力的基层执法体制机制。</w:t>
      </w:r>
    </w:p>
    <w:p>
      <w:pPr>
        <w:pStyle w:val="13"/>
        <w:ind w:firstLine="640"/>
      </w:pPr>
      <w:r>
        <w:rPr>
          <w:rFonts w:hint="eastAsia"/>
        </w:rPr>
        <w:t>二、工作目标</w:t>
      </w:r>
    </w:p>
    <w:p>
      <w:pPr>
        <w:pStyle w:val="10"/>
        <w:ind w:firstLine="640"/>
        <w:rPr>
          <w:rFonts w:cs="Times New Roman"/>
        </w:rPr>
      </w:pPr>
      <w:r>
        <w:rPr>
          <w:rFonts w:cs="Times New Roman"/>
        </w:rPr>
        <w:t>以提升</w:t>
      </w:r>
      <w:r>
        <w:rPr>
          <w:rFonts w:hint="eastAsia" w:cs="Times New Roman"/>
        </w:rPr>
        <w:t>乡镇（街道）</w:t>
      </w:r>
      <w:r>
        <w:rPr>
          <w:rFonts w:cs="Times New Roman"/>
        </w:rPr>
        <w:t>消防安全监管水平为着力点，通过明确法定职责、规范委托执法职权等形式，切实加强基层消防安全网格化管理，夯实</w:t>
      </w:r>
      <w:r>
        <w:rPr>
          <w:rFonts w:hint="eastAsia" w:cs="Times New Roman"/>
        </w:rPr>
        <w:t>乡镇（街道）</w:t>
      </w:r>
      <w:r>
        <w:rPr>
          <w:rFonts w:cs="Times New Roman"/>
        </w:rPr>
        <w:t>火灾防控基础，为服务全区经济社会发展</w:t>
      </w:r>
      <w:r>
        <w:rPr>
          <w:rFonts w:hint="eastAsia" w:cs="Times New Roman"/>
        </w:rPr>
        <w:t>营造良好</w:t>
      </w:r>
      <w:r>
        <w:rPr>
          <w:rFonts w:cs="Times New Roman"/>
        </w:rPr>
        <w:t>的消防安全环境。</w:t>
      </w:r>
    </w:p>
    <w:p>
      <w:pPr>
        <w:pStyle w:val="13"/>
        <w:ind w:firstLine="640"/>
      </w:pPr>
      <w:r>
        <w:rPr>
          <w:rFonts w:hint="eastAsia"/>
        </w:rPr>
        <w:t>三</w:t>
      </w:r>
      <w:r>
        <w:t>、委托执法依据</w:t>
      </w:r>
    </w:p>
    <w:p>
      <w:pPr>
        <w:pStyle w:val="10"/>
        <w:ind w:firstLine="640"/>
        <w:rPr>
          <w:rFonts w:cs="Times New Roman"/>
        </w:rPr>
      </w:pPr>
      <w:r>
        <w:rPr>
          <w:rFonts w:cs="Times New Roman"/>
        </w:rPr>
        <w:t>（一）根据《浙江省消防条例》第五十七条第一款规定，</w:t>
      </w:r>
      <w:r>
        <w:rPr>
          <w:rFonts w:hint="eastAsia" w:cs="Times New Roman"/>
        </w:rPr>
        <w:t>乡镇人民政府、街道办事处</w:t>
      </w:r>
      <w:r>
        <w:rPr>
          <w:rFonts w:cs="Times New Roman"/>
        </w:rPr>
        <w:t>有权行使监督检查权和责令改正权。</w:t>
      </w:r>
    </w:p>
    <w:p>
      <w:pPr>
        <w:pStyle w:val="10"/>
        <w:ind w:firstLine="640"/>
        <w:rPr>
          <w:rFonts w:cs="Times New Roman"/>
        </w:rPr>
      </w:pPr>
      <w:r>
        <w:rPr>
          <w:rFonts w:cs="Times New Roman"/>
        </w:rPr>
        <w:t>（二）根据《浙江省消防条例》第五十七条第三款规定，消防救援机构可以委托</w:t>
      </w:r>
      <w:r>
        <w:rPr>
          <w:rFonts w:hint="eastAsia" w:cs="Times New Roman"/>
        </w:rPr>
        <w:t>乡镇（街道）</w:t>
      </w:r>
      <w:r>
        <w:rPr>
          <w:rFonts w:cs="Times New Roman"/>
        </w:rPr>
        <w:t>符合法定条件的组织，对有关违反消防安全管理的行为依法实施行政处罚。</w:t>
      </w:r>
    </w:p>
    <w:p>
      <w:pPr>
        <w:pStyle w:val="10"/>
        <w:ind w:firstLine="640"/>
        <w:rPr>
          <w:rFonts w:cs="Times New Roman"/>
        </w:rPr>
      </w:pPr>
      <w:r>
        <w:rPr>
          <w:rFonts w:cs="Times New Roman"/>
        </w:rPr>
        <w:t>（三）根据《中华人民共和国行政处罚法》第二十条规定</w:t>
      </w:r>
      <w:r>
        <w:rPr>
          <w:rFonts w:hint="eastAsia" w:cs="Times New Roman"/>
        </w:rPr>
        <w:t>，</w:t>
      </w:r>
      <w:r>
        <w:rPr>
          <w:rFonts w:cs="Times New Roman"/>
        </w:rPr>
        <w:t>行政机关依照法律、法规或者规章的规定，可以在其法定权限内书面委托符合本法第二十一条规定条件的组织实施行政处罚。</w:t>
      </w:r>
    </w:p>
    <w:p>
      <w:pPr>
        <w:pStyle w:val="13"/>
        <w:ind w:firstLine="640"/>
      </w:pPr>
      <w:r>
        <w:rPr>
          <w:rFonts w:hint="eastAsia"/>
        </w:rPr>
        <w:t>四</w:t>
      </w:r>
      <w:r>
        <w:t>、委托执法内容</w:t>
      </w:r>
    </w:p>
    <w:p>
      <w:pPr>
        <w:pStyle w:val="10"/>
        <w:ind w:firstLine="640"/>
        <w:rPr>
          <w:rFonts w:cs="Times New Roman"/>
        </w:rPr>
      </w:pPr>
      <w:r>
        <w:rPr>
          <w:rFonts w:hint="eastAsia" w:eastAsia="楷体_GB2312"/>
        </w:rPr>
        <w:t>（一）</w:t>
      </w:r>
      <w:r>
        <w:rPr>
          <w:rFonts w:eastAsia="楷体_GB2312"/>
        </w:rPr>
        <w:t>受委托执法主体。</w:t>
      </w:r>
      <w:r>
        <w:rPr>
          <w:rFonts w:hint="eastAsia" w:cs="Times New Roman"/>
        </w:rPr>
        <w:t>各乡镇（街道）</w:t>
      </w:r>
      <w:r>
        <w:rPr>
          <w:rFonts w:cs="Times New Roman"/>
        </w:rPr>
        <w:t>以</w:t>
      </w:r>
      <w:r>
        <w:rPr>
          <w:rFonts w:hint="eastAsia" w:cs="Times New Roman"/>
        </w:rPr>
        <w:t>区消防救援大队</w:t>
      </w:r>
      <w:r>
        <w:rPr>
          <w:rFonts w:cs="Times New Roman"/>
        </w:rPr>
        <w:t>名义在委托范围内行使行政执法职权。各</w:t>
      </w:r>
      <w:r>
        <w:rPr>
          <w:rFonts w:hint="eastAsia" w:cs="Times New Roman"/>
        </w:rPr>
        <w:t>乡</w:t>
      </w:r>
      <w:r>
        <w:rPr>
          <w:rFonts w:cs="Times New Roman"/>
        </w:rPr>
        <w:t>镇（街道）应当健全消防行政执法责任制和执法工作制度，配备与工作任务相适应的专（兼）职人员，其中具有行政执法资格的人员不得少于2名。</w:t>
      </w:r>
    </w:p>
    <w:p>
      <w:pPr>
        <w:pStyle w:val="17"/>
        <w:ind w:firstLine="640"/>
        <w:rPr>
          <w:rFonts w:eastAsia="仿宋_GB2312" w:cs="Times New Roman"/>
        </w:rPr>
      </w:pPr>
      <w:r>
        <w:t>（</w:t>
      </w:r>
      <w:r>
        <w:rPr>
          <w:rFonts w:hint="eastAsia"/>
        </w:rPr>
        <w:t>二</w:t>
      </w:r>
      <w:r>
        <w:t>）</w:t>
      </w:r>
      <w:r>
        <w:rPr>
          <w:rFonts w:hint="eastAsia"/>
        </w:rPr>
        <w:t>委托</w:t>
      </w:r>
      <w:r>
        <w:t>执法范围</w:t>
      </w:r>
      <w:r>
        <w:rPr>
          <w:rFonts w:hint="eastAsia"/>
        </w:rPr>
        <w:t>。</w:t>
      </w:r>
      <w:r>
        <w:rPr>
          <w:rFonts w:eastAsia="仿宋_GB2312" w:cs="Times New Roman"/>
        </w:rPr>
        <w:t>各</w:t>
      </w:r>
      <w:r>
        <w:rPr>
          <w:rFonts w:hint="eastAsia" w:eastAsia="仿宋_GB2312" w:cs="Times New Roman"/>
        </w:rPr>
        <w:t>乡</w:t>
      </w:r>
      <w:r>
        <w:rPr>
          <w:rFonts w:eastAsia="仿宋_GB2312" w:cs="Times New Roman"/>
        </w:rPr>
        <w:t>镇（街道）可对本行政区域内除依法依规确定的消防安全重点单位以外的公民、法人或者其他组织遵守消防法律、法规、规章的情况进行消防监督执法。</w:t>
      </w:r>
    </w:p>
    <w:p>
      <w:pPr>
        <w:pStyle w:val="10"/>
        <w:ind w:firstLine="640"/>
        <w:rPr>
          <w:rFonts w:hint="eastAsia" w:cs="Times New Roman"/>
        </w:rPr>
      </w:pPr>
      <w:r>
        <w:rPr>
          <w:rFonts w:hint="eastAsia" w:eastAsia="楷体_GB2312"/>
        </w:rPr>
        <w:t>（三）</w:t>
      </w:r>
      <w:r>
        <w:rPr>
          <w:rFonts w:eastAsia="楷体_GB2312"/>
        </w:rPr>
        <w:t>委托执法权限。</w:t>
      </w:r>
      <w:r>
        <w:rPr>
          <w:rFonts w:cs="Times New Roman"/>
        </w:rPr>
        <w:t>各</w:t>
      </w:r>
      <w:r>
        <w:rPr>
          <w:rFonts w:hint="eastAsia" w:cs="Times New Roman"/>
        </w:rPr>
        <w:t>乡</w:t>
      </w:r>
      <w:r>
        <w:rPr>
          <w:rFonts w:cs="Times New Roman"/>
        </w:rPr>
        <w:t>镇（街道）可根据《中华人民共和国消防法》第六十条第一款第（三）</w:t>
      </w:r>
      <w:r>
        <w:rPr>
          <w:rFonts w:hint="eastAsia" w:cs="Times New Roman"/>
        </w:rPr>
        <w:t>（四）（五）</w:t>
      </w:r>
      <w:r>
        <w:rPr>
          <w:rFonts w:cs="Times New Roman"/>
        </w:rPr>
        <w:t>（六）项（第一款第</w:t>
      </w:r>
      <w:r>
        <w:rPr>
          <w:rFonts w:hint="eastAsia" w:cs="Times New Roman"/>
        </w:rPr>
        <w:t>（</w:t>
      </w:r>
      <w:r>
        <w:rPr>
          <w:rFonts w:cs="Times New Roman"/>
        </w:rPr>
        <w:t>一</w:t>
      </w:r>
      <w:r>
        <w:rPr>
          <w:rFonts w:hint="eastAsia" w:cs="Times New Roman"/>
        </w:rPr>
        <w:t>）（二）</w:t>
      </w:r>
      <w:r>
        <w:rPr>
          <w:rFonts w:cs="Times New Roman"/>
        </w:rPr>
        <w:t>（七）项及已赋权、划转事项除外</w:t>
      </w:r>
      <w:r>
        <w:rPr>
          <w:rFonts w:hint="eastAsia" w:cs="Times New Roman"/>
        </w:rPr>
        <w:t>）；《浙江省消防条例》第六十三条第一、二款，</w:t>
      </w:r>
      <w:r>
        <w:rPr>
          <w:rFonts w:cs="Times New Roman"/>
        </w:rPr>
        <w:t>《浙江省消防条例》第六十四条第二款（已赋权、划转事项除外）</w:t>
      </w:r>
      <w:r>
        <w:rPr>
          <w:rFonts w:hint="eastAsia" w:cs="Times New Roman"/>
        </w:rPr>
        <w:t>；《高层民用建筑消防安全管理规定》第四十七条第七项规定的行政处罚（见附件1）。</w:t>
      </w:r>
    </w:p>
    <w:p>
      <w:pPr>
        <w:pStyle w:val="10"/>
        <w:ind w:firstLine="640"/>
        <w:rPr>
          <w:rFonts w:cs="Times New Roman"/>
        </w:rPr>
      </w:pPr>
      <w:r>
        <w:rPr>
          <w:rFonts w:hint="eastAsia" w:eastAsia="楷体_GB2312"/>
        </w:rPr>
        <w:t>（</w:t>
      </w:r>
      <w:r>
        <w:rPr>
          <w:rFonts w:hint="eastAsia" w:eastAsia="楷体_GB2312"/>
          <w:lang w:val="en-US" w:eastAsia="zh-CN"/>
        </w:rPr>
        <w:t>四</w:t>
      </w:r>
      <w:r>
        <w:rPr>
          <w:rFonts w:hint="eastAsia" w:eastAsia="楷体_GB2312"/>
        </w:rPr>
        <w:t>）</w:t>
      </w:r>
      <w:r>
        <w:rPr>
          <w:rFonts w:eastAsia="楷体_GB2312"/>
        </w:rPr>
        <w:t>委托执法方式。</w:t>
      </w:r>
      <w:r>
        <w:rPr>
          <w:rFonts w:hint="eastAsia" w:cs="Times New Roman"/>
        </w:rPr>
        <w:t>由区消防救援大队</w:t>
      </w:r>
      <w:r>
        <w:rPr>
          <w:rFonts w:cs="Times New Roman"/>
        </w:rPr>
        <w:t>与</w:t>
      </w:r>
      <w:r>
        <w:rPr>
          <w:rFonts w:hint="eastAsia" w:cs="Times New Roman"/>
        </w:rPr>
        <w:t>各乡镇（街道</w:t>
      </w:r>
      <w:r>
        <w:rPr>
          <w:rFonts w:hint="eastAsia" w:cs="Times New Roman"/>
          <w:lang w:eastAsia="zh-CN"/>
        </w:rPr>
        <w:t>、办事处</w:t>
      </w:r>
      <w:r>
        <w:rPr>
          <w:rFonts w:hint="eastAsia" w:cs="Times New Roman"/>
        </w:rPr>
        <w:t>）</w:t>
      </w:r>
      <w:r>
        <w:rPr>
          <w:rFonts w:cs="Times New Roman"/>
        </w:rPr>
        <w:t>签订《行政执法委托协议书》（见附件2），明确委托执法的具体范围和权限，并自签订之日起5日内将《行政执法委托协议书》报送衢州市消防救援支队和</w:t>
      </w:r>
      <w:r>
        <w:rPr>
          <w:rFonts w:hint="eastAsia" w:cs="Times New Roman"/>
          <w:lang w:eastAsia="zh-CN"/>
        </w:rPr>
        <w:t>衢江</w:t>
      </w:r>
      <w:r>
        <w:rPr>
          <w:rFonts w:cs="Times New Roman"/>
        </w:rPr>
        <w:t>区司法局备案，</w:t>
      </w:r>
      <w:r>
        <w:rPr>
          <w:rFonts w:hint="eastAsia" w:cs="Times New Roman"/>
        </w:rPr>
        <w:t>同时</w:t>
      </w:r>
      <w:r>
        <w:rPr>
          <w:rFonts w:cs="Times New Roman"/>
        </w:rPr>
        <w:t>将委托协议书向社会公布。</w:t>
      </w:r>
    </w:p>
    <w:p>
      <w:pPr>
        <w:pStyle w:val="10"/>
        <w:ind w:firstLine="640"/>
        <w:rPr>
          <w:rFonts w:cs="Times New Roman"/>
        </w:rPr>
      </w:pPr>
      <w:r>
        <w:rPr>
          <w:rFonts w:hint="eastAsia" w:eastAsia="楷体_GB2312"/>
        </w:rPr>
        <w:t>（</w:t>
      </w:r>
      <w:r>
        <w:rPr>
          <w:rFonts w:hint="eastAsia" w:eastAsia="楷体_GB2312"/>
          <w:lang w:val="en-US" w:eastAsia="zh-CN"/>
        </w:rPr>
        <w:t>五</w:t>
      </w:r>
      <w:r>
        <w:rPr>
          <w:rFonts w:hint="eastAsia" w:eastAsia="楷体_GB2312"/>
        </w:rPr>
        <w:t>）</w:t>
      </w:r>
      <w:r>
        <w:rPr>
          <w:rFonts w:eastAsia="楷体_GB2312"/>
        </w:rPr>
        <w:t>委托执法程序。</w:t>
      </w:r>
      <w:r>
        <w:rPr>
          <w:rFonts w:hint="eastAsia" w:cs="Times New Roman"/>
        </w:rPr>
        <w:t>各乡镇（街道）</w:t>
      </w:r>
      <w:r>
        <w:rPr>
          <w:rFonts w:cs="Times New Roman"/>
        </w:rPr>
        <w:t>发现消防违法行为线索后认为需予以行政处罚的，应依法予以立案，并开展调查取证，拟定行政处罚告知笔录、行政处罚决定书等文书，报区消防救援大队法制审核和区消防救援大队负责人签发后，送达当事人。违法行为轻微、事实确凿的，在收集证据、口头告知违法行为人违法事实、理由、依据及其享有的陈述权和申辩权后，可以当场处罚。在执法过程中收取的行政罚款收入，严格执行“罚缴分离</w:t>
      </w:r>
      <w:r>
        <w:rPr>
          <w:rFonts w:hint="eastAsia" w:cs="Times New Roman"/>
        </w:rPr>
        <w:t>”“</w:t>
      </w:r>
      <w:r>
        <w:rPr>
          <w:rFonts w:cs="Times New Roman"/>
        </w:rPr>
        <w:t>收支两条线”管理制度，按照现行财政体制统一上缴国库。</w:t>
      </w:r>
      <w:r>
        <w:rPr>
          <w:rFonts w:hint="eastAsia" w:cs="Times New Roman"/>
        </w:rPr>
        <w:t>各乡镇（街道</w:t>
      </w:r>
      <w:r>
        <w:rPr>
          <w:rFonts w:hint="eastAsia" w:cs="Times New Roman"/>
          <w:lang w:eastAsia="zh-CN"/>
        </w:rPr>
        <w:t>、办事处</w:t>
      </w:r>
      <w:r>
        <w:rPr>
          <w:rFonts w:hint="eastAsia" w:cs="Times New Roman"/>
        </w:rPr>
        <w:t>）</w:t>
      </w:r>
      <w:r>
        <w:rPr>
          <w:rFonts w:cs="Times New Roman"/>
        </w:rPr>
        <w:t>发现消防违法行为不属于其受委托职权范围的，应当</w:t>
      </w:r>
      <w:r>
        <w:rPr>
          <w:rFonts w:hint="eastAsia" w:cs="Times New Roman"/>
        </w:rPr>
        <w:t>及时</w:t>
      </w:r>
      <w:r>
        <w:rPr>
          <w:rFonts w:cs="Times New Roman"/>
        </w:rPr>
        <w:t>报区消防救援大队。</w:t>
      </w:r>
    </w:p>
    <w:p>
      <w:pPr>
        <w:pStyle w:val="10"/>
        <w:ind w:firstLine="640"/>
        <w:rPr>
          <w:rFonts w:cs="Times New Roman"/>
        </w:rPr>
      </w:pPr>
      <w:r>
        <w:rPr>
          <w:rFonts w:hint="eastAsia" w:eastAsia="楷体_GB2312"/>
        </w:rPr>
        <w:t>（</w:t>
      </w:r>
      <w:r>
        <w:rPr>
          <w:rFonts w:hint="eastAsia" w:eastAsia="楷体_GB2312"/>
          <w:lang w:val="en-US" w:eastAsia="zh-CN"/>
        </w:rPr>
        <w:t>六</w:t>
      </w:r>
      <w:bookmarkStart w:id="0" w:name="_GoBack"/>
      <w:bookmarkEnd w:id="0"/>
      <w:r>
        <w:rPr>
          <w:rFonts w:hint="eastAsia" w:eastAsia="楷体_GB2312"/>
        </w:rPr>
        <w:t>）</w:t>
      </w:r>
      <w:r>
        <w:rPr>
          <w:rFonts w:eastAsia="楷体_GB2312"/>
        </w:rPr>
        <w:t>委托执法责任。</w:t>
      </w:r>
      <w:r>
        <w:rPr>
          <w:rFonts w:hint="eastAsia" w:cs="Times New Roman"/>
        </w:rPr>
        <w:t>区消防救援大队</w:t>
      </w:r>
      <w:r>
        <w:rPr>
          <w:rFonts w:cs="Times New Roman"/>
        </w:rPr>
        <w:t>对全区</w:t>
      </w:r>
      <w:r>
        <w:rPr>
          <w:rFonts w:hint="eastAsia" w:cs="Times New Roman"/>
        </w:rPr>
        <w:t>各乡镇（街道</w:t>
      </w:r>
      <w:r>
        <w:rPr>
          <w:rFonts w:hint="eastAsia" w:cs="Times New Roman"/>
          <w:lang w:eastAsia="zh-CN"/>
        </w:rPr>
        <w:t>、办事处</w:t>
      </w:r>
      <w:r>
        <w:rPr>
          <w:rFonts w:hint="eastAsia" w:cs="Times New Roman"/>
        </w:rPr>
        <w:t>）</w:t>
      </w:r>
      <w:r>
        <w:rPr>
          <w:rFonts w:cs="Times New Roman"/>
        </w:rPr>
        <w:t>消防行政执法行为进行监督，并对其受托消防行政执法行为的后果承担法律责任。</w:t>
      </w:r>
      <w:r>
        <w:rPr>
          <w:rFonts w:hint="eastAsia" w:cs="Times New Roman"/>
        </w:rPr>
        <w:t>各乡镇（街道</w:t>
      </w:r>
      <w:r>
        <w:rPr>
          <w:rFonts w:hint="eastAsia" w:cs="Times New Roman"/>
          <w:lang w:eastAsia="zh-CN"/>
        </w:rPr>
        <w:t>、办事处</w:t>
      </w:r>
      <w:r>
        <w:rPr>
          <w:rFonts w:hint="eastAsia" w:cs="Times New Roman"/>
        </w:rPr>
        <w:t>）</w:t>
      </w:r>
      <w:r>
        <w:rPr>
          <w:rFonts w:cs="Times New Roman"/>
        </w:rPr>
        <w:t>消防行政执法行为存在过错，情节严重或超越委托权限和范围行使行政执法职权，</w:t>
      </w:r>
      <w:r>
        <w:rPr>
          <w:rFonts w:hint="eastAsia" w:cs="Times New Roman"/>
        </w:rPr>
        <w:t>以及</w:t>
      </w:r>
      <w:r>
        <w:rPr>
          <w:rFonts w:cs="Times New Roman"/>
        </w:rPr>
        <w:t>将委托的行政执法职权再委托给其他组织或个人行使的，</w:t>
      </w:r>
      <w:r>
        <w:rPr>
          <w:rFonts w:hint="eastAsia" w:cs="Times New Roman"/>
        </w:rPr>
        <w:t>区消防救援大队</w:t>
      </w:r>
      <w:r>
        <w:rPr>
          <w:rFonts w:cs="Times New Roman"/>
        </w:rPr>
        <w:t>可以解除行政执法委托协议并追究相关责任。</w:t>
      </w:r>
    </w:p>
    <w:p>
      <w:pPr>
        <w:pStyle w:val="13"/>
        <w:ind w:firstLine="640"/>
      </w:pPr>
      <w:r>
        <w:rPr>
          <w:rFonts w:hint="eastAsia"/>
        </w:rPr>
        <w:t>五</w:t>
      </w:r>
      <w:r>
        <w:t>、工作要求</w:t>
      </w:r>
    </w:p>
    <w:p>
      <w:pPr>
        <w:pStyle w:val="10"/>
        <w:ind w:firstLine="640"/>
        <w:rPr>
          <w:rFonts w:cs="Times New Roman"/>
        </w:rPr>
      </w:pPr>
      <w:r>
        <w:rPr>
          <w:rStyle w:val="18"/>
        </w:rPr>
        <w:t>（一）加强组织领导。</w:t>
      </w:r>
      <w:r>
        <w:rPr>
          <w:rFonts w:hint="eastAsia" w:cs="Times New Roman"/>
        </w:rPr>
        <w:t>各乡镇（街道）</w:t>
      </w:r>
      <w:r>
        <w:rPr>
          <w:rFonts w:cs="Times New Roman"/>
        </w:rPr>
        <w:t>要高度重视，</w:t>
      </w:r>
      <w:r>
        <w:rPr>
          <w:rFonts w:hint="eastAsia" w:cs="Times New Roman"/>
        </w:rPr>
        <w:t>按照</w:t>
      </w:r>
      <w:r>
        <w:rPr>
          <w:rFonts w:cs="Times New Roman"/>
        </w:rPr>
        <w:t>区委、区政府统一部署，结合现行的管理体制和消防行政执法现状，</w:t>
      </w:r>
      <w:r>
        <w:rPr>
          <w:rFonts w:hint="eastAsia" w:cs="Times New Roman"/>
        </w:rPr>
        <w:t>按照“</w:t>
      </w:r>
      <w:r>
        <w:rPr>
          <w:rFonts w:cs="Times New Roman"/>
        </w:rPr>
        <w:t>镇街先行试点、乡逐步推广”的原则，认真做好辖区范围内消防监督执法工作，</w:t>
      </w:r>
      <w:r>
        <w:rPr>
          <w:rFonts w:hint="eastAsia" w:cs="Times New Roman"/>
          <w:lang w:eastAsia="zh-CN"/>
        </w:rPr>
        <w:t>逐步实现</w:t>
      </w:r>
      <w:r>
        <w:rPr>
          <w:rFonts w:cs="Times New Roman"/>
        </w:rPr>
        <w:t>消防行政执法委托全覆盖的目标。</w:t>
      </w:r>
    </w:p>
    <w:p>
      <w:pPr>
        <w:pStyle w:val="10"/>
        <w:ind w:firstLine="640"/>
        <w:rPr>
          <w:rFonts w:cs="Times New Roman"/>
        </w:rPr>
      </w:pPr>
      <w:r>
        <w:rPr>
          <w:rStyle w:val="18"/>
        </w:rPr>
        <w:t>（二）加强培训指导。</w:t>
      </w:r>
      <w:r>
        <w:rPr>
          <w:rFonts w:hint="eastAsia" w:cs="Times New Roman"/>
        </w:rPr>
        <w:t>各乡镇（街道）</w:t>
      </w:r>
      <w:r>
        <w:rPr>
          <w:rFonts w:cs="Times New Roman"/>
        </w:rPr>
        <w:t>要切实加强行政执法队伍建设，选配素质好、能力强的干部到行政执法岗位，并建立执法公开和案件报告制度。区消防救援大队要加强对行政执法人员的业务培训，切实提高执法人员依法行政、依法办事的能力和水平，确保其遵纪守法、秉公执法。</w:t>
      </w:r>
    </w:p>
    <w:p>
      <w:pPr>
        <w:pStyle w:val="10"/>
        <w:ind w:firstLine="640"/>
        <w:rPr>
          <w:rFonts w:cs="Times New Roman"/>
        </w:rPr>
      </w:pPr>
      <w:r>
        <w:rPr>
          <w:rStyle w:val="18"/>
        </w:rPr>
        <w:t>（三）加强执法监督。</w:t>
      </w:r>
      <w:r>
        <w:rPr>
          <w:rFonts w:hint="eastAsia" w:cs="Times New Roman"/>
        </w:rPr>
        <w:t>各乡镇（街道）</w:t>
      </w:r>
      <w:r>
        <w:rPr>
          <w:rFonts w:cs="Times New Roman"/>
        </w:rPr>
        <w:t>要建立消防行政执法检查、违法投诉举报、行政执法责任追究等制度，开展形式多样的行政执法监督活动，对行政执法人员的执法情况进行量化考核，及时发现并纠正执法人员在执法过程中出现的过错。区消防救援大队要加强对执法人员执法资格、执法程序的合法性、处罚依据的</w:t>
      </w:r>
      <w:r>
        <w:rPr>
          <w:rFonts w:hint="eastAsia" w:cs="Times New Roman"/>
          <w:lang w:eastAsia="zh-CN"/>
        </w:rPr>
        <w:t>准确</w:t>
      </w:r>
      <w:r>
        <w:rPr>
          <w:rFonts w:cs="Times New Roman"/>
        </w:rPr>
        <w:t>性、行政执法文书应用的正确性等行政执法工作的监督。行政执法工作纳入政府目标责任考核体系和平安建设考核体系。</w:t>
      </w:r>
    </w:p>
    <w:p>
      <w:pPr>
        <w:pStyle w:val="10"/>
        <w:ind w:firstLine="640"/>
        <w:rPr>
          <w:rFonts w:cs="Times New Roman"/>
        </w:rPr>
      </w:pPr>
      <w:r>
        <w:rPr>
          <w:rStyle w:val="18"/>
        </w:rPr>
        <w:t>（四）</w:t>
      </w:r>
      <w:r>
        <w:rPr>
          <w:rStyle w:val="18"/>
          <w:rFonts w:hint="eastAsia"/>
        </w:rPr>
        <w:t>加强</w:t>
      </w:r>
      <w:r>
        <w:rPr>
          <w:rStyle w:val="18"/>
        </w:rPr>
        <w:t>联合执法。</w:t>
      </w:r>
      <w:r>
        <w:rPr>
          <w:rFonts w:cs="Times New Roman"/>
        </w:rPr>
        <w:t>健全执法信息共享、执法联席会议、案件移送管辖、案件首接负责等制度，建立</w:t>
      </w:r>
      <w:r>
        <w:rPr>
          <w:rFonts w:hint="eastAsia" w:cs="Times New Roman"/>
        </w:rPr>
        <w:t>完善</w:t>
      </w:r>
      <w:r>
        <w:rPr>
          <w:rFonts w:cs="Times New Roman"/>
        </w:rPr>
        <w:t>分工明确、责任到位、优势互补的执法联动保障体系，形成</w:t>
      </w:r>
      <w:r>
        <w:rPr>
          <w:rFonts w:hint="eastAsia" w:cs="Times New Roman"/>
          <w:lang w:eastAsia="zh-CN"/>
        </w:rPr>
        <w:t>区</w:t>
      </w:r>
      <w:r>
        <w:rPr>
          <w:rFonts w:cs="Times New Roman"/>
        </w:rPr>
        <w:t>乡一体、上下结合的消防安全执法格局，逐步解决基层消防安全监管中存在的权责不一、协调不够、效率低下、监管缺位等问题，共同维护社会和谐稳定。</w:t>
      </w:r>
    </w:p>
    <w:p>
      <w:pPr>
        <w:adjustRightInd w:val="0"/>
        <w:snapToGrid w:val="0"/>
        <w:spacing w:line="560" w:lineRule="exact"/>
        <w:ind w:firstLine="640" w:firstLineChars="200"/>
        <w:rPr>
          <w:szCs w:val="32"/>
        </w:rPr>
      </w:pPr>
      <w:r>
        <w:rPr>
          <w:szCs w:val="32"/>
        </w:rPr>
        <w:t>附件：1.委托执法权限</w:t>
      </w:r>
    </w:p>
    <w:p>
      <w:pPr>
        <w:adjustRightInd w:val="0"/>
        <w:snapToGrid w:val="0"/>
        <w:spacing w:line="560" w:lineRule="exact"/>
        <w:ind w:firstLine="1600" w:firstLineChars="500"/>
        <w:rPr>
          <w:szCs w:val="32"/>
        </w:rPr>
      </w:pPr>
      <w:r>
        <w:rPr>
          <w:szCs w:val="32"/>
        </w:rPr>
        <w:t>2.行政执法委托协议书</w:t>
      </w:r>
    </w:p>
    <w:p>
      <w:pPr>
        <w:sectPr>
          <w:headerReference r:id="rId3" w:type="default"/>
          <w:footerReference r:id="rId4" w:type="default"/>
          <w:pgSz w:w="11906" w:h="16838"/>
          <w:pgMar w:top="2098" w:right="1474" w:bottom="2098" w:left="1474" w:header="851" w:footer="1417" w:gutter="0"/>
          <w:pgBorders>
            <w:top w:val="none" w:sz="0" w:space="0"/>
            <w:left w:val="none" w:sz="0" w:space="0"/>
            <w:bottom w:val="none" w:sz="0" w:space="0"/>
            <w:right w:val="none" w:sz="0" w:space="0"/>
          </w:pgBorders>
          <w:cols w:space="0" w:num="1"/>
          <w:docGrid w:linePitch="579" w:charSpace="0"/>
        </w:sectPr>
      </w:pPr>
    </w:p>
    <w:p>
      <w:pPr>
        <w:widowControl/>
        <w:spacing w:line="500" w:lineRule="exact"/>
        <w:rPr>
          <w:rFonts w:eastAsia="黑体"/>
          <w:kern w:val="0"/>
          <w:szCs w:val="32"/>
        </w:rPr>
      </w:pPr>
      <w:r>
        <w:rPr>
          <w:rFonts w:eastAsia="黑体"/>
          <w:kern w:val="0"/>
          <w:szCs w:val="32"/>
        </w:rPr>
        <w:t>附件1</w:t>
      </w:r>
    </w:p>
    <w:p>
      <w:pPr>
        <w:jc w:val="center"/>
        <w:rPr>
          <w:rFonts w:eastAsia="方正小标宋简体"/>
          <w:sz w:val="44"/>
          <w:szCs w:val="44"/>
        </w:rPr>
      </w:pPr>
      <w:r>
        <w:rPr>
          <w:rFonts w:eastAsia="方正小标宋简体"/>
          <w:kern w:val="0"/>
          <w:sz w:val="44"/>
          <w:szCs w:val="44"/>
        </w:rPr>
        <w:t>委托执法权限</w:t>
      </w:r>
    </w:p>
    <w:tbl>
      <w:tblPr>
        <w:tblStyle w:val="5"/>
        <w:tblW w:w="15146" w:type="dxa"/>
        <w:jc w:val="center"/>
        <w:tblLayout w:type="fixed"/>
        <w:tblCellMar>
          <w:top w:w="0" w:type="dxa"/>
          <w:left w:w="108" w:type="dxa"/>
          <w:bottom w:w="0" w:type="dxa"/>
          <w:right w:w="108" w:type="dxa"/>
        </w:tblCellMar>
      </w:tblPr>
      <w:tblGrid>
        <w:gridCol w:w="1053"/>
        <w:gridCol w:w="1200"/>
        <w:gridCol w:w="1175"/>
        <w:gridCol w:w="7459"/>
        <w:gridCol w:w="4259"/>
      </w:tblGrid>
      <w:tr>
        <w:tblPrEx>
          <w:tblCellMar>
            <w:top w:w="0" w:type="dxa"/>
            <w:left w:w="108" w:type="dxa"/>
            <w:bottom w:w="0" w:type="dxa"/>
            <w:right w:w="108" w:type="dxa"/>
          </w:tblCellMar>
        </w:tblPrEx>
        <w:trPr>
          <w:cantSplit/>
          <w:trHeight w:val="573" w:hRule="atLeast"/>
          <w:tblHeader/>
          <w:jc w:val="center"/>
        </w:trPr>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黑体"/>
                <w:kern w:val="0"/>
                <w:sz w:val="24"/>
              </w:rPr>
            </w:pPr>
            <w:r>
              <w:rPr>
                <w:rFonts w:eastAsia="黑体"/>
                <w:kern w:val="0"/>
                <w:sz w:val="24"/>
              </w:rPr>
              <w:t>委托项目</w:t>
            </w:r>
          </w:p>
        </w:tc>
        <w:tc>
          <w:tcPr>
            <w:tcW w:w="120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kern w:val="0"/>
                <w:sz w:val="24"/>
              </w:rPr>
            </w:pPr>
            <w:r>
              <w:rPr>
                <w:rFonts w:eastAsia="黑体"/>
                <w:kern w:val="0"/>
                <w:sz w:val="24"/>
              </w:rPr>
              <w:t>委托行政机关</w:t>
            </w:r>
          </w:p>
        </w:tc>
        <w:tc>
          <w:tcPr>
            <w:tcW w:w="117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kern w:val="0"/>
                <w:sz w:val="24"/>
              </w:rPr>
            </w:pPr>
            <w:r>
              <w:rPr>
                <w:rFonts w:eastAsia="黑体"/>
                <w:kern w:val="0"/>
                <w:sz w:val="24"/>
              </w:rPr>
              <w:t>受委托组织</w:t>
            </w:r>
          </w:p>
        </w:tc>
        <w:tc>
          <w:tcPr>
            <w:tcW w:w="745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kern w:val="0"/>
                <w:sz w:val="24"/>
              </w:rPr>
            </w:pPr>
            <w:r>
              <w:rPr>
                <w:rFonts w:eastAsia="黑体"/>
                <w:kern w:val="0"/>
                <w:sz w:val="24"/>
              </w:rPr>
              <w:t>行政执法法定事项</w:t>
            </w:r>
          </w:p>
        </w:tc>
        <w:tc>
          <w:tcPr>
            <w:tcW w:w="425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黑体"/>
                <w:kern w:val="0"/>
                <w:sz w:val="24"/>
              </w:rPr>
            </w:pPr>
            <w:r>
              <w:rPr>
                <w:rFonts w:eastAsia="黑体"/>
                <w:kern w:val="0"/>
                <w:sz w:val="24"/>
              </w:rPr>
              <w:t>委托权限</w:t>
            </w:r>
          </w:p>
        </w:tc>
      </w:tr>
      <w:tr>
        <w:tblPrEx>
          <w:tblCellMar>
            <w:top w:w="0" w:type="dxa"/>
            <w:left w:w="108" w:type="dxa"/>
            <w:bottom w:w="0" w:type="dxa"/>
            <w:right w:w="108" w:type="dxa"/>
          </w:tblCellMar>
        </w:tblPrEx>
        <w:trPr>
          <w:cantSplit/>
          <w:trHeight w:val="570" w:hRule="atLeast"/>
          <w:jc w:val="center"/>
        </w:trPr>
        <w:tc>
          <w:tcPr>
            <w:tcW w:w="1053"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kern w:val="0"/>
                <w:sz w:val="24"/>
              </w:rPr>
            </w:pPr>
            <w:r>
              <w:rPr>
                <w:rFonts w:hAnsi="仿宋_GB2312"/>
                <w:kern w:val="0"/>
                <w:sz w:val="22"/>
                <w:szCs w:val="22"/>
              </w:rPr>
              <w:t>行政处罚</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kern w:val="0"/>
                <w:sz w:val="24"/>
              </w:rPr>
            </w:pPr>
            <w:r>
              <w:rPr>
                <w:rFonts w:hAnsi="仿宋_GB2312"/>
                <w:kern w:val="0"/>
                <w:sz w:val="22"/>
                <w:szCs w:val="22"/>
              </w:rPr>
              <w:t>区</w:t>
            </w:r>
            <w:r>
              <w:rPr>
                <w:rFonts w:hint="eastAsia" w:hAnsi="仿宋_GB2312"/>
                <w:kern w:val="0"/>
                <w:sz w:val="22"/>
                <w:szCs w:val="22"/>
              </w:rPr>
              <w:t>消防救援</w:t>
            </w:r>
            <w:r>
              <w:rPr>
                <w:rFonts w:hAnsi="仿宋_GB2312"/>
                <w:kern w:val="0"/>
                <w:sz w:val="22"/>
                <w:szCs w:val="22"/>
              </w:rPr>
              <w:t>机构</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kern w:val="0"/>
                <w:sz w:val="22"/>
                <w:szCs w:val="22"/>
              </w:rPr>
            </w:pPr>
            <w:r>
              <w:rPr>
                <w:rFonts w:hint="eastAsia" w:hAnsi="仿宋_GB2312"/>
                <w:kern w:val="0"/>
                <w:sz w:val="22"/>
                <w:szCs w:val="22"/>
              </w:rPr>
              <w:t>乡镇人民政府、街道办事处</w:t>
            </w:r>
          </w:p>
        </w:tc>
        <w:tc>
          <w:tcPr>
            <w:tcW w:w="74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《中华人民共和国消防法》第六十条单位违反本法规定，有下列行为之一的，责令改正，处五千元以上五万元以下罚款：</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（一）消防设施、器材或者消防安全标志的配置、设置不符合国家标准、行业标准，或者未保持完好有效的；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（二）损坏、挪用或者擅自拆除、停用消防设施、器材的；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（三）占用、堵塞、封闭疏散通道、安全出口或者有其他妨碍安全疏散行为的；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（四）埋压、圈占、遮挡消火栓或者占用防火间距的；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（五）占用、堵塞、封闭消防车通道，妨碍消防车通行的；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（六）人员密集场所在门窗上设置影响逃生和灭火救援的障碍物的；</w:t>
            </w:r>
          </w:p>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（七）对火灾隐患经消防救援机构通知后不及时采取措施消除的；</w:t>
            </w:r>
          </w:p>
          <w:p>
            <w:pPr>
              <w:widowControl/>
              <w:spacing w:line="260" w:lineRule="exact"/>
              <w:ind w:firstLine="440" w:firstLineChars="200"/>
              <w:rPr>
                <w:kern w:val="0"/>
                <w:sz w:val="24"/>
              </w:rPr>
            </w:pPr>
            <w:r>
              <w:rPr>
                <w:rFonts w:hint="eastAsia" w:hAnsi="仿宋_GB2312"/>
                <w:kern w:val="0"/>
                <w:sz w:val="22"/>
                <w:szCs w:val="22"/>
              </w:rPr>
              <w:t>个人有前款第二项、第三项、第四项、第五项行为之一的，处警告或者五百元以下罚款。</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40" w:firstLineChars="200"/>
              <w:jc w:val="left"/>
              <w:rPr>
                <w:kern w:val="0"/>
                <w:sz w:val="22"/>
                <w:szCs w:val="22"/>
              </w:rPr>
            </w:pPr>
            <w:r>
              <w:rPr>
                <w:rFonts w:hAnsi="仿宋_GB2312"/>
                <w:kern w:val="0"/>
                <w:sz w:val="22"/>
                <w:szCs w:val="22"/>
              </w:rPr>
              <w:t>对</w:t>
            </w:r>
            <w:r>
              <w:rPr>
                <w:rFonts w:hint="eastAsia" w:hAnsi="仿宋_GB2312"/>
                <w:kern w:val="0"/>
                <w:sz w:val="22"/>
                <w:szCs w:val="22"/>
              </w:rPr>
              <w:t>《中华人民共和国消防法》第一款第（三）、（四）（五）（六）项（第一款第（一）、（二）（七）项及已赋权、划转事项除外）</w:t>
            </w:r>
            <w:r>
              <w:rPr>
                <w:rFonts w:hAnsi="仿宋_GB2312"/>
                <w:kern w:val="0"/>
                <w:sz w:val="22"/>
                <w:szCs w:val="22"/>
              </w:rPr>
              <w:t>的</w:t>
            </w:r>
            <w:r>
              <w:rPr>
                <w:rFonts w:hint="eastAsia" w:hAnsi="仿宋_GB2312"/>
                <w:kern w:val="0"/>
                <w:sz w:val="22"/>
                <w:szCs w:val="22"/>
              </w:rPr>
              <w:t>消防</w:t>
            </w:r>
            <w:r>
              <w:rPr>
                <w:rFonts w:hAnsi="仿宋_GB2312"/>
                <w:kern w:val="0"/>
                <w:sz w:val="22"/>
                <w:szCs w:val="22"/>
              </w:rPr>
              <w:t>违法行为，责令改正，</w:t>
            </w:r>
            <w:r>
              <w:rPr>
                <w:rFonts w:hint="eastAsia" w:hAnsi="仿宋_GB2312"/>
                <w:kern w:val="0"/>
                <w:sz w:val="22"/>
                <w:szCs w:val="22"/>
              </w:rPr>
              <w:t>单位</w:t>
            </w:r>
            <w:r>
              <w:rPr>
                <w:rFonts w:hAnsi="仿宋_GB2312"/>
                <w:kern w:val="0"/>
                <w:sz w:val="22"/>
                <w:szCs w:val="22"/>
              </w:rPr>
              <w:t>处五千元以上</w:t>
            </w:r>
            <w:r>
              <w:rPr>
                <w:rFonts w:hint="eastAsia" w:hAnsi="仿宋_GB2312"/>
                <w:kern w:val="0"/>
                <w:sz w:val="22"/>
                <w:szCs w:val="22"/>
              </w:rPr>
              <w:t>一万五</w:t>
            </w:r>
            <w:r>
              <w:rPr>
                <w:rFonts w:hAnsi="仿宋_GB2312"/>
                <w:kern w:val="0"/>
                <w:sz w:val="22"/>
                <w:szCs w:val="22"/>
              </w:rPr>
              <w:t>千元以下罚款（一般、严重违法行为除外）</w:t>
            </w:r>
            <w:r>
              <w:rPr>
                <w:rFonts w:hint="eastAsia" w:hAnsi="仿宋_GB2312"/>
                <w:kern w:val="0"/>
                <w:sz w:val="22"/>
                <w:szCs w:val="22"/>
              </w:rPr>
              <w:t>，个人处警告或者五百元以下罚款。</w:t>
            </w:r>
          </w:p>
        </w:tc>
      </w:tr>
      <w:tr>
        <w:tblPrEx>
          <w:tblCellMar>
            <w:top w:w="0" w:type="dxa"/>
            <w:left w:w="108" w:type="dxa"/>
            <w:bottom w:w="0" w:type="dxa"/>
            <w:right w:w="108" w:type="dxa"/>
          </w:tblCellMar>
        </w:tblPrEx>
        <w:trPr>
          <w:cantSplit/>
          <w:trHeight w:val="1120" w:hRule="atLeast"/>
          <w:jc w:val="center"/>
        </w:trPr>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74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40" w:firstLineChars="200"/>
              <w:rPr>
                <w:rFonts w:hint="eastAsia" w:hAnsi="仿宋_GB2312"/>
                <w:kern w:val="0"/>
                <w:sz w:val="22"/>
                <w:szCs w:val="22"/>
              </w:rPr>
            </w:pPr>
            <w:r>
              <w:rPr>
                <w:rFonts w:hint="eastAsia" w:hAnsi="仿宋_GB2312"/>
                <w:kern w:val="0"/>
                <w:sz w:val="22"/>
                <w:szCs w:val="22"/>
              </w:rPr>
              <w:t>《浙江省消防条例》第六十四条第二款 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p>
            <w:pPr>
              <w:pStyle w:val="2"/>
            </w:pPr>
          </w:p>
        </w:tc>
        <w:tc>
          <w:tcPr>
            <w:tcW w:w="425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firstLine="440" w:firstLineChars="200"/>
              <w:jc w:val="left"/>
              <w:rPr>
                <w:color w:val="FF0000"/>
                <w:kern w:val="0"/>
                <w:sz w:val="22"/>
                <w:szCs w:val="22"/>
              </w:rPr>
            </w:pPr>
            <w:r>
              <w:rPr>
                <w:rFonts w:hAnsi="仿宋_GB2312"/>
                <w:kern w:val="0"/>
                <w:sz w:val="22"/>
                <w:szCs w:val="22"/>
              </w:rPr>
              <w:t>对《浙江省消防条例》</w:t>
            </w:r>
            <w:r>
              <w:rPr>
                <w:rFonts w:hint="eastAsia" w:hAnsi="仿宋_GB2312"/>
                <w:kern w:val="0"/>
                <w:sz w:val="22"/>
                <w:szCs w:val="22"/>
              </w:rPr>
              <w:t>第六十四条第二款的消防</w:t>
            </w:r>
            <w:r>
              <w:rPr>
                <w:rFonts w:hAnsi="仿宋_GB2312"/>
                <w:kern w:val="0"/>
                <w:sz w:val="22"/>
                <w:szCs w:val="22"/>
              </w:rPr>
              <w:t>违法行为</w:t>
            </w:r>
            <w:r>
              <w:rPr>
                <w:rFonts w:hint="eastAsia" w:hAnsi="仿宋_GB2312"/>
                <w:kern w:val="0"/>
                <w:sz w:val="22"/>
                <w:szCs w:val="22"/>
              </w:rPr>
              <w:t>，责令改正，可以处五十元以上二百元以下罚款。</w:t>
            </w:r>
          </w:p>
        </w:tc>
      </w:tr>
      <w:tr>
        <w:tblPrEx>
          <w:tblCellMar>
            <w:top w:w="0" w:type="dxa"/>
            <w:left w:w="108" w:type="dxa"/>
            <w:bottom w:w="0" w:type="dxa"/>
            <w:right w:w="108" w:type="dxa"/>
          </w:tblCellMar>
        </w:tblPrEx>
        <w:trPr>
          <w:cantSplit/>
          <w:trHeight w:val="2274"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117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kern w:val="0"/>
                <w:sz w:val="22"/>
                <w:szCs w:val="22"/>
              </w:rPr>
            </w:pPr>
          </w:p>
        </w:tc>
        <w:tc>
          <w:tcPr>
            <w:tcW w:w="7459" w:type="dxa"/>
            <w:tcBorders>
              <w:top w:val="single" w:color="auto" w:sz="4" w:space="0"/>
              <w:left w:val="nil"/>
              <w:right w:val="single" w:color="auto" w:sz="4" w:space="0"/>
            </w:tcBorders>
            <w:vAlign w:val="center"/>
          </w:tcPr>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《浙江省消防条例》第六十三条</w:t>
            </w:r>
          </w:p>
          <w:p>
            <w:pPr>
              <w:keepNext w:val="0"/>
              <w:keepLines w:val="0"/>
              <w:widowControl/>
              <w:suppressLineNumbers w:val="0"/>
              <w:wordWrap/>
              <w:bidi w:val="0"/>
              <w:spacing w:before="0" w:beforeAutospacing="0" w:after="0" w:afterAutospacing="0" w:line="240" w:lineRule="auto"/>
              <w:ind w:left="0" w:right="0" w:firstLine="640"/>
              <w:jc w:val="both"/>
              <w:rPr>
                <w:rFonts w:hint="default"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违反本条例第二十九条第一款规定，用于居住的出租房屋不符合消防安全要求的，由消防救援机构责令限期改正；逾期不改正，出租人是单位的，对单位处三千元以上三万元以下罚款，出租人是个人的，对个人处五百元以上五千元以下罚款。</w:t>
            </w:r>
          </w:p>
          <w:p>
            <w:pPr>
              <w:keepNext w:val="0"/>
              <w:keepLines w:val="0"/>
              <w:widowControl/>
              <w:suppressLineNumbers w:val="0"/>
              <w:wordWrap/>
              <w:bidi w:val="0"/>
              <w:spacing w:before="0" w:beforeAutospacing="0" w:after="0" w:afterAutospacing="0" w:line="240" w:lineRule="auto"/>
              <w:ind w:left="0" w:right="0" w:firstLine="640"/>
              <w:jc w:val="both"/>
              <w:rPr>
                <w:rFonts w:hint="default"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违反本条例第二十九条第三款规定，承租人改变房屋使用功能和结构，不符合消防安全要求的，由消防救援机构责令限期改正；逾期不改正的，处五百元以上五千元以下罚款。</w:t>
            </w:r>
          </w:p>
          <w:p>
            <w:pPr>
              <w:pStyle w:val="2"/>
              <w:rPr>
                <w:rFonts w:hint="eastAsia" w:ascii="Times New Roman" w:hAnsi="仿宋_GB2312" w:eastAsia="仿宋_GB2312" w:cs="Times New Roman"/>
                <w:kern w:val="0"/>
                <w:sz w:val="22"/>
                <w:szCs w:val="22"/>
                <w:lang w:val="en-US" w:eastAsia="zh-CN" w:bidi="ar-SA"/>
              </w:rPr>
            </w:pPr>
          </w:p>
        </w:tc>
        <w:tc>
          <w:tcPr>
            <w:tcW w:w="4259" w:type="dxa"/>
            <w:tcBorders>
              <w:top w:val="single" w:color="auto" w:sz="4" w:space="0"/>
              <w:left w:val="nil"/>
              <w:bottom w:val="single" w:color="auto" w:sz="4" w:space="0"/>
              <w:right w:val="single" w:color="auto" w:sz="4" w:space="0"/>
            </w:tcBorders>
            <w:vAlign w:val="center"/>
          </w:tcPr>
          <w:p>
            <w:pPr>
              <w:widowControl/>
              <w:spacing w:line="260" w:lineRule="exact"/>
              <w:ind w:firstLine="440" w:firstLineChars="200"/>
              <w:jc w:val="left"/>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对《浙江省消防条例》第六十三条第一款的消防违法行为，责令限期改正；逾期不改正，出租人是单位的，对单位处三千元以上三万元以下罚款，出租人是个人的，对个人处五百元以上五千元以下罚款。</w:t>
            </w:r>
          </w:p>
          <w:p>
            <w:pPr>
              <w:widowControl/>
              <w:spacing w:line="260" w:lineRule="exact"/>
              <w:ind w:firstLine="440" w:firstLineChars="200"/>
              <w:jc w:val="left"/>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对《浙江省消防条例》第六十三条第二款的消防违法行为，责令限期改正；逾期不改正，处五百元以上五千元以下罚款。</w:t>
            </w:r>
          </w:p>
        </w:tc>
      </w:tr>
      <w:tr>
        <w:tblPrEx>
          <w:tblCellMar>
            <w:top w:w="0" w:type="dxa"/>
            <w:left w:w="108" w:type="dxa"/>
            <w:bottom w:w="0" w:type="dxa"/>
            <w:right w:w="108" w:type="dxa"/>
          </w:tblCellMar>
        </w:tblPrEx>
        <w:trPr>
          <w:cantSplit/>
          <w:trHeight w:val="2274" w:hRule="atLeast"/>
          <w:jc w:val="center"/>
        </w:trPr>
        <w:tc>
          <w:tcPr>
            <w:tcW w:w="105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s="Times New Roman"/>
                <w:kern w:val="0"/>
                <w:sz w:val="24"/>
                <w:szCs w:val="24"/>
                <w:lang w:val="en-US" w:eastAsia="zh-CN" w:bidi="ar-SA"/>
              </w:rPr>
            </w:pPr>
            <w:r>
              <w:rPr>
                <w:rFonts w:hAnsi="仿宋_GB2312"/>
                <w:kern w:val="0"/>
                <w:sz w:val="22"/>
                <w:szCs w:val="22"/>
              </w:rPr>
              <w:t>行政处罚</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s="Times New Roman"/>
                <w:kern w:val="0"/>
                <w:sz w:val="24"/>
                <w:szCs w:val="24"/>
                <w:lang w:val="en-US" w:eastAsia="zh-CN" w:bidi="ar-SA"/>
              </w:rPr>
            </w:pPr>
            <w:r>
              <w:rPr>
                <w:rFonts w:hAnsi="仿宋_GB2312"/>
                <w:kern w:val="0"/>
                <w:sz w:val="22"/>
                <w:szCs w:val="22"/>
              </w:rPr>
              <w:t>区</w:t>
            </w:r>
            <w:r>
              <w:rPr>
                <w:rFonts w:hint="eastAsia" w:hAnsi="仿宋_GB2312"/>
                <w:kern w:val="0"/>
                <w:sz w:val="22"/>
                <w:szCs w:val="22"/>
              </w:rPr>
              <w:t>消防救援</w:t>
            </w:r>
            <w:r>
              <w:rPr>
                <w:rFonts w:hAnsi="仿宋_GB2312"/>
                <w:kern w:val="0"/>
                <w:sz w:val="22"/>
                <w:szCs w:val="22"/>
              </w:rPr>
              <w:t>机构</w:t>
            </w:r>
          </w:p>
        </w:tc>
        <w:tc>
          <w:tcPr>
            <w:tcW w:w="117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eastAsia="仿宋_GB2312" w:cs="Times New Roman"/>
                <w:kern w:val="0"/>
                <w:sz w:val="22"/>
                <w:szCs w:val="22"/>
                <w:lang w:val="en-US" w:eastAsia="zh-CN" w:bidi="ar-SA"/>
              </w:rPr>
            </w:pPr>
            <w:r>
              <w:rPr>
                <w:rFonts w:hint="eastAsia" w:hAnsi="仿宋_GB2312"/>
                <w:kern w:val="0"/>
                <w:sz w:val="22"/>
                <w:szCs w:val="22"/>
              </w:rPr>
              <w:t>乡镇人民政府、街道办事处</w:t>
            </w:r>
          </w:p>
        </w:tc>
        <w:tc>
          <w:tcPr>
            <w:tcW w:w="7459" w:type="dxa"/>
            <w:tcBorders>
              <w:top w:val="single" w:color="auto" w:sz="4" w:space="0"/>
              <w:left w:val="nil"/>
              <w:bottom w:val="single" w:color="auto" w:sz="4" w:space="0"/>
              <w:right w:val="single" w:color="auto" w:sz="4" w:space="0"/>
            </w:tcBorders>
            <w:vAlign w:val="center"/>
          </w:tcPr>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《高层民用建筑消防安全管理规定》第四十七条违反本规定，有下列行为之一的，由消防救援机构责令改正，对经营性单位和个人处2000元以上10000元以下罚款，对非经营性单位和个人处500元以上1000元以下罚款：</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（一）在高层民用建筑内进行电焊、气焊等明火作业，未履行动火审批手续、进行公告，或者未落实消防现场监护措施的；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（二）高层民用建筑设置的户外广告牌、外装饰妨碍防烟排烟、逃生和灭火救援，或者改变、破坏建筑立面防火结构的；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（三）未设置外墙外保温材料提示性和警示性标识，或者未及时修复破损、开裂和脱落的外墙外保温系统的；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（四）未按照规定落实消防控制室值班制度，或者安排不具备相应条件的人员值班的；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（五）未按照规定建立专职消防队、志愿消防队等消防组织的；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（六）因维修等需要停用建筑消防设施未进行公告、未制定应急预案或者未落实防范措施的；</w:t>
            </w:r>
          </w:p>
          <w:p>
            <w:pPr>
              <w:pStyle w:val="2"/>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（七）在高层民用建筑的公共门厅、疏散走道、楼梯间、安全出口停放电动自行车或者为电动自行车充电，拒不改正的。</w:t>
            </w:r>
          </w:p>
        </w:tc>
        <w:tc>
          <w:tcPr>
            <w:tcW w:w="4259" w:type="dxa"/>
            <w:tcBorders>
              <w:top w:val="single" w:color="auto" w:sz="4" w:space="0"/>
              <w:left w:val="nil"/>
              <w:bottom w:val="single" w:color="auto" w:sz="4" w:space="0"/>
              <w:right w:val="single" w:color="auto" w:sz="4" w:space="0"/>
            </w:tcBorders>
            <w:vAlign w:val="center"/>
          </w:tcPr>
          <w:p>
            <w:pPr>
              <w:widowControl/>
              <w:spacing w:line="260" w:lineRule="exact"/>
              <w:ind w:firstLine="440" w:firstLineChars="200"/>
              <w:jc w:val="left"/>
              <w:rPr>
                <w:rFonts w:hint="eastAsia" w:ascii="Times New Roman" w:hAnsi="仿宋_GB2312" w:eastAsia="仿宋_GB2312" w:cs="Times New Roman"/>
                <w:kern w:val="0"/>
                <w:sz w:val="22"/>
                <w:szCs w:val="22"/>
                <w:lang w:val="en-US" w:eastAsia="zh-CN" w:bidi="ar-SA"/>
              </w:rPr>
            </w:pPr>
            <w:r>
              <w:rPr>
                <w:rFonts w:hint="eastAsia" w:ascii="Times New Roman" w:hAnsi="仿宋_GB2312" w:eastAsia="仿宋_GB2312" w:cs="Times New Roman"/>
                <w:kern w:val="0"/>
                <w:sz w:val="22"/>
                <w:szCs w:val="22"/>
                <w:lang w:val="en-US" w:eastAsia="zh-CN" w:bidi="ar-SA"/>
              </w:rPr>
              <w:t>对《高层民用建筑消防安全管理规定》第四十七条第七项的消防违法行为，责令改正；对经营性单位和个人处2000元以上10000元以下罚款，对非经营性单位和个人处500元以上1000元以下罚款。</w:t>
            </w:r>
          </w:p>
        </w:tc>
      </w:tr>
      <w:tr>
        <w:tblPrEx>
          <w:tblCellMar>
            <w:top w:w="0" w:type="dxa"/>
            <w:left w:w="108" w:type="dxa"/>
            <w:bottom w:w="0" w:type="dxa"/>
            <w:right w:w="108" w:type="dxa"/>
          </w:tblCellMar>
        </w:tblPrEx>
        <w:trPr>
          <w:cantSplit/>
          <w:trHeight w:val="537" w:hRule="atLeast"/>
          <w:jc w:val="center"/>
        </w:trPr>
        <w:tc>
          <w:tcPr>
            <w:tcW w:w="15146"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_GB2312"/>
                <w:kern w:val="0"/>
                <w:sz w:val="22"/>
                <w:szCs w:val="22"/>
              </w:rPr>
            </w:pPr>
            <w:r>
              <w:rPr>
                <w:rFonts w:hint="eastAsia" w:hAnsi="仿宋_GB2312"/>
                <w:kern w:val="0"/>
                <w:sz w:val="22"/>
                <w:szCs w:val="22"/>
              </w:rPr>
              <w:t>备注：本委托权限中的“以上”包含本数，“以下”不包含本数。</w:t>
            </w:r>
          </w:p>
        </w:tc>
      </w:tr>
    </w:tbl>
    <w:p>
      <w:pPr>
        <w:snapToGrid w:val="0"/>
        <w:spacing w:line="560" w:lineRule="exact"/>
        <w:rPr>
          <w:rFonts w:ascii="仿宋_GB2312"/>
        </w:rPr>
        <w:sectPr>
          <w:pgSz w:w="16838" w:h="11906" w:orient="landscape"/>
          <w:pgMar w:top="1304" w:right="2041" w:bottom="1304" w:left="2041" w:header="851" w:footer="1417" w:gutter="0"/>
          <w:pgBorders>
            <w:top w:val="none" w:sz="0" w:space="0"/>
            <w:left w:val="none" w:sz="0" w:space="0"/>
            <w:bottom w:val="none" w:sz="0" w:space="0"/>
            <w:right w:val="none" w:sz="0" w:space="0"/>
          </w:pgBorders>
          <w:cols w:space="0" w:num="1"/>
          <w:docGrid w:linePitch="312" w:charSpace="0"/>
        </w:sectPr>
      </w:pPr>
    </w:p>
    <w:p>
      <w:pPr>
        <w:snapToGrid w:val="0"/>
        <w:spacing w:line="560" w:lineRule="exact"/>
        <w:rPr>
          <w:rFonts w:ascii="黑体" w:hAnsi="黑体" w:eastAsia="黑体" w:cs="黑体"/>
          <w:szCs w:val="32"/>
        </w:rPr>
      </w:pPr>
      <w:r>
        <w:rPr>
          <w:rFonts w:hint="eastAsia" w:ascii="黑体" w:hAnsi="黑体" w:eastAsia="黑体" w:cs="黑体"/>
          <w:szCs w:val="32"/>
        </w:rPr>
        <w:t>附件2</w:t>
      </w:r>
    </w:p>
    <w:p>
      <w:pPr>
        <w:snapToGrid w:val="0"/>
        <w:spacing w:line="560" w:lineRule="exact"/>
        <w:jc w:val="center"/>
        <w:rPr>
          <w:rFonts w:eastAsia="方正小标宋简体"/>
          <w:sz w:val="44"/>
          <w:szCs w:val="44"/>
        </w:rPr>
      </w:pPr>
      <w:r>
        <w:rPr>
          <w:rFonts w:ascii="方正小标宋简体" w:hAnsi="方正小标宋简体" w:eastAsia="方正小标宋简体"/>
          <w:sz w:val="44"/>
          <w:szCs w:val="44"/>
        </w:rPr>
        <w:t>行政执法委托协议书</w:t>
      </w:r>
    </w:p>
    <w:p>
      <w:pPr>
        <w:snapToGrid w:val="0"/>
        <w:spacing w:line="560" w:lineRule="exact"/>
        <w:rPr>
          <w:rFonts w:eastAsia="方正仿宋_GBK"/>
        </w:rPr>
      </w:pPr>
    </w:p>
    <w:p>
      <w:pPr>
        <w:adjustRightInd w:val="0"/>
        <w:snapToGrid w:val="0"/>
        <w:spacing w:line="560" w:lineRule="exact"/>
      </w:pPr>
      <w:r>
        <w:rPr>
          <w:rFonts w:ascii="黑体" w:hAnsi="黑体" w:eastAsia="黑体"/>
        </w:rPr>
        <w:t>委托单位：</w:t>
      </w:r>
      <w:r>
        <w:rPr>
          <w:rFonts w:hint="eastAsia" w:ascii="仿宋_GB2312"/>
        </w:rPr>
        <w:t>衢州市</w:t>
      </w:r>
      <w:r>
        <w:rPr>
          <w:rFonts w:hint="eastAsia" w:ascii="仿宋_GB2312"/>
          <w:lang w:eastAsia="zh-CN"/>
        </w:rPr>
        <w:t>衢江</w:t>
      </w:r>
      <w:r>
        <w:rPr>
          <w:rFonts w:hint="eastAsia" w:ascii="仿宋_GB2312"/>
        </w:rPr>
        <w:t>区消防救援大队</w:t>
      </w:r>
    </w:p>
    <w:p>
      <w:pPr>
        <w:adjustRightInd w:val="0"/>
        <w:snapToGrid w:val="0"/>
        <w:spacing w:line="560" w:lineRule="exact"/>
        <w:rPr>
          <w:rFonts w:eastAsia="黑体"/>
        </w:rPr>
      </w:pPr>
      <w:r>
        <w:rPr>
          <w:rFonts w:ascii="黑体" w:hAnsi="黑体" w:eastAsia="黑体"/>
        </w:rPr>
        <w:t>法定代表人：</w:t>
      </w:r>
    </w:p>
    <w:p>
      <w:pPr>
        <w:adjustRightInd w:val="0"/>
        <w:snapToGrid w:val="0"/>
        <w:spacing w:line="560" w:lineRule="exact"/>
        <w:rPr>
          <w:rFonts w:ascii="仿宋_GB2312"/>
        </w:rPr>
      </w:pPr>
      <w:r>
        <w:rPr>
          <w:rFonts w:ascii="黑体" w:hAnsi="黑体" w:eastAsia="黑体"/>
        </w:rPr>
        <w:t>受委托单位：</w:t>
      </w:r>
      <w:r>
        <w:rPr>
          <w:rFonts w:hint="eastAsia" w:ascii="仿宋_GB2312"/>
        </w:rPr>
        <w:t>衢州市</w:t>
      </w:r>
      <w:r>
        <w:rPr>
          <w:rFonts w:hint="eastAsia" w:ascii="仿宋_GB2312"/>
          <w:lang w:eastAsia="zh-CN"/>
        </w:rPr>
        <w:t>衢江</w:t>
      </w:r>
      <w:r>
        <w:rPr>
          <w:rFonts w:hint="eastAsia" w:ascii="仿宋_GB2312"/>
        </w:rPr>
        <w:t>区＊＊</w:t>
      </w:r>
      <w:r>
        <w:rPr>
          <w:rFonts w:hint="eastAsia"/>
        </w:rPr>
        <w:t>乡</w:t>
      </w:r>
      <w:r>
        <w:rPr>
          <w:rFonts w:hint="eastAsia" w:ascii="仿宋_GB2312"/>
        </w:rPr>
        <w:t>镇人民政府（街道办事处）</w:t>
      </w:r>
    </w:p>
    <w:p>
      <w:pPr>
        <w:adjustRightInd w:val="0"/>
        <w:snapToGrid w:val="0"/>
        <w:spacing w:line="560" w:lineRule="exact"/>
        <w:rPr>
          <w:rFonts w:eastAsia="黑体"/>
        </w:rPr>
      </w:pPr>
      <w:r>
        <w:rPr>
          <w:rFonts w:ascii="黑体" w:hAnsi="黑体" w:eastAsia="黑体"/>
        </w:rPr>
        <w:t>法定代表人：</w:t>
      </w:r>
    </w:p>
    <w:p>
      <w:pPr>
        <w:adjustRightInd w:val="0"/>
        <w:snapToGrid w:val="0"/>
        <w:spacing w:line="560" w:lineRule="exact"/>
        <w:ind w:firstLine="640" w:firstLineChars="200"/>
        <w:rPr>
          <w:rFonts w:ascii="仿宋_GB2312"/>
        </w:rPr>
      </w:pPr>
      <w:r>
        <w:rPr>
          <w:rFonts w:ascii="仿宋_GB2312"/>
        </w:rPr>
        <w:t>为进一步加强消防安全监督管理，规范消防行政执法工作，依法确立行政执法委托机关与受委托机关的权利义务，依据《中华人民共和国行政处罚法</w:t>
      </w:r>
      <w:r>
        <w:rPr>
          <w:rFonts w:hint="eastAsia" w:ascii="仿宋_GB2312"/>
        </w:rPr>
        <w:t>》《</w:t>
      </w:r>
      <w:r>
        <w:rPr>
          <w:rFonts w:ascii="仿宋_GB2312"/>
        </w:rPr>
        <w:t>中华人民共和国消防法</w:t>
      </w:r>
      <w:r>
        <w:rPr>
          <w:rFonts w:hint="eastAsia" w:ascii="仿宋_GB2312"/>
        </w:rPr>
        <w:t>》《</w:t>
      </w:r>
      <w:r>
        <w:rPr>
          <w:rFonts w:ascii="仿宋_GB2312"/>
        </w:rPr>
        <w:t>浙江省消防条例</w:t>
      </w:r>
      <w:r>
        <w:rPr>
          <w:rFonts w:hint="eastAsia" w:ascii="仿宋_GB2312"/>
        </w:rPr>
        <w:t>》</w:t>
      </w:r>
      <w:r>
        <w:rPr>
          <w:rFonts w:ascii="仿宋_GB2312"/>
        </w:rPr>
        <w:t>，</w:t>
      </w:r>
      <w:r>
        <w:rPr>
          <w:rFonts w:hint="eastAsia" w:ascii="仿宋_GB2312"/>
        </w:rPr>
        <w:t>衢州市</w:t>
      </w:r>
      <w:r>
        <w:rPr>
          <w:rFonts w:hint="eastAsia" w:ascii="仿宋_GB2312"/>
          <w:lang w:eastAsia="zh-CN"/>
        </w:rPr>
        <w:t>衢江</w:t>
      </w:r>
      <w:r>
        <w:rPr>
          <w:rFonts w:hint="eastAsia" w:ascii="仿宋_GB2312"/>
        </w:rPr>
        <w:t>区消防救援大队</w:t>
      </w:r>
      <w:r>
        <w:rPr>
          <w:rFonts w:ascii="仿宋_GB2312"/>
        </w:rPr>
        <w:t>委托</w:t>
      </w:r>
      <w:r>
        <w:rPr>
          <w:rFonts w:hint="eastAsia" w:ascii="仿宋_GB2312"/>
        </w:rPr>
        <w:t>衢州市</w:t>
      </w:r>
      <w:r>
        <w:rPr>
          <w:rFonts w:hint="eastAsia" w:ascii="仿宋_GB2312"/>
          <w:lang w:eastAsia="zh-CN"/>
        </w:rPr>
        <w:t>衢江</w:t>
      </w:r>
      <w:r>
        <w:rPr>
          <w:rFonts w:hint="eastAsia" w:ascii="仿宋_GB2312"/>
        </w:rPr>
        <w:t>区＊＊</w:t>
      </w:r>
      <w:r>
        <w:rPr>
          <w:rFonts w:hint="eastAsia"/>
        </w:rPr>
        <w:t>乡</w:t>
      </w:r>
      <w:r>
        <w:rPr>
          <w:rFonts w:hint="eastAsia" w:ascii="仿宋_GB2312"/>
        </w:rPr>
        <w:t>镇人民政府（街道办事处）</w:t>
      </w:r>
      <w:r>
        <w:rPr>
          <w:rFonts w:ascii="仿宋_GB2312"/>
        </w:rPr>
        <w:t>按下列要求行使消防行政处罚权。</w:t>
      </w:r>
    </w:p>
    <w:p>
      <w:pPr>
        <w:adjustRightInd w:val="0"/>
        <w:snapToGrid w:val="0"/>
        <w:spacing w:line="560" w:lineRule="exact"/>
        <w:ind w:firstLine="640" w:firstLineChars="200"/>
        <w:rPr>
          <w:rFonts w:eastAsia="黑体"/>
        </w:rPr>
      </w:pPr>
      <w:r>
        <w:rPr>
          <w:rFonts w:ascii="黑体" w:hAnsi="黑体" w:eastAsia="黑体"/>
        </w:rPr>
        <w:t>一、执法权限</w:t>
      </w:r>
    </w:p>
    <w:p>
      <w:pPr>
        <w:adjustRightInd w:val="0"/>
        <w:snapToGrid w:val="0"/>
        <w:spacing w:line="560" w:lineRule="exact"/>
        <w:ind w:firstLine="480" w:firstLineChars="150"/>
        <w:rPr>
          <w:rFonts w:ascii="仿宋_GB2312"/>
        </w:rPr>
      </w:pPr>
      <w:r>
        <w:rPr>
          <w:rFonts w:hint="eastAsia" w:ascii="仿宋_GB2312"/>
        </w:rPr>
        <w:t>（一）根据《浙江省消防条例》第五十七条第一款规定，乡镇人民政府、街道办事处有权行使监督检查权和责令改正权。</w:t>
      </w:r>
    </w:p>
    <w:p>
      <w:pPr>
        <w:adjustRightInd w:val="0"/>
        <w:snapToGrid w:val="0"/>
        <w:spacing w:line="560" w:lineRule="exact"/>
        <w:ind w:firstLine="480" w:firstLineChars="150"/>
        <w:rPr>
          <w:rFonts w:ascii="仿宋_GB2312"/>
        </w:rPr>
      </w:pPr>
      <w:r>
        <w:rPr>
          <w:rFonts w:hint="eastAsia" w:ascii="仿宋_GB2312"/>
        </w:rPr>
        <w:t>（二）根据《浙江省消防条例》第五十七条第三款规定，消防救援机构可以委托乡镇（街道）符合法定条件的组织，对有关违反消防安全管理的行为依法实施行政处罚。根据上述条款规定，委托单位可以委托受委托单位对有关违反消防安全管理的行为依法实施行政处罚，即在下列委托权限范围内以衢州市</w:t>
      </w:r>
      <w:r>
        <w:rPr>
          <w:rFonts w:hint="eastAsia" w:ascii="仿宋_GB2312"/>
          <w:lang w:eastAsia="zh-CN"/>
        </w:rPr>
        <w:t>衢江</w:t>
      </w:r>
      <w:r>
        <w:rPr>
          <w:rFonts w:hint="eastAsia" w:ascii="仿宋_GB2312"/>
        </w:rPr>
        <w:t>区消防救援大队的名义行使部分行政处罚权：</w:t>
      </w:r>
      <w:r>
        <w:rPr>
          <w:rFonts w:cs="Times New Roman"/>
        </w:rPr>
        <w:t>《中华人民共和国消防法》第六十条第一款第（三）</w:t>
      </w:r>
      <w:r>
        <w:rPr>
          <w:rFonts w:hint="eastAsia" w:cs="Times New Roman"/>
        </w:rPr>
        <w:t>（四）（五）</w:t>
      </w:r>
      <w:r>
        <w:rPr>
          <w:rFonts w:cs="Times New Roman"/>
        </w:rPr>
        <w:t>（六）项（第一款第</w:t>
      </w:r>
      <w:r>
        <w:rPr>
          <w:rFonts w:hint="eastAsia" w:cs="Times New Roman"/>
        </w:rPr>
        <w:t>（</w:t>
      </w:r>
      <w:r>
        <w:rPr>
          <w:rFonts w:cs="Times New Roman"/>
        </w:rPr>
        <w:t>一</w:t>
      </w:r>
      <w:r>
        <w:rPr>
          <w:rFonts w:hint="eastAsia" w:cs="Times New Roman"/>
        </w:rPr>
        <w:t>）（二）</w:t>
      </w:r>
      <w:r>
        <w:rPr>
          <w:rFonts w:cs="Times New Roman"/>
        </w:rPr>
        <w:t>（七）项及已赋权、划转事项除外</w:t>
      </w:r>
      <w:r>
        <w:rPr>
          <w:rFonts w:hint="eastAsia" w:cs="Times New Roman"/>
        </w:rPr>
        <w:t>）；《浙江省消防条例》第六十三条第一、二款，</w:t>
      </w:r>
      <w:r>
        <w:rPr>
          <w:rFonts w:cs="Times New Roman"/>
        </w:rPr>
        <w:t>《浙江省消防条例》第六十四条第二款（已赋权、划转事项除外）</w:t>
      </w:r>
      <w:r>
        <w:rPr>
          <w:rFonts w:hint="eastAsia" w:cs="Times New Roman"/>
        </w:rPr>
        <w:t>；《高层民用建筑消防安全管理规定》第四十七条第七项规定的行政处罚</w:t>
      </w:r>
      <w:r>
        <w:rPr>
          <w:rFonts w:hint="eastAsia" w:ascii="仿宋_GB2312"/>
        </w:rPr>
        <w:t>。</w:t>
      </w:r>
    </w:p>
    <w:p>
      <w:pPr>
        <w:adjustRightInd w:val="0"/>
        <w:snapToGrid w:val="0"/>
        <w:spacing w:line="560" w:lineRule="exact"/>
        <w:ind w:firstLine="640" w:firstLineChars="200"/>
        <w:rPr>
          <w:rFonts w:eastAsia="黑体"/>
        </w:rPr>
      </w:pPr>
      <w:r>
        <w:rPr>
          <w:rFonts w:ascii="黑体" w:hAnsi="黑体" w:eastAsia="黑体"/>
        </w:rPr>
        <w:t>二、委托执法责任</w:t>
      </w:r>
    </w:p>
    <w:p>
      <w:pPr>
        <w:adjustRightInd w:val="0"/>
        <w:snapToGrid w:val="0"/>
        <w:spacing w:line="560" w:lineRule="exact"/>
        <w:ind w:firstLine="640" w:firstLineChars="200"/>
        <w:rPr>
          <w:rFonts w:eastAsia="楷体_GB2312"/>
          <w:bCs/>
        </w:rPr>
      </w:pPr>
      <w:r>
        <w:rPr>
          <w:rFonts w:ascii="楷体_GB2312" w:eastAsia="楷体_GB2312"/>
          <w:bCs/>
        </w:rPr>
        <w:t>（一）委托单位责任</w:t>
      </w:r>
    </w:p>
    <w:p>
      <w:pPr>
        <w:adjustRightInd w:val="0"/>
        <w:snapToGrid w:val="0"/>
        <w:spacing w:line="560" w:lineRule="exact"/>
        <w:ind w:firstLine="640" w:firstLineChars="200"/>
      </w:pPr>
      <w:r>
        <w:t>1</w:t>
      </w:r>
      <w:r>
        <w:rPr>
          <w:rFonts w:hint="eastAsia" w:ascii="仿宋_GB2312"/>
        </w:rPr>
        <w:t>.</w:t>
      </w:r>
      <w:r>
        <w:rPr>
          <w:rFonts w:ascii="仿宋_GB2312"/>
        </w:rPr>
        <w:t>指导和监督受委托单位在委托权限范围内以委托单位名义实施行政执法行为；</w:t>
      </w:r>
    </w:p>
    <w:p>
      <w:pPr>
        <w:adjustRightInd w:val="0"/>
        <w:snapToGrid w:val="0"/>
        <w:spacing w:line="560" w:lineRule="exact"/>
        <w:ind w:firstLine="640" w:firstLineChars="200"/>
      </w:pPr>
      <w:r>
        <w:t>2</w:t>
      </w:r>
      <w:r>
        <w:rPr>
          <w:rFonts w:hint="eastAsia" w:ascii="仿宋_GB2312"/>
        </w:rPr>
        <w:t>.</w:t>
      </w:r>
      <w:r>
        <w:rPr>
          <w:rFonts w:ascii="仿宋_GB2312"/>
        </w:rPr>
        <w:t>对受委托单位因违法导致案件错误所产生的法律后果由委托单位承担，委托单位承担相应责任后，可以根据受委托</w:t>
      </w:r>
      <w:r>
        <w:rPr>
          <w:rFonts w:hint="eastAsia" w:ascii="仿宋_GB2312"/>
        </w:rPr>
        <w:t>单位</w:t>
      </w:r>
      <w:r>
        <w:rPr>
          <w:rFonts w:ascii="仿宋_GB2312"/>
        </w:rPr>
        <w:t>的过错责任大小，依法予以追偿；</w:t>
      </w:r>
    </w:p>
    <w:p>
      <w:pPr>
        <w:adjustRightInd w:val="0"/>
        <w:snapToGrid w:val="0"/>
        <w:spacing w:line="560" w:lineRule="exact"/>
        <w:ind w:firstLine="640" w:firstLineChars="200"/>
      </w:pPr>
      <w:r>
        <w:t>3</w:t>
      </w:r>
      <w:r>
        <w:rPr>
          <w:rFonts w:hint="eastAsia" w:ascii="仿宋_GB2312"/>
        </w:rPr>
        <w:t>.</w:t>
      </w:r>
      <w:r>
        <w:rPr>
          <w:rFonts w:ascii="仿宋_GB2312"/>
        </w:rPr>
        <w:t>对受委托单位违法或者不适当的行政执法行为予以纠正或者撤销；受委托单位违法实施行政执法行为造成严重后果的，委托单位可以解除委托执法协议；</w:t>
      </w:r>
    </w:p>
    <w:p>
      <w:pPr>
        <w:adjustRightInd w:val="0"/>
        <w:snapToGrid w:val="0"/>
        <w:spacing w:line="560" w:lineRule="exact"/>
        <w:ind w:firstLine="640" w:firstLineChars="200"/>
      </w:pPr>
      <w:r>
        <w:t>4</w:t>
      </w:r>
      <w:r>
        <w:rPr>
          <w:rFonts w:hint="eastAsia" w:ascii="仿宋_GB2312"/>
        </w:rPr>
        <w:t>.</w:t>
      </w:r>
      <w:r>
        <w:rPr>
          <w:rFonts w:ascii="仿宋_GB2312"/>
        </w:rPr>
        <w:t>委托单位应组织受委托单位执法人员参加执法资格培训及相关业务学习；</w:t>
      </w:r>
    </w:p>
    <w:p>
      <w:pPr>
        <w:adjustRightInd w:val="0"/>
        <w:snapToGrid w:val="0"/>
        <w:spacing w:line="560" w:lineRule="exact"/>
        <w:ind w:firstLine="640" w:firstLineChars="200"/>
      </w:pPr>
      <w:r>
        <w:t>5</w:t>
      </w:r>
      <w:r>
        <w:rPr>
          <w:rFonts w:hint="eastAsia" w:ascii="仿宋_GB2312"/>
        </w:rPr>
        <w:t>.</w:t>
      </w:r>
      <w:r>
        <w:rPr>
          <w:rFonts w:ascii="仿宋_GB2312"/>
        </w:rPr>
        <w:t>委托单位为受委托单位提供相关资料及规范的行政执法文书、表格。</w:t>
      </w:r>
    </w:p>
    <w:p>
      <w:pPr>
        <w:adjustRightInd w:val="0"/>
        <w:snapToGrid w:val="0"/>
        <w:spacing w:line="560" w:lineRule="exact"/>
        <w:ind w:firstLine="640" w:firstLineChars="200"/>
        <w:rPr>
          <w:rFonts w:eastAsia="楷体_GB2312"/>
          <w:bCs/>
        </w:rPr>
      </w:pPr>
      <w:r>
        <w:rPr>
          <w:rFonts w:ascii="楷体_GB2312" w:eastAsia="楷体_GB2312"/>
          <w:bCs/>
        </w:rPr>
        <w:t>（二）受委托单位责任</w:t>
      </w:r>
    </w:p>
    <w:p>
      <w:pPr>
        <w:adjustRightInd w:val="0"/>
        <w:snapToGrid w:val="0"/>
        <w:spacing w:line="560" w:lineRule="exact"/>
        <w:ind w:firstLine="640" w:firstLineChars="200"/>
      </w:pPr>
      <w:r>
        <w:t>1</w:t>
      </w:r>
      <w:r>
        <w:rPr>
          <w:rFonts w:hint="eastAsia" w:ascii="仿宋_GB2312"/>
        </w:rPr>
        <w:t>.</w:t>
      </w:r>
      <w:r>
        <w:rPr>
          <w:rFonts w:ascii="仿宋_GB2312"/>
        </w:rPr>
        <w:t>受委托单位只能在委托权限和范围内实施行政执法行为；</w:t>
      </w:r>
    </w:p>
    <w:p>
      <w:pPr>
        <w:adjustRightInd w:val="0"/>
        <w:snapToGrid w:val="0"/>
        <w:spacing w:line="560" w:lineRule="exact"/>
        <w:ind w:firstLine="640" w:firstLineChars="200"/>
      </w:pPr>
      <w:r>
        <w:t>2</w:t>
      </w:r>
      <w:r>
        <w:rPr>
          <w:rFonts w:hint="eastAsia" w:ascii="仿宋_GB2312"/>
        </w:rPr>
        <w:t>.</w:t>
      </w:r>
      <w:r>
        <w:rPr>
          <w:rFonts w:ascii="仿宋_GB2312"/>
        </w:rPr>
        <w:t>受委托单位在履行行政执法行为时，</w:t>
      </w:r>
      <w:r>
        <w:rPr>
          <w:rFonts w:hint="eastAsia" w:ascii="仿宋_GB2312"/>
        </w:rPr>
        <w:t>应当由</w:t>
      </w:r>
      <w:r>
        <w:rPr>
          <w:rFonts w:hint="eastAsia"/>
        </w:rPr>
        <w:t>2</w:t>
      </w:r>
      <w:r>
        <w:rPr>
          <w:rFonts w:hint="eastAsia" w:ascii="仿宋_GB2312"/>
        </w:rPr>
        <w:t>名以上的行政执法人员，取得执法资格后</w:t>
      </w:r>
      <w:r>
        <w:rPr>
          <w:rFonts w:ascii="仿宋_GB2312"/>
        </w:rPr>
        <w:t>，按法定程序实施行政执法行为；</w:t>
      </w:r>
    </w:p>
    <w:p>
      <w:pPr>
        <w:adjustRightInd w:val="0"/>
        <w:snapToGrid w:val="0"/>
        <w:spacing w:line="560" w:lineRule="exact"/>
        <w:ind w:firstLine="640" w:firstLineChars="200"/>
      </w:pPr>
      <w:r>
        <w:t>3</w:t>
      </w:r>
      <w:r>
        <w:rPr>
          <w:rFonts w:hint="eastAsia" w:ascii="仿宋_GB2312"/>
        </w:rPr>
        <w:t>.</w:t>
      </w:r>
      <w:r>
        <w:rPr>
          <w:rFonts w:ascii="仿宋_GB2312"/>
        </w:rPr>
        <w:t>受委托单位不得再委托其他任何组织或者个人实施委托单位委托的行政执法行为；</w:t>
      </w:r>
    </w:p>
    <w:p>
      <w:pPr>
        <w:adjustRightInd w:val="0"/>
        <w:snapToGrid w:val="0"/>
        <w:spacing w:line="560" w:lineRule="exact"/>
        <w:ind w:firstLine="640" w:firstLineChars="200"/>
      </w:pPr>
      <w:r>
        <w:t>4</w:t>
      </w:r>
      <w:r>
        <w:rPr>
          <w:rFonts w:hint="eastAsia" w:ascii="仿宋_GB2312"/>
        </w:rPr>
        <w:t>.</w:t>
      </w:r>
      <w:r>
        <w:rPr>
          <w:rFonts w:ascii="仿宋_GB2312"/>
        </w:rPr>
        <w:t>主动接受委托单位的指导和监督，参与和配合委托单位的行政执法工作；</w:t>
      </w:r>
    </w:p>
    <w:p>
      <w:pPr>
        <w:adjustRightInd w:val="0"/>
        <w:snapToGrid w:val="0"/>
        <w:spacing w:line="560" w:lineRule="exact"/>
        <w:ind w:firstLine="640" w:firstLineChars="200"/>
        <w:rPr>
          <w:rFonts w:ascii="仿宋_GB2312"/>
        </w:rPr>
      </w:pPr>
      <w:r>
        <w:t>5</w:t>
      </w:r>
      <w:r>
        <w:rPr>
          <w:rFonts w:hint="eastAsia" w:ascii="仿宋_GB2312"/>
        </w:rPr>
        <w:t>.</w:t>
      </w:r>
      <w:r>
        <w:rPr>
          <w:rFonts w:ascii="仿宋_GB2312"/>
        </w:rPr>
        <w:t>严格按照委托执法的有关规定，以委托单位的名义制作行政执法文书，</w:t>
      </w:r>
      <w:r>
        <w:rPr>
          <w:rFonts w:hint="eastAsia" w:ascii="仿宋_GB2312"/>
        </w:rPr>
        <w:t>受委托方应当接受并使用委托方提供的相关法律文书，受委托方应当按照档案法的相关要求，保管行政执法档案。</w:t>
      </w:r>
    </w:p>
    <w:p>
      <w:pPr>
        <w:adjustRightInd w:val="0"/>
        <w:snapToGrid w:val="0"/>
        <w:spacing w:line="560" w:lineRule="exact"/>
        <w:ind w:firstLine="640" w:firstLineChars="200"/>
      </w:pPr>
      <w:r>
        <w:t>6</w:t>
      </w:r>
      <w:r>
        <w:rPr>
          <w:rFonts w:hint="eastAsia" w:ascii="仿宋_GB2312"/>
        </w:rPr>
        <w:t>.</w:t>
      </w:r>
      <w:r>
        <w:rPr>
          <w:rFonts w:ascii="仿宋_GB2312"/>
        </w:rPr>
        <w:t>严格执行委托单位的行政处罚裁量标准，不得随意降低或者提高处罚标准；</w:t>
      </w:r>
    </w:p>
    <w:p>
      <w:pPr>
        <w:adjustRightInd w:val="0"/>
        <w:snapToGrid w:val="0"/>
        <w:spacing w:line="560" w:lineRule="exact"/>
        <w:ind w:firstLine="640" w:firstLineChars="200"/>
      </w:pPr>
      <w:r>
        <w:t>7</w:t>
      </w:r>
      <w:r>
        <w:rPr>
          <w:rFonts w:hint="eastAsia" w:ascii="仿宋_GB2312"/>
        </w:rPr>
        <w:t>.</w:t>
      </w:r>
      <w:r>
        <w:rPr>
          <w:rFonts w:ascii="仿宋_GB2312"/>
        </w:rPr>
        <w:t>建立相关的监督检查实施办法和行政执法相关制度；</w:t>
      </w:r>
    </w:p>
    <w:p>
      <w:pPr>
        <w:adjustRightInd w:val="0"/>
        <w:snapToGrid w:val="0"/>
        <w:spacing w:line="560" w:lineRule="exact"/>
        <w:ind w:firstLine="640" w:firstLineChars="200"/>
      </w:pPr>
      <w:r>
        <w:t>8</w:t>
      </w:r>
      <w:r>
        <w:rPr>
          <w:rFonts w:hint="eastAsia" w:ascii="仿宋_GB2312"/>
        </w:rPr>
        <w:t>.</w:t>
      </w:r>
      <w:r>
        <w:rPr>
          <w:rFonts w:ascii="仿宋_GB2312"/>
        </w:rPr>
        <w:t>每月底前按要求准确地向委托单位报送委托行政执法报表，定期汇报执法情况，不得虚报、瞒报、拒报、迟报；</w:t>
      </w:r>
    </w:p>
    <w:p>
      <w:pPr>
        <w:adjustRightInd w:val="0"/>
        <w:snapToGrid w:val="0"/>
        <w:spacing w:line="560" w:lineRule="exact"/>
        <w:ind w:firstLine="640" w:firstLineChars="200"/>
        <w:rPr>
          <w:rFonts w:ascii="仿宋_GB2312"/>
        </w:rPr>
      </w:pPr>
      <w:r>
        <w:t>9</w:t>
      </w:r>
      <w:r>
        <w:rPr>
          <w:rFonts w:hint="eastAsia" w:ascii="仿宋_GB2312"/>
        </w:rPr>
        <w:t>.</w:t>
      </w:r>
      <w:r>
        <w:rPr>
          <w:rFonts w:ascii="仿宋_GB2312"/>
        </w:rPr>
        <w:t>及时向委托单位书面报告在委托行政执法过程中存在的问题；</w:t>
      </w:r>
    </w:p>
    <w:p>
      <w:pPr>
        <w:adjustRightInd w:val="0"/>
        <w:snapToGrid w:val="0"/>
        <w:spacing w:line="560" w:lineRule="exact"/>
        <w:ind w:firstLine="640" w:firstLineChars="200"/>
      </w:pPr>
      <w:r>
        <w:t>1</w:t>
      </w:r>
      <w:r>
        <w:rPr>
          <w:rFonts w:hint="eastAsia"/>
        </w:rPr>
        <w:t>0</w:t>
      </w:r>
      <w:r>
        <w:rPr>
          <w:rFonts w:hint="eastAsia" w:ascii="仿宋_GB2312"/>
        </w:rPr>
        <w:t>.受委托单位以本单位的名义执法或者超越委托权限，乱施行政处罚所产生的法律后果由受委托单位自行承担。</w:t>
      </w:r>
    </w:p>
    <w:p>
      <w:pPr>
        <w:adjustRightInd w:val="0"/>
        <w:snapToGrid w:val="0"/>
        <w:spacing w:line="560" w:lineRule="exact"/>
        <w:ind w:firstLine="640" w:firstLineChars="200"/>
        <w:rPr>
          <w:rFonts w:eastAsia="黑体"/>
        </w:rPr>
      </w:pPr>
      <w:r>
        <w:rPr>
          <w:rFonts w:hint="eastAsia" w:ascii="黑体" w:hAnsi="黑体" w:eastAsia="黑体"/>
        </w:rPr>
        <w:t>三</w:t>
      </w:r>
      <w:r>
        <w:rPr>
          <w:rFonts w:ascii="黑体" w:hAnsi="黑体" w:eastAsia="黑体"/>
        </w:rPr>
        <w:t>、委托期限</w:t>
      </w:r>
    </w:p>
    <w:p>
      <w:pPr>
        <w:adjustRightInd w:val="0"/>
        <w:snapToGrid w:val="0"/>
        <w:spacing w:line="560" w:lineRule="exact"/>
        <w:ind w:firstLine="640" w:firstLineChars="200"/>
      </w:pPr>
      <w:r>
        <w:rPr>
          <w:rFonts w:ascii="仿宋_GB2312"/>
        </w:rPr>
        <w:t>从</w:t>
      </w:r>
      <w:r>
        <w:rPr>
          <w:rFonts w:hint="eastAsia"/>
        </w:rPr>
        <w:t>2023</w:t>
      </w:r>
      <w:r>
        <w:rPr>
          <w:rFonts w:ascii="仿宋_GB2312"/>
        </w:rPr>
        <w:t>年</w:t>
      </w:r>
      <w:r>
        <w:rPr>
          <w:rFonts w:hint="eastAsia"/>
        </w:rPr>
        <w:t>*</w:t>
      </w:r>
      <w:r>
        <w:rPr>
          <w:rFonts w:ascii="仿宋_GB2312"/>
        </w:rPr>
        <w:t>月</w:t>
      </w:r>
      <w:r>
        <w:rPr>
          <w:rFonts w:hint="eastAsia"/>
        </w:rPr>
        <w:t>*</w:t>
      </w:r>
      <w:r>
        <w:rPr>
          <w:rFonts w:ascii="仿宋_GB2312"/>
        </w:rPr>
        <w:t>日至</w:t>
      </w:r>
      <w:r>
        <w:rPr>
          <w:rFonts w:hint="eastAsia"/>
        </w:rPr>
        <w:t>2023</w:t>
      </w:r>
      <w:r>
        <w:rPr>
          <w:rFonts w:ascii="仿宋_GB2312"/>
        </w:rPr>
        <w:t>年</w:t>
      </w:r>
      <w:r>
        <w:rPr>
          <w:rFonts w:hint="eastAsia"/>
        </w:rPr>
        <w:t>12</w:t>
      </w:r>
      <w:r>
        <w:rPr>
          <w:rFonts w:ascii="仿宋_GB2312"/>
        </w:rPr>
        <w:t>月</w:t>
      </w:r>
      <w:r>
        <w:rPr>
          <w:rFonts w:hint="eastAsia"/>
        </w:rPr>
        <w:t>31</w:t>
      </w:r>
      <w:r>
        <w:rPr>
          <w:rFonts w:ascii="仿宋_GB2312"/>
        </w:rPr>
        <w:t>日止。本委托书经双方法定代表人或者委托代理人签字或者加盖单位公章之日起生效。</w:t>
      </w:r>
      <w:r>
        <w:rPr>
          <w:rFonts w:hint="eastAsia" w:ascii="仿宋_GB2312"/>
        </w:rPr>
        <w:t>委托期限届满后</w:t>
      </w:r>
      <w:r>
        <w:rPr>
          <w:rFonts w:ascii="仿宋_GB2312"/>
        </w:rPr>
        <w:t>由委托单位进行审核，经审核符合条件的重新签订委托书；经审核不符合条件的取消委托。</w:t>
      </w:r>
    </w:p>
    <w:p>
      <w:pPr>
        <w:adjustRightInd w:val="0"/>
        <w:snapToGrid w:val="0"/>
        <w:spacing w:line="560" w:lineRule="exact"/>
        <w:ind w:firstLine="640" w:firstLineChars="200"/>
      </w:pPr>
      <w:r>
        <w:rPr>
          <w:rFonts w:hint="eastAsia" w:ascii="黑体" w:hAnsi="黑体" w:eastAsia="黑体" w:cs="黑体"/>
          <w:szCs w:val="32"/>
        </w:rPr>
        <w:t>四、</w:t>
      </w:r>
      <w:r>
        <w:rPr>
          <w:rFonts w:ascii="仿宋_GB2312"/>
        </w:rPr>
        <w:t>本委托书一式</w:t>
      </w:r>
      <w:r>
        <w:rPr>
          <w:rFonts w:hint="eastAsia" w:ascii="仿宋_GB2312"/>
        </w:rPr>
        <w:t>四</w:t>
      </w:r>
      <w:r>
        <w:rPr>
          <w:rFonts w:ascii="仿宋_GB2312"/>
        </w:rPr>
        <w:t>份，委托单位和受委托单位各执一份，另</w:t>
      </w:r>
      <w:r>
        <w:rPr>
          <w:rFonts w:hint="eastAsia" w:ascii="仿宋_GB2312"/>
        </w:rPr>
        <w:t>两</w:t>
      </w:r>
      <w:r>
        <w:rPr>
          <w:rFonts w:ascii="仿宋_GB2312"/>
        </w:rPr>
        <w:t>份分送</w:t>
      </w:r>
      <w:r>
        <w:rPr>
          <w:rFonts w:hint="eastAsia" w:ascii="仿宋_GB2312"/>
        </w:rPr>
        <w:t>衢州</w:t>
      </w:r>
      <w:r>
        <w:rPr>
          <w:rFonts w:ascii="仿宋_GB2312"/>
        </w:rPr>
        <w:t>市消防</w:t>
      </w:r>
      <w:r>
        <w:rPr>
          <w:rFonts w:hint="eastAsia" w:ascii="仿宋_GB2312"/>
        </w:rPr>
        <w:t>救援支队和</w:t>
      </w:r>
      <w:r>
        <w:rPr>
          <w:rFonts w:hint="eastAsia" w:ascii="仿宋_GB2312"/>
          <w:lang w:eastAsia="zh-CN"/>
        </w:rPr>
        <w:t>衢江</w:t>
      </w:r>
      <w:r>
        <w:rPr>
          <w:rFonts w:hint="eastAsia" w:ascii="仿宋_GB2312"/>
        </w:rPr>
        <w:t>区司法局</w:t>
      </w:r>
      <w:r>
        <w:rPr>
          <w:rFonts w:ascii="仿宋_GB2312"/>
        </w:rPr>
        <w:t>备案。</w:t>
      </w:r>
    </w:p>
    <w:p>
      <w:pPr>
        <w:adjustRightInd w:val="0"/>
        <w:snapToGrid w:val="0"/>
        <w:spacing w:line="560" w:lineRule="exact"/>
      </w:pPr>
    </w:p>
    <w:p>
      <w:pPr>
        <w:adjustRightInd w:val="0"/>
        <w:snapToGrid w:val="0"/>
        <w:spacing w:line="560" w:lineRule="exact"/>
      </w:pPr>
    </w:p>
    <w:p>
      <w:pPr>
        <w:adjustRightInd w:val="0"/>
        <w:snapToGrid w:val="0"/>
        <w:spacing w:line="560" w:lineRule="exact"/>
      </w:pPr>
      <w:r>
        <w:rPr>
          <w:rFonts w:ascii="仿宋_GB2312"/>
        </w:rPr>
        <w:t>委托单位（盖章）</w:t>
      </w:r>
      <w:r>
        <w:rPr>
          <w:rFonts w:hint="eastAsia" w:ascii="仿宋_GB2312"/>
        </w:rPr>
        <w:t xml:space="preserve">             </w:t>
      </w:r>
      <w:r>
        <w:rPr>
          <w:rFonts w:ascii="仿宋_GB2312"/>
        </w:rPr>
        <w:t>受委托单位（盖章）</w:t>
      </w:r>
    </w:p>
    <w:p>
      <w:pPr>
        <w:adjustRightInd w:val="0"/>
        <w:snapToGrid w:val="0"/>
        <w:spacing w:line="560" w:lineRule="exact"/>
      </w:pPr>
    </w:p>
    <w:p>
      <w:pPr>
        <w:adjustRightInd w:val="0"/>
        <w:snapToGrid w:val="0"/>
        <w:spacing w:line="560" w:lineRule="exact"/>
      </w:pPr>
      <w:r>
        <w:rPr>
          <w:rFonts w:ascii="仿宋_GB2312"/>
        </w:rPr>
        <w:t xml:space="preserve">法定代表人（签名）：  </w:t>
      </w:r>
      <w:r>
        <w:rPr>
          <w:rFonts w:hint="eastAsia" w:ascii="仿宋_GB2312"/>
        </w:rPr>
        <w:t xml:space="preserve">       </w:t>
      </w:r>
      <w:r>
        <w:rPr>
          <w:rFonts w:ascii="仿宋_GB2312"/>
        </w:rPr>
        <w:t>法定代表人（签名）：</w:t>
      </w:r>
    </w:p>
    <w:p>
      <w:pPr>
        <w:adjustRightInd w:val="0"/>
        <w:snapToGrid w:val="0"/>
        <w:spacing w:line="560" w:lineRule="exact"/>
        <w:ind w:firstLine="640" w:firstLineChars="200"/>
      </w:pPr>
      <w:r>
        <w:rPr>
          <w:rFonts w:ascii="仿宋_GB2312"/>
        </w:rPr>
        <w:t>年</w:t>
      </w:r>
      <w:r>
        <w:rPr>
          <w:rFonts w:hint="eastAsia" w:ascii="仿宋_GB2312"/>
        </w:rPr>
        <w:t xml:space="preserve"> </w:t>
      </w:r>
      <w:r>
        <w:rPr>
          <w:rFonts w:ascii="仿宋_GB2312"/>
        </w:rPr>
        <w:t>月</w:t>
      </w:r>
      <w:r>
        <w:rPr>
          <w:rFonts w:hint="eastAsia" w:ascii="仿宋_GB2312"/>
        </w:rPr>
        <w:t xml:space="preserve"> </w:t>
      </w:r>
      <w:r>
        <w:rPr>
          <w:rFonts w:ascii="仿宋_GB2312"/>
        </w:rPr>
        <w:t>日</w:t>
      </w:r>
      <w:r>
        <w:rPr>
          <w:rFonts w:hint="eastAsia"/>
        </w:rPr>
        <w:tab/>
      </w:r>
      <w:r>
        <w:rPr>
          <w:rFonts w:hint="eastAsia"/>
        </w:rPr>
        <w:t xml:space="preserve">                    </w:t>
      </w:r>
      <w:r>
        <w:rPr>
          <w:rFonts w:ascii="仿宋_GB2312"/>
        </w:rPr>
        <w:t>年</w:t>
      </w:r>
      <w:r>
        <w:rPr>
          <w:rFonts w:hint="eastAsia" w:ascii="仿宋_GB2312"/>
        </w:rPr>
        <w:t xml:space="preserve"> </w:t>
      </w:r>
      <w:r>
        <w:rPr>
          <w:rFonts w:ascii="仿宋_GB2312"/>
        </w:rPr>
        <w:t>月</w:t>
      </w:r>
      <w:r>
        <w:rPr>
          <w:rFonts w:hint="eastAsia" w:ascii="仿宋_GB2312"/>
        </w:rPr>
        <w:t xml:space="preserve"> 日</w:t>
      </w:r>
    </w:p>
    <w:sectPr>
      <w:footerReference r:id="rId5" w:type="default"/>
      <w:pgSz w:w="11906" w:h="16838"/>
      <w:pgMar w:top="2041" w:right="1531" w:bottom="2041" w:left="1531" w:header="851" w:footer="1417" w:gutter="0"/>
      <w:pgBorders>
        <w:top w:val="none" w:sz="0" w:space="0"/>
        <w:left w:val="none" w:sz="0" w:space="0"/>
        <w:bottom w:val="none" w:sz="0" w:space="0"/>
        <w:right w:val="none" w:sz="0" w:space="0"/>
      </w:pgBorders>
      <w:cols w:space="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fci wne:fciName="DisplayForReview" wne:swArg="0000"/>
    </wne:keymap>
    <wne:keymap wne:kcmPrimary="0433">
      <wne:fci wne:fciName="Help" wne:swArg="000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Style w:val="7"/>
        <w:rFonts w:ascii="仿宋_GB2312"/>
        <w:sz w:val="28"/>
        <w:szCs w:val="28"/>
      </w:rPr>
    </w:pPr>
    <w:r>
      <w:rPr>
        <w:sz w:val="28"/>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840" w:firstLineChars="2800"/>
      <w:rPr>
        <w:rStyle w:val="7"/>
        <w:rFonts w:ascii="仿宋_GB2312"/>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path/>
          <v:fill on="f" focussize="0,0"/>
          <v:stroke on="f" weight="0.5pt" joinstyle="miter"/>
          <v:imagedata o:title=""/>
          <o:lock v:ext="edit"/>
          <v:textbox inset="0mm,0mm,0mm,0mm" style="mso-fit-shape-to-text:t;">
            <w:txbxContent>
              <w:p>
                <w:pPr>
                  <w:pStyle w:val="3"/>
                  <w:rPr>
                    <w:rFonts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11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794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2YmQ1MDVmNDgzY2ZlYjJhNTkxMTc4MjMyYTNjNTQifQ=="/>
  </w:docVars>
  <w:rsids>
    <w:rsidRoot w:val="00B47227"/>
    <w:rsid w:val="0021059D"/>
    <w:rsid w:val="00422D76"/>
    <w:rsid w:val="00543280"/>
    <w:rsid w:val="005A3870"/>
    <w:rsid w:val="0069561C"/>
    <w:rsid w:val="0072250C"/>
    <w:rsid w:val="007E5085"/>
    <w:rsid w:val="009A4094"/>
    <w:rsid w:val="00A667C2"/>
    <w:rsid w:val="00B47227"/>
    <w:rsid w:val="00B5145B"/>
    <w:rsid w:val="00CC714C"/>
    <w:rsid w:val="00F94289"/>
    <w:rsid w:val="050262FF"/>
    <w:rsid w:val="092E5BE5"/>
    <w:rsid w:val="0D2D705B"/>
    <w:rsid w:val="100A7398"/>
    <w:rsid w:val="115931EB"/>
    <w:rsid w:val="175E3962"/>
    <w:rsid w:val="1A5D1D33"/>
    <w:rsid w:val="1E0144B8"/>
    <w:rsid w:val="1E7F6D23"/>
    <w:rsid w:val="1F632913"/>
    <w:rsid w:val="215D1C90"/>
    <w:rsid w:val="29DD218D"/>
    <w:rsid w:val="2BA16A2B"/>
    <w:rsid w:val="2C2440A3"/>
    <w:rsid w:val="32A60A29"/>
    <w:rsid w:val="3C3406EE"/>
    <w:rsid w:val="3F7B1AF9"/>
    <w:rsid w:val="3FBD063E"/>
    <w:rsid w:val="40193178"/>
    <w:rsid w:val="42B316BE"/>
    <w:rsid w:val="438A5495"/>
    <w:rsid w:val="44A57555"/>
    <w:rsid w:val="495A1E1A"/>
    <w:rsid w:val="4A7920EC"/>
    <w:rsid w:val="5214645E"/>
    <w:rsid w:val="534C4E1B"/>
    <w:rsid w:val="54611946"/>
    <w:rsid w:val="54665728"/>
    <w:rsid w:val="5BCF5177"/>
    <w:rsid w:val="5C956A6C"/>
    <w:rsid w:val="5E1A3349"/>
    <w:rsid w:val="68EC6114"/>
    <w:rsid w:val="6BDC1939"/>
    <w:rsid w:val="783E7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仿宋_GB2312" w:cs="Times New Roman"/>
      <w:sz w:val="32"/>
      <w:szCs w:val="32"/>
    </w:rPr>
  </w:style>
  <w:style w:type="paragraph" w:styleId="3">
    <w:name w:val="footer"/>
    <w:qFormat/>
    <w:uiPriority w:val="0"/>
    <w:pPr>
      <w:widowControl w:val="0"/>
      <w:tabs>
        <w:tab w:val="center" w:pos="4153"/>
        <w:tab w:val="right" w:pos="8306"/>
      </w:tabs>
      <w:snapToGrid w:val="0"/>
    </w:pPr>
    <w:rPr>
      <w:rFonts w:ascii="Times New Roman" w:hAnsi="Times New Roman" w:eastAsia="仿宋_GB2312" w:cs="Times New Roman"/>
      <w:kern w:val="2"/>
      <w:sz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lang w:val="en-US" w:eastAsia="zh-CN" w:bidi="ar-SA"/>
    </w:rPr>
  </w:style>
  <w:style w:type="character" w:styleId="7">
    <w:name w:val="page number"/>
    <w:qFormat/>
    <w:uiPriority w:val="0"/>
    <w:rPr>
      <w:rFonts w:cs="Times New Roman"/>
    </w:rPr>
  </w:style>
  <w:style w:type="paragraph" w:customStyle="1" w:styleId="8">
    <w:name w:val="仿宋_GB2312"/>
    <w:qFormat/>
    <w:uiPriority w:val="0"/>
    <w:pPr>
      <w:adjustRightInd w:val="0"/>
      <w:snapToGrid w:val="0"/>
      <w:spacing w:line="560" w:lineRule="exact"/>
      <w:ind w:firstLine="420" w:firstLineChars="200"/>
    </w:pPr>
    <w:rPr>
      <w:rFonts w:ascii="Times New Roman" w:hAnsi="Times New Roman" w:eastAsia="仿宋_GB2312" w:cstheme="minorBidi"/>
      <w:sz w:val="32"/>
      <w:lang w:val="en-US" w:eastAsia="zh-CN" w:bidi="ar-SA"/>
    </w:rPr>
  </w:style>
  <w:style w:type="paragraph" w:customStyle="1" w:styleId="9">
    <w:name w:val="小标宋（22）"/>
    <w:basedOn w:val="10"/>
    <w:link w:val="11"/>
    <w:qFormat/>
    <w:uiPriority w:val="0"/>
    <w:pPr>
      <w:spacing w:line="720" w:lineRule="exact"/>
      <w:ind w:firstLine="0" w:firstLineChars="0"/>
      <w:jc w:val="center"/>
    </w:pPr>
    <w:rPr>
      <w:rFonts w:eastAsia="方正小标宋简体"/>
      <w:sz w:val="44"/>
    </w:rPr>
  </w:style>
  <w:style w:type="paragraph" w:customStyle="1" w:styleId="10">
    <w:name w:val="仿宋_GB2312（16）"/>
    <w:qFormat/>
    <w:uiPriority w:val="0"/>
    <w:pPr>
      <w:adjustRightInd w:val="0"/>
      <w:snapToGrid w:val="0"/>
      <w:spacing w:line="560" w:lineRule="exact"/>
      <w:ind w:firstLine="420" w:firstLineChars="200"/>
      <w:jc w:val="both"/>
    </w:pPr>
    <w:rPr>
      <w:rFonts w:ascii="Times New Roman" w:hAnsi="Times New Roman" w:eastAsia="仿宋_GB2312" w:cstheme="minorBidi"/>
      <w:sz w:val="32"/>
      <w:lang w:val="en-US" w:eastAsia="zh-CN" w:bidi="ar-SA"/>
    </w:rPr>
  </w:style>
  <w:style w:type="character" w:customStyle="1" w:styleId="11">
    <w:name w:val="小标宋（22） Char"/>
    <w:link w:val="9"/>
    <w:qFormat/>
    <w:uiPriority w:val="0"/>
    <w:rPr>
      <w:rFonts w:ascii="Times New Roman" w:hAnsi="Times New Roman" w:eastAsia="方正小标宋简体"/>
      <w:sz w:val="44"/>
    </w:rPr>
  </w:style>
  <w:style w:type="paragraph" w:customStyle="1" w:styleId="12">
    <w:name w:val="楷体_GB2312（16）"/>
    <w:basedOn w:val="10"/>
    <w:qFormat/>
    <w:uiPriority w:val="0"/>
    <w:pPr>
      <w:spacing w:line="720" w:lineRule="exact"/>
      <w:ind w:firstLine="0" w:firstLineChars="0"/>
      <w:jc w:val="center"/>
    </w:pPr>
    <w:rPr>
      <w:rFonts w:eastAsia="楷体_GB2312"/>
    </w:rPr>
  </w:style>
  <w:style w:type="paragraph" w:customStyle="1" w:styleId="13">
    <w:name w:val="一级标题"/>
    <w:basedOn w:val="10"/>
    <w:qFormat/>
    <w:uiPriority w:val="0"/>
    <w:rPr>
      <w:rFonts w:eastAsia="黑体"/>
    </w:rPr>
  </w:style>
  <w:style w:type="paragraph" w:customStyle="1" w:styleId="14">
    <w:name w:val="二级标题"/>
    <w:basedOn w:val="10"/>
    <w:link w:val="16"/>
    <w:qFormat/>
    <w:uiPriority w:val="0"/>
    <w:pPr>
      <w:ind w:firstLine="880"/>
    </w:pPr>
    <w:rPr>
      <w:rFonts w:eastAsia="楷体_GB2312"/>
      <w:b/>
    </w:rPr>
  </w:style>
  <w:style w:type="paragraph" w:customStyle="1" w:styleId="15">
    <w:name w:val="楷(16)"/>
    <w:basedOn w:val="10"/>
    <w:qFormat/>
    <w:uiPriority w:val="0"/>
    <w:pPr>
      <w:spacing w:line="720" w:lineRule="exact"/>
      <w:ind w:firstLine="0" w:firstLineChars="0"/>
      <w:jc w:val="center"/>
    </w:pPr>
    <w:rPr>
      <w:rFonts w:eastAsia="楷体_GB2312"/>
    </w:rPr>
  </w:style>
  <w:style w:type="character" w:customStyle="1" w:styleId="16">
    <w:name w:val="二级标题 Char"/>
    <w:link w:val="14"/>
    <w:qFormat/>
    <w:uiPriority w:val="0"/>
    <w:rPr>
      <w:rFonts w:ascii="Times New Roman" w:hAnsi="Times New Roman" w:eastAsia="楷体_GB2312"/>
      <w:b/>
    </w:rPr>
  </w:style>
  <w:style w:type="paragraph" w:customStyle="1" w:styleId="17">
    <w:name w:val="二级标题（不加粗）"/>
    <w:basedOn w:val="10"/>
    <w:link w:val="18"/>
    <w:qFormat/>
    <w:uiPriority w:val="0"/>
    <w:rPr>
      <w:rFonts w:eastAsia="楷体_GB2312"/>
    </w:rPr>
  </w:style>
  <w:style w:type="character" w:customStyle="1" w:styleId="18">
    <w:name w:val="二级标题（不加粗） Char"/>
    <w:link w:val="17"/>
    <w:qFormat/>
    <w:uiPriority w:val="0"/>
    <w:rPr>
      <w:rFonts w:hint="default" w:ascii="Times New Roman" w:hAnsi="Times New Roman"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5075</Words>
  <Characters>5125</Characters>
  <Lines>38</Lines>
  <Paragraphs>10</Paragraphs>
  <TotalTime>1</TotalTime>
  <ScaleCrop>false</ScaleCrop>
  <LinksUpToDate>false</LinksUpToDate>
  <CharactersWithSpaces>5173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2022-07-21T17:08:00Z</dcterms:created>
  <dc:creator>LBH</dc:creator>
  <cp:lastModifiedBy>衢江大队</cp:lastModifiedBy>
  <cp:lastPrinted>2023-03-01T14:33:00Z</cp:lastPrinted>
  <dcterms:modified xsi:type="dcterms:W3CDTF">2023-04-07T08:31:50Z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2BB20068DAE94EE6916722BF331A0DC1</vt:lpwstr>
  </property>
</Properties>
</file>