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ind w:firstLineChars="100" w:firstLine="44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杭州高新区（滨江）促进</w:t>
      </w:r>
      <w:r>
        <w:rPr>
          <w:rFonts w:ascii="方正小标宋简体" w:eastAsia="方正小标宋简体" w:hAnsi="Times New Roman" w:hint="eastAsia"/>
          <w:sz w:val="44"/>
          <w:szCs w:val="44"/>
        </w:rPr>
        <w:t>消费品以旧换新若干</w:t>
      </w:r>
      <w:r>
        <w:rPr>
          <w:rFonts w:ascii="方正小标宋简体" w:eastAsia="方正小标宋简体" w:hAnsi="Times New Roman"/>
          <w:sz w:val="44"/>
          <w:szCs w:val="44"/>
        </w:rPr>
        <w:t>意见</w:t>
      </w:r>
      <w:r>
        <w:rPr>
          <w:rFonts w:ascii="方正小标宋简体" w:eastAsia="方正小标宋简体" w:hAnsi="Times New Roman" w:hint="eastAsia"/>
          <w:sz w:val="44"/>
          <w:szCs w:val="44"/>
        </w:rPr>
        <w:t>实施细则</w:t>
      </w:r>
      <w:r>
        <w:rPr>
          <w:rFonts w:ascii="方正小标宋简体" w:eastAsia="方正小标宋简体" w:hAnsi="Times New Roman"/>
          <w:sz w:val="44"/>
          <w:szCs w:val="44"/>
        </w:rPr>
        <w:t>（征求意见稿）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>
      <w:pPr>
        <w:pStyle w:val="15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为加快推进消费品以旧换新工作，切实提升上级专项资金使用效率，结合我区实际，拟对参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与消费品以旧换新活动的企业给予奖励支持，特制定本细则。</w:t>
      </w:r>
    </w:p>
    <w:p>
      <w:pPr>
        <w:pStyle w:val="18"/>
        <w:spacing w:after="0" w:line="360" w:lineRule="auto"/>
        <w:ind w:leftChars="0" w:left="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一、支持范围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1.参与消费品以旧换新活动的企业。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2.未被市场监管部门列入严重违法失信名单，未被“信用中国”网站列为失信被执行人。</w:t>
      </w:r>
    </w:p>
    <w:p>
      <w:pPr>
        <w:pStyle w:val="18"/>
        <w:spacing w:after="0" w:line="360" w:lineRule="auto"/>
        <w:ind w:leftChars="0" w:left="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二、奖励标准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napToGrid w:val="0"/>
          <w:sz w:val="32"/>
          <w:szCs w:val="32"/>
        </w:rPr>
        <w:t>1.</w:t>
      </w:r>
      <w:r>
        <w:rPr>
          <w:rFonts w:ascii="楷体_GB2312" w:eastAsia="楷体_GB2312" w:cs="楷体_GB2312" w:hAnsi="Times New Roman" w:hint="eastAsia"/>
          <w:b/>
          <w:bCs/>
          <w:snapToGrid w:val="0"/>
          <w:sz w:val="32"/>
          <w:szCs w:val="32"/>
        </w:rPr>
        <w:t>汽车以旧换新奖励。</w:t>
      </w:r>
      <w:r>
        <w:rPr>
          <w:rFonts w:ascii="Times New Roman" w:eastAsia="仿宋_GB2312" w:hAnsi="Times New Roman" w:hint="eastAsia"/>
          <w:sz w:val="32"/>
          <w:szCs w:val="32"/>
        </w:rPr>
        <w:t>鼓励企业参与汽车以旧换新活动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，经企业申报并经审核，按其</w:t>
      </w:r>
      <w:r>
        <w:rPr>
          <w:rFonts w:ascii="Times New Roman" w:eastAsia="仿宋_GB2312" w:hAnsi="Times New Roman" w:hint="eastAsia"/>
          <w:sz w:val="32"/>
          <w:szCs w:val="32"/>
        </w:rPr>
        <w:t>汽车报废更新/置换更新的零售额给予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1%的奖励支持。</w:t>
      </w:r>
      <w:r>
        <w:rPr>
          <w:rFonts w:ascii="Times New Roman" w:eastAsia="仿宋_GB2312" w:hAnsi="Times New Roman" w:hint="eastAsia"/>
          <w:sz w:val="32"/>
          <w:szCs w:val="32"/>
        </w:rPr>
        <w:t>汽车报废更新/置换更新的零售额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主要以2024年9月-12月消费品以旧换新活动期间国家、省</w:t>
      </w:r>
      <w:r>
        <w:rPr>
          <w:rFonts w:ascii="Times New Roman" w:eastAsia="仿宋_GB2312" w:hAnsi="Times New Roman"/>
          <w:snapToGrid w:val="0"/>
          <w:sz w:val="32"/>
          <w:szCs w:val="32"/>
        </w:rPr>
        <w:t>级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系统</w:t>
      </w:r>
      <w:r>
        <w:rPr>
          <w:rFonts w:ascii="Times New Roman" w:eastAsia="仿宋_GB2312" w:hAnsi="Times New Roman" w:hint="eastAsia"/>
          <w:sz w:val="32"/>
          <w:szCs w:val="32"/>
        </w:rPr>
        <w:t>汽车报废更新/置换更新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申报数据和相关审计单位出具的报告为准。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napToGrid w:val="0"/>
          <w:sz w:val="32"/>
          <w:szCs w:val="32"/>
        </w:rPr>
        <w:t>2.</w:t>
      </w:r>
      <w:r>
        <w:rPr>
          <w:rFonts w:ascii="楷体_GB2312" w:eastAsia="楷体_GB2312" w:cs="楷体_GB2312" w:hAnsi="Times New Roman" w:hint="eastAsia"/>
          <w:b/>
          <w:bCs/>
          <w:snapToGrid w:val="0"/>
          <w:sz w:val="32"/>
          <w:szCs w:val="32"/>
        </w:rPr>
        <w:t>家电（智能家居）以旧换新奖励。</w:t>
      </w:r>
      <w:r>
        <w:rPr>
          <w:rFonts w:ascii="Times New Roman" w:eastAsia="仿宋_GB2312" w:hAnsi="Times New Roman" w:hint="eastAsia"/>
          <w:sz w:val="32"/>
          <w:szCs w:val="32"/>
        </w:rPr>
        <w:t>支持企业参与家电（智能家居）以旧换新活动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，经企业申报并审核，按</w:t>
      </w:r>
      <w:r>
        <w:rPr>
          <w:rFonts w:ascii="Times New Roman" w:eastAsia="仿宋_GB2312" w:hAnsi="Times New Roman" w:hint="eastAsia"/>
          <w:sz w:val="32"/>
          <w:szCs w:val="32"/>
        </w:rPr>
        <w:t>家电（智能家居）的零售额给予最高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5%的奖励支持。</w:t>
      </w:r>
      <w:r>
        <w:rPr>
          <w:rFonts w:ascii="Times New Roman" w:eastAsia="仿宋_GB2312" w:hAnsi="Times New Roman" w:hint="eastAsia"/>
          <w:sz w:val="32"/>
          <w:szCs w:val="32"/>
        </w:rPr>
        <w:t>家电（智能家居）的零售额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主要是指企业2024年9月-12月消费品以旧换新活动期间</w:t>
      </w:r>
      <w:r>
        <w:rPr>
          <w:rFonts w:ascii="Times New Roman" w:eastAsia="仿宋_GB2312" w:hAnsi="Times New Roman" w:hint="eastAsia"/>
          <w:sz w:val="32"/>
          <w:szCs w:val="32"/>
        </w:rPr>
        <w:t>家电（智能家居）的零售额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，具体以相关审计单位出具的报告为准。2024年9月-12月期间，家电</w:t>
      </w:r>
      <w:r>
        <w:rPr>
          <w:rFonts w:ascii="Times New Roman" w:eastAsia="仿宋_GB2312" w:hAnsi="Times New Roman" w:hint="eastAsia"/>
          <w:sz w:val="32"/>
          <w:szCs w:val="32"/>
        </w:rPr>
        <w:t>（智能家居）的销售额超过500万元的企业可申报该项政策。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napToGrid w:val="0"/>
          <w:sz w:val="32"/>
          <w:szCs w:val="32"/>
        </w:rPr>
        <w:t>3.</w:t>
      </w:r>
      <w:r>
        <w:rPr>
          <w:rFonts w:ascii="楷体_GB2312" w:eastAsia="楷体_GB2312" w:cs="楷体_GB2312" w:hAnsi="Times New Roman" w:hint="eastAsia"/>
          <w:b/>
          <w:bCs/>
          <w:snapToGrid w:val="0"/>
          <w:sz w:val="32"/>
          <w:szCs w:val="32"/>
        </w:rPr>
        <w:t>工业企业以旧换新奖励支持。</w:t>
      </w:r>
      <w:r>
        <w:rPr>
          <w:rFonts w:ascii="Times New Roman" w:eastAsia="仿宋_GB2312" w:hAnsi="Times New Roman" w:hint="eastAsia"/>
          <w:sz w:val="32"/>
          <w:szCs w:val="32"/>
        </w:rPr>
        <w:t>支持工业企业积极参与消费品以旧换新活动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，经企业申报并经审核，按企业汽</w:t>
      </w:r>
      <w:r>
        <w:rPr>
          <w:rFonts w:ascii="Times New Roman" w:eastAsia="仿宋_GB2312" w:hAnsi="Times New Roman" w:hint="eastAsia"/>
          <w:sz w:val="32"/>
          <w:szCs w:val="32"/>
        </w:rPr>
        <w:t>车、家电、智能家居、电动自行车的零售额给予最高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1%的奖励支持。</w:t>
      </w:r>
      <w:r>
        <w:rPr>
          <w:rFonts w:ascii="Times New Roman" w:eastAsia="仿宋_GB2312" w:hAnsi="Times New Roman" w:hint="eastAsia"/>
          <w:sz w:val="32"/>
          <w:szCs w:val="32"/>
        </w:rPr>
        <w:t>单个企业奖励最高不超过200万元。零售额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是指2024年9月-12月消费品以旧换新活动期间</w:t>
      </w:r>
      <w:r>
        <w:rPr>
          <w:rFonts w:ascii="Times New Roman" w:eastAsia="仿宋_GB2312" w:hAnsi="Times New Roman" w:hint="eastAsia"/>
          <w:sz w:val="32"/>
          <w:szCs w:val="32"/>
        </w:rPr>
        <w:t>上述产品的零售额，具体以专业审计机构出具的报告为准。支持规上工业企业设立贸易主体开展消费品零售业务，给予该贸易主体当年社零额最高1%奖励支持，最高不超过200万元；贸易主体设立次年，对社零额超出同期基数10%（含）以上的部分，按社零增加额1%给予奖励支持，最高不超过200万元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napToGrid w:val="0"/>
          <w:sz w:val="32"/>
          <w:szCs w:val="32"/>
        </w:rPr>
        <w:t>4.</w:t>
      </w:r>
      <w:r>
        <w:rPr>
          <w:rFonts w:ascii="楷体_GB2312" w:eastAsia="楷体_GB2312" w:cs="楷体_GB2312" w:hAnsi="Times New Roman" w:hint="eastAsia"/>
          <w:b/>
          <w:bCs/>
          <w:snapToGrid w:val="0"/>
          <w:sz w:val="32"/>
          <w:szCs w:val="32"/>
        </w:rPr>
        <w:t>直播赋能以旧换新奖励支持。</w:t>
      </w:r>
      <w:r>
        <w:rPr>
          <w:rFonts w:ascii="Times New Roman" w:eastAsia="仿宋_GB2312" w:hAnsi="Times New Roman" w:hint="eastAsia"/>
          <w:sz w:val="32"/>
          <w:szCs w:val="32"/>
        </w:rPr>
        <w:t>鼓励直播企业参与消费品以旧换新活动，为企业拓展消费销售渠道，经审核，给予直播企业汽车、家电、智慧家居、电动自行车商品成交总额最高0.5%的奖励支持。单个企业奖励最高不超过100万元。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直</w:t>
      </w:r>
      <w:r>
        <w:rPr>
          <w:rFonts w:ascii="Times New Roman" w:eastAsia="仿宋_GB2312" w:hAnsi="Times New Roman" w:hint="eastAsia"/>
          <w:sz w:val="32"/>
          <w:szCs w:val="32"/>
        </w:rPr>
        <w:t>播商品成交总额是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指2024年9月-12月消费品以旧换新活动期间,直播企业帮助企业拓展以上商品销售渠道达成的</w:t>
      </w:r>
      <w:r>
        <w:rPr>
          <w:rFonts w:ascii="Times New Roman" w:eastAsia="仿宋_GB2312" w:hAnsi="Times New Roman" w:hint="eastAsia"/>
          <w:sz w:val="32"/>
          <w:szCs w:val="32"/>
        </w:rPr>
        <w:t>成交额，具体以专业审计机构出具的报告为准。</w:t>
      </w:r>
    </w:p>
    <w:p>
      <w:pPr>
        <w:pStyle w:val="18"/>
        <w:spacing w:after="0" w:line="360" w:lineRule="auto"/>
        <w:ind w:leftChars="0" w:left="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三、附则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同一企业、项目按照“从高、从优、不重复”的原则进行资助（奖励）。同一政策获得市级（或市级以上）相关资助或奖励的，区级资助奖励按照补差的原则执行。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z w:val="32"/>
          <w:szCs w:val="32"/>
        </w:rPr>
        <w:t>2.企业迁出高新区（滨江）的，须退还已享受的各类区级产业扶持资金。</w:t>
      </w:r>
    </w:p>
    <w:p>
      <w:pPr>
        <w:pStyle w:val="22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snapToGrid w:val="0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kern w:val="2"/>
          <w:sz w:val="32"/>
          <w:szCs w:val="32"/>
        </w:rPr>
        <w:t>3.本细则由区商务局负责解释。</w:t>
      </w:r>
    </w:p>
    <w:sectPr>
      <w:footerReference w:type="default" r:id="rId2"/>
      <w:pgSz w:w="11906" w:h="16839"/>
      <w:pgMar w:top="1700" w:right="1700" w:bottom="1417" w:left="1700" w:header="850" w:footer="1134" w:gutter="0"/>
      <w:pgNumType w:fmt="numberInDash" w:start="1"/>
      <w:cols w:num="1" w:space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5909" cy="204470"/>
              <wp:effectExtent l="0" t="0" r="0" b="0"/>
              <wp:wrapNone/>
              <wp:docPr id="3074" name="_x0000_s307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5909" cy="20447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3074" o:spid="_x0000_s2" filled="f" stroked="f" style="position:absolute;margin-left:0.0pt;margin-top:0.0pt;width:23.299921pt;height:16.1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ZGVlMmYwZWM1NTU2NjkwMGU2MWEyYTFjZTI4ZGJkMW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oc 1"/>
    <w:qFormat/>
    <w:basedOn w:val="0"/>
    <w:next w:val="0"/>
  </w:style>
  <w:style w:type="paragraph" w:styleId="16">
    <w:name w:val="Body Text"/>
    <w:qFormat/>
    <w:basedOn w:val="0"/>
    <w:pPr>
      <w:spacing w:after="120"/>
    </w:pPr>
  </w:style>
  <w:style w:type="paragraph" w:styleId="17">
    <w:name w:val="Body Text Indent"/>
    <w:qFormat/>
    <w:basedOn w:val="0"/>
    <w:next w:val="18"/>
    <w:pPr>
      <w:spacing w:after="120"/>
      <w:ind w:leftChars="200" w:left="200"/>
    </w:pPr>
  </w:style>
  <w:style w:type="paragraph" w:styleId="18">
    <w:name w:val="Body Text First Indent 2"/>
    <w:qFormat/>
    <w:basedOn w:val="17"/>
    <w:next w:val="0"/>
    <w:pPr>
      <w:ind w:firstLineChars="200" w:firstLine="200"/>
    </w:pPr>
  </w:style>
  <w:style w:type="paragraph" w:styleId="19">
    <w:name w:val="Balloon Text"/>
    <w:qFormat/>
    <w:basedOn w:val="0"/>
    <w:rPr>
      <w:sz w:val="18"/>
      <w:szCs w:val="18"/>
    </w:r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Normal (Web)"/>
    <w:qFormat/>
    <w:basedOn w:val="0"/>
    <w:next w:val="15"/>
    <w:pPr>
      <w:widowControl/>
      <w:spacing w:before="100" w:beforeAutospacing="1" w:after="100" w:afterAutospacing="1"/>
      <w:jc w:val="left"/>
    </w:pPr>
    <w:rPr>
      <w:rFonts w:ascii="宋体" w:hAnsi="Times New Roman"/>
      <w:kern w:val="0"/>
      <w:sz w:val="24"/>
      <w:szCs w:val="21"/>
    </w:rPr>
  </w:style>
  <w:style w:type="paragraph" w:styleId="23">
    <w:name w:val="Body Text First Indent"/>
    <w:qFormat/>
    <w:basedOn w:val="16"/>
    <w:pPr>
      <w:ind w:firstLineChars="100" w:firstLine="100"/>
    </w:pPr>
  </w:style>
  <w:style w:type="paragraph" w:customStyle="1" w:styleId="24">
    <w:name w:val="Default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黑体" w:eastAsia="黑体" w:cs="Times New Roman" w:hAnsi="黑体"/>
      <w:color w:val="000000"/>
      <w:sz w:val="24"/>
      <w:szCs w:val="22"/>
      <w:lang w:val="en-US" w:eastAsia="zh-CN" w:bidi="ar-SA"/>
    </w:rPr>
  </w:style>
  <w:style w:type="paragraph" w:customStyle="1" w:styleId="25">
    <w:name w:val="p0"/>
    <w:qFormat/>
    <w:basedOn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2A56B0A-99D6-4ECB-BA24-55624D336F1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55</TotalTime>
  <Application>Yozo_Office9.0.5445.102ZH</Application>
  <Pages>3</Pages>
  <Words>0</Words>
  <Characters>810</Characters>
  <Lines>0</Lines>
  <Paragraphs>15</Paragraphs>
  <CharactersWithSpaces>1080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ymj816</dc:creator>
  <cp:lastModifiedBy>Administrator</cp:lastModifiedBy>
  <cp:revision>1</cp:revision>
  <cp:lastPrinted>2024-04-28T18:30:00Z</cp:lastPrinted>
  <dcterms:created xsi:type="dcterms:W3CDTF">2022-07-19T02:27:00Z</dcterms:created>
  <dcterms:modified xsi:type="dcterms:W3CDTF">2024-09-25T13:05:06Z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18DD2818E2C647798087D347BD4D1876_13</vt:lpwstr>
  </property>
</Properties>
</file>