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032B1">
      <w:pPr>
        <w:pStyle w:val="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bookmarkStart w:id="3" w:name="_GoBack"/>
      <w:bookmarkEnd w:id="3"/>
    </w:p>
    <w:p w14:paraId="30619FB3">
      <w:pPr>
        <w:jc w:val="both"/>
        <w:rPr>
          <w:rFonts w:hint="eastAsia" w:ascii="仿宋_GB2312" w:eastAsia="仿宋_GB2312"/>
          <w:color w:val="000000"/>
          <w:sz w:val="32"/>
        </w:rPr>
      </w:pPr>
    </w:p>
    <w:p w14:paraId="386CEA4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印发《</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诸暨市农业农村局</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年地方性</w:t>
      </w:r>
    </w:p>
    <w:p w14:paraId="61F6642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农业政策性保险》</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的通知</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征求意见稿）</w:t>
      </w:r>
    </w:p>
    <w:p w14:paraId="714513E0">
      <w:pPr>
        <w:jc w:val="center"/>
        <w:rPr>
          <w:b/>
          <w:bCs/>
          <w:color w:val="000000" w:themeColor="text1"/>
          <w:sz w:val="48"/>
          <w:szCs w:val="48"/>
          <w14:textFill>
            <w14:solidFill>
              <w14:schemeClr w14:val="tx1"/>
            </w14:solidFill>
          </w14:textFill>
        </w:rPr>
      </w:pPr>
    </w:p>
    <w:p w14:paraId="2841FA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Body"/>
      <w:bookmarkEnd w:id="0"/>
      <w:bookmarkStart w:id="1" w:name="zsdw"/>
      <w:r>
        <w:rPr>
          <w:rFonts w:hint="eastAsia" w:ascii="仿宋_GB2312" w:hAnsi="仿宋_GB2312" w:eastAsia="仿宋_GB2312" w:cs="仿宋_GB2312"/>
          <w:color w:val="000000" w:themeColor="text1"/>
          <w:sz w:val="32"/>
          <w:szCs w:val="32"/>
          <w14:textFill>
            <w14:solidFill>
              <w14:schemeClr w14:val="tx1"/>
            </w14:solidFill>
          </w14:textFill>
        </w:rPr>
        <w:t>各镇乡人民政府、街道办事处</w:t>
      </w:r>
      <w:bookmarkEnd w:id="1"/>
      <w:r>
        <w:rPr>
          <w:rFonts w:hint="eastAsia" w:ascii="仿宋_GB2312" w:hAnsi="仿宋_GB2312" w:eastAsia="仿宋_GB2312" w:cs="仿宋_GB2312"/>
          <w:color w:val="000000" w:themeColor="text1"/>
          <w:sz w:val="32"/>
          <w:szCs w:val="32"/>
          <w14:textFill>
            <w14:solidFill>
              <w14:schemeClr w14:val="tx1"/>
            </w14:solidFill>
          </w14:textFill>
        </w:rPr>
        <w:t>：</w:t>
      </w:r>
    </w:p>
    <w:p w14:paraId="218523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为推进我市政策性农业保险“提标、扩面、增品”，提高农业保险的深度和密度，</w:t>
      </w: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促进香榧、</w:t>
      </w:r>
      <w:r>
        <w:rPr>
          <w:rFonts w:hint="eastAsia" w:ascii="仿宋_GB2312" w:hAnsi="仿宋_GB2312" w:eastAsia="仿宋_GB2312" w:cs="仿宋_GB2312"/>
          <w:color w:val="000000" w:themeColor="text1"/>
          <w:sz w:val="32"/>
          <w:szCs w:val="32"/>
          <w14:textFill>
            <w14:solidFill>
              <w14:schemeClr w14:val="tx1"/>
            </w14:solidFill>
          </w14:textFill>
        </w:rPr>
        <w:t>高粱</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诸暨特色农业产业发展，化解新型农业经营主体灾害风险，推动机械强农，</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14:textFill>
            <w14:solidFill>
              <w14:schemeClr w14:val="tx1"/>
            </w14:solidFill>
          </w14:textFill>
        </w:rPr>
        <w:t>地方特色农产品的生产和供应，根据</w:t>
      </w: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绍兴市人民政府办公室关于贯彻落实〈浙江省人民政府办公厅关于加快农业保险高质量发展的实施意见〉的通知</w:t>
      </w: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》（绍政办发〔2021〕31号）</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w:t>
      </w:r>
      <w:r>
        <w:rPr>
          <w:rFonts w:hint="eastAsia" w:ascii="仿宋_GB2312" w:hAnsi="仿宋_GB2312" w:eastAsia="仿宋_GB2312" w:cs="仿宋_GB2312"/>
          <w:color w:val="000000" w:themeColor="text1"/>
          <w:sz w:val="32"/>
          <w:szCs w:val="32"/>
          <w:lang w:eastAsia="zh-CN"/>
          <w14:textFill>
            <w14:solidFill>
              <w14:schemeClr w14:val="tx1"/>
            </w14:solidFill>
          </w14:textFill>
        </w:rPr>
        <w:t>《诸暨市高粱种植保险试点方案》、《诸暨市新型农业经营主体综合保险试点方案》、《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诸暨市香榧高温干旱气象指数保险试点方案》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诸暨市农机具综合保险试点方案》、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诸暨市香榧古树保险试点方案》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诸暨市水稻收获期间损失保险试点方案》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印发给你们，请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w:t>
      </w:r>
      <w:r>
        <w:rPr>
          <w:rFonts w:hint="eastAsia" w:ascii="仿宋_GB2312" w:hAnsi="仿宋_GB2312" w:eastAsia="仿宋_GB2312" w:cs="仿宋_GB2312"/>
          <w:color w:val="000000" w:themeColor="text1"/>
          <w:sz w:val="32"/>
          <w:szCs w:val="32"/>
          <w:lang w:eastAsia="zh-CN"/>
          <w14:textFill>
            <w14:solidFill>
              <w14:schemeClr w14:val="tx1"/>
            </w14:solidFill>
          </w14:textFill>
        </w:rPr>
        <w:t>贯彻执行</w:t>
      </w:r>
      <w:r>
        <w:rPr>
          <w:rFonts w:hint="eastAsia" w:ascii="仿宋_GB2312" w:hAnsi="仿宋_GB2312" w:eastAsia="仿宋_GB2312" w:cs="仿宋_GB2312"/>
          <w:color w:val="000000" w:themeColor="text1"/>
          <w:sz w:val="32"/>
          <w:szCs w:val="32"/>
          <w14:textFill>
            <w14:solidFill>
              <w14:schemeClr w14:val="tx1"/>
            </w14:solidFill>
          </w14:textFill>
        </w:rPr>
        <w:t>。</w:t>
      </w:r>
    </w:p>
    <w:p w14:paraId="17CAE2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36DA3F55">
      <w:pPr>
        <w:pStyle w:val="3"/>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0C62C8A1">
      <w:pPr>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7FC8A366">
      <w:pPr>
        <w:pStyle w:val="2"/>
        <w:rPr>
          <w:rFonts w:hint="eastAsia"/>
          <w:lang w:eastAsia="zh-CN"/>
        </w:rPr>
      </w:pPr>
    </w:p>
    <w:p w14:paraId="69E6A754">
      <w:pPr>
        <w:rPr>
          <w:rFonts w:hint="eastAsia"/>
          <w:color w:val="000000" w:themeColor="text1"/>
          <w:lang w:eastAsia="zh-CN"/>
          <w14:textFill>
            <w14:solidFill>
              <w14:schemeClr w14:val="tx1"/>
            </w14:solidFill>
          </w14:textFill>
        </w:rPr>
      </w:pPr>
    </w:p>
    <w:p w14:paraId="2AEFA9CE">
      <w:pPr>
        <w:keepNext w:val="0"/>
        <w:keepLines w:val="0"/>
        <w:widowControl w:val="0"/>
        <w:suppressLineNumbers w:val="0"/>
        <w:adjustRightInd/>
        <w:spacing w:before="0" w:beforeAutospacing="0" w:after="0" w:afterAutospacing="0" w:line="240" w:lineRule="auto"/>
        <w:ind w:left="0" w:right="0"/>
        <w:jc w:val="cente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t>诸暨市高粱种植保险试点方案</w:t>
      </w:r>
    </w:p>
    <w:p w14:paraId="4C2D276F">
      <w:pPr>
        <w:rPr>
          <w:rFonts w:hint="eastAsia"/>
          <w:color w:val="000000" w:themeColor="text1"/>
          <w:lang w:val="en-US"/>
          <w14:textFill>
            <w14:solidFill>
              <w14:schemeClr w14:val="tx1"/>
            </w14:solidFill>
          </w14:textFill>
        </w:rPr>
      </w:pPr>
    </w:p>
    <w:p w14:paraId="4EFF5DF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为贯彻落实《浙江省人民政府办公厅关于加快农业保险高质量发展的实施意见》（浙政办发〔2021〕47号）精神，扶持我市高粱特色产业发展，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积极调动农户种植高粱的积极性，提高高粱种植环节抗风险能力，保障地方特色农产品供应，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制订诸暨市高粱种植保险试点方案。</w:t>
      </w:r>
    </w:p>
    <w:p w14:paraId="0A09F6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2" w:name="_Hlk60859166"/>
      <w:r>
        <w:rPr>
          <w:rFonts w:hint="eastAsia" w:ascii="黑体" w:hAnsi="黑体" w:eastAsia="黑体" w:cs="黑体"/>
          <w:color w:val="000000" w:themeColor="text1"/>
          <w:sz w:val="32"/>
          <w:szCs w:val="32"/>
          <w14:textFill>
            <w14:solidFill>
              <w14:schemeClr w14:val="tx1"/>
            </w14:solidFill>
          </w14:textFill>
        </w:rPr>
        <w:t>一、工作</w:t>
      </w:r>
      <w:r>
        <w:rPr>
          <w:rFonts w:hint="eastAsia" w:ascii="黑体" w:hAnsi="黑体" w:eastAsia="黑体" w:cs="黑体"/>
          <w:color w:val="000000" w:themeColor="text1"/>
          <w:sz w:val="32"/>
          <w:szCs w:val="32"/>
          <w:lang w:eastAsia="zh-CN"/>
          <w14:textFill>
            <w14:solidFill>
              <w14:schemeClr w14:val="tx1"/>
            </w14:solidFill>
          </w14:textFill>
        </w:rPr>
        <w:t>目标</w:t>
      </w:r>
    </w:p>
    <w:p w14:paraId="056DA9F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按照“政府引导、市场运作、农民自愿”的原则，加大政策扶持力度，提高高粱种植户投保积极性，建立高粱种植风险防控体系，积极扶持高粱种植特色产业发展。</w:t>
      </w:r>
    </w:p>
    <w:p w14:paraId="37AA0E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二、参保方案</w:t>
      </w:r>
    </w:p>
    <w:p w14:paraId="3B63D78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（一）参保对象：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诸暨市范围内种植高粱面积在3亩（含）以上</w:t>
      </w:r>
      <w:bookmarkEnd w:id="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，并且符合高粱种植规范和技术管理要求，种植场所在洪水水位线以上的非蓄洪、行洪区的农户或企业。</w:t>
      </w:r>
    </w:p>
    <w:p w14:paraId="632C564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（二）保险金额：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高粱种植保险金额为1200元/亩，费率5%。诸暨市财政保费补贴比例90%，农户自负10%。</w:t>
      </w:r>
    </w:p>
    <w:p w14:paraId="14A3B8B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（三）保险责任范围：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高粱种植保险责任范围包括：</w:t>
      </w:r>
    </w:p>
    <w:p w14:paraId="5E7F08A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1.暴雨、洪水（政府行蓄洪除外）、内涝、暴风、台风、龙卷风、雹灾、干旱；</w:t>
      </w:r>
    </w:p>
    <w:p w14:paraId="20F4B95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2.病虫害；</w:t>
      </w:r>
    </w:p>
    <w:p w14:paraId="01B0B35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3.泥石流、山体滑坡</w:t>
      </w:r>
    </w:p>
    <w:p w14:paraId="5BEC864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（四）投保流程：</w:t>
      </w:r>
    </w:p>
    <w:p w14:paraId="5F3D6A0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1.高粱的承保数量按照实际种植面积确定，保险公司会同各镇乡街道或村级协保员开展现场验标，并提供承包合同或流转清册，验标确定后的参保清册在村务公开栏公示3天以上。</w:t>
      </w:r>
    </w:p>
    <w:p w14:paraId="2EB9A7F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2.经查验、公示后符合要求的种植主体，保险公司向投保人收取自缴部分的保险费、出具保险单和保费发票。</w:t>
      </w:r>
    </w:p>
    <w:p w14:paraId="0FB2A7E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（五）赔偿处理：</w:t>
      </w:r>
    </w:p>
    <w:p w14:paraId="37561C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1.发生保险事故时，被保险人应积极开展防灾救灾，减少灾害损失，并及时报告保险公司进行定损赔付。</w:t>
      </w:r>
    </w:p>
    <w:p w14:paraId="2261B6F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2.承保公司接到灾害报告后应及时到达现场进行核查，按保单约定进行赔付，如无法确定全部损失情况的，及时约定进行二次定损。</w:t>
      </w:r>
    </w:p>
    <w:p w14:paraId="2E0299E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3.保险公司理赔清单，应在村公示栏中进行不少于7天的公示，如对公示有疑义的，可以向保险公司反映情况，保险公司将对反映的情况进行调查核实，并做出相应的处理。</w:t>
      </w:r>
    </w:p>
    <w:p w14:paraId="47E5B82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（六）保险期间及诉讼有效期：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高粱种植保险期间为高粱定苗至成熟，具体以保险单载明的起讫时间为准。被保险人向保险人请求赔偿的诉讼时效期间为二年，自其知道或者应当知道保险事故发生之日起计算。</w:t>
      </w:r>
    </w:p>
    <w:p w14:paraId="6BD7C68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（七）承保公司：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根据诸暨市农业农村局公开招标结果，诸暨市高粱种植保险业务由XX公司承保，具体保险条款按备案条款为准。</w:t>
      </w:r>
    </w:p>
    <w:p w14:paraId="18BBBA86">
      <w:pPr>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14:paraId="392496BF">
      <w:pPr>
        <w:widowControl/>
        <w:spacing w:line="360" w:lineRule="auto"/>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诸暨</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市</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新型农业经营主体综合</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保险</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试点</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方案</w:t>
      </w:r>
    </w:p>
    <w:p w14:paraId="0F2EBEC2">
      <w:pPr>
        <w:pStyle w:val="7"/>
        <w:jc w:val="both"/>
        <w:rPr>
          <w:rFonts w:hint="eastAsia"/>
          <w:color w:val="000000" w:themeColor="text1"/>
          <w14:textFill>
            <w14:solidFill>
              <w14:schemeClr w14:val="tx1"/>
            </w14:solidFill>
          </w14:textFill>
        </w:rPr>
      </w:pPr>
    </w:p>
    <w:p w14:paraId="7B8076A4">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浙江省人民政府办公厅关于加快农业保险高质量发展的实施意见》（浙政办发〔2021〕47号）精神，为促进我市特色农业发展，化解新型农业经营主体风险，特制定诸暨市新型农业经营主体灾害综合保险试点方案。</w:t>
      </w:r>
    </w:p>
    <w:p w14:paraId="2BA44A14">
      <w:pPr>
        <w:keepNext w:val="0"/>
        <w:keepLines w:val="0"/>
        <w:pageBreakBefore w:val="0"/>
        <w:widowControl w:val="0"/>
        <w:kinsoku/>
        <w:wordWrap/>
        <w:overflowPunct/>
        <w:topLinePunct w:val="0"/>
        <w:autoSpaceDE/>
        <w:autoSpaceDN/>
        <w:bidi w:val="0"/>
        <w:adjustRightInd/>
        <w:snapToGrid w:val="0"/>
        <w:spacing w:line="540" w:lineRule="exact"/>
        <w:ind w:firstLine="634"/>
        <w:jc w:val="both"/>
        <w:textAlignment w:val="auto"/>
        <w:outlineLvl w:val="0"/>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一、</w:t>
      </w:r>
      <w:r>
        <w:rPr>
          <w:rFonts w:hint="eastAsia" w:ascii="黑体" w:hAnsi="黑体" w:eastAsia="黑体" w:cs="黑体"/>
          <w:b w:val="0"/>
          <w:bCs/>
          <w:color w:val="000000" w:themeColor="text1"/>
          <w:kern w:val="0"/>
          <w:sz w:val="32"/>
          <w:szCs w:val="32"/>
          <w:lang w:eastAsia="zh-CN"/>
          <w14:textFill>
            <w14:solidFill>
              <w14:schemeClr w14:val="tx1"/>
            </w14:solidFill>
          </w14:textFill>
        </w:rPr>
        <w:t>工作目标</w:t>
      </w:r>
    </w:p>
    <w:p w14:paraId="29F1851C">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政府引导、市场运作、农民自愿”的原则，加大政策扶持力度，保障新型农业经营主体因灾害受损的风险，提高诸暨特色农业防灾减灾能力，提升我市特色农业产业发展，促进我市地方特色农产品的生产和供应。</w:t>
      </w:r>
    </w:p>
    <w:p w14:paraId="66DD35E0">
      <w:pPr>
        <w:keepNext w:val="0"/>
        <w:keepLines w:val="0"/>
        <w:pageBreakBefore w:val="0"/>
        <w:widowControl w:val="0"/>
        <w:kinsoku/>
        <w:wordWrap/>
        <w:overflowPunct/>
        <w:topLinePunct w:val="0"/>
        <w:autoSpaceDE/>
        <w:autoSpaceDN/>
        <w:bidi w:val="0"/>
        <w:adjustRightInd/>
        <w:snapToGrid w:val="0"/>
        <w:spacing w:line="540" w:lineRule="exact"/>
        <w:ind w:firstLine="634"/>
        <w:jc w:val="both"/>
        <w:textAlignment w:val="auto"/>
        <w:outlineLvl w:val="0"/>
        <w:rPr>
          <w:rFonts w:hint="eastAsia" w:ascii="黑体" w:hAnsi="黑体" w:eastAsia="黑体" w:cs="黑体"/>
          <w:b w:val="0"/>
          <w:bCs/>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14:textFill>
            <w14:solidFill>
              <w14:schemeClr w14:val="tx1"/>
            </w14:solidFill>
          </w14:textFill>
        </w:rPr>
        <w:t>二、参保方案</w:t>
      </w:r>
    </w:p>
    <w:p w14:paraId="77E66634">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（一）参保对象：</w:t>
      </w:r>
    </w:p>
    <w:p w14:paraId="71C43536">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种植业：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诸暨市范围内符合下列条件的农业经营主体可作为参保对象：</w:t>
      </w:r>
    </w:p>
    <w:p w14:paraId="3CC6F2CE">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1.符合当地普遍采用的种植规范和技术管理要求，种植密度达到当地农业技术部门规定的标准；</w:t>
      </w:r>
    </w:p>
    <w:p w14:paraId="64F4FAA7">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2.主导品种未列入政策性农业保险目录；</w:t>
      </w:r>
    </w:p>
    <w:p w14:paraId="44641774">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养殖业：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诸暨市范围内符合下列条件的农业经营主体可作为参保对象：</w:t>
      </w:r>
    </w:p>
    <w:p w14:paraId="5ABC4D31">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1.经过政府部门审定的合格品种，符合当地普遍采用的大牲畜、小牲畜、特种养殖、水产养殖技术管理要求；</w:t>
      </w:r>
    </w:p>
    <w:p w14:paraId="0B5208D4">
      <w:pPr>
        <w:pStyle w:val="3"/>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2.养殖场所在当地洪水水位线以上的非蓄洪、行洪区；</w:t>
      </w:r>
    </w:p>
    <w:p w14:paraId="4AC45BFF">
      <w:p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3.投保的养殖标的必须在当地饲养1年（含）以上；</w:t>
      </w:r>
    </w:p>
    <w:p w14:paraId="7C25AB64">
      <w:p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4.饲养场所符合主管部门对环保等要求和卫生防疫规范，能够保证饲养质量；</w:t>
      </w:r>
    </w:p>
    <w:p w14:paraId="38458343">
      <w:pPr>
        <w:pStyle w:val="2"/>
        <w:ind w:firstLine="640" w:firstLineChars="200"/>
        <w:rPr>
          <w:rFonts w:hint="eastAsia"/>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5.未列入政策性农业保险目录。</w:t>
      </w:r>
    </w:p>
    <w:p w14:paraId="0BE57EFB">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（二）保险责任范围：</w:t>
      </w:r>
    </w:p>
    <w:p w14:paraId="6BE9A6F3">
      <w:pPr>
        <w:keepNext w:val="0"/>
        <w:keepLines w:val="0"/>
        <w:pageBreakBefore w:val="0"/>
        <w:widowControl w:val="0"/>
        <w:kinsoku/>
        <w:wordWrap/>
        <w:overflowPunct/>
        <w:topLinePunct w:val="0"/>
        <w:autoSpaceDE/>
        <w:autoSpaceDN/>
        <w:bidi w:val="0"/>
        <w:adjustRightInd/>
        <w:spacing w:line="540" w:lineRule="exact"/>
        <w:ind w:firstLine="960" w:firstLineChars="3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种植业：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保险责任范围包括以下几种</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p>
    <w:p w14:paraId="4BF58EBB">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暴雨、冰雹、雪灾、洪水（政府行蓄洪除外）、内涝、低温冻害、冻雨、连阴雨；</w:t>
      </w:r>
    </w:p>
    <w:p w14:paraId="6A7CA7F7">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暴风、台风、龙卷风；</w:t>
      </w:r>
    </w:p>
    <w:p w14:paraId="21815360">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旱灾、高温；</w:t>
      </w:r>
    </w:p>
    <w:p w14:paraId="2CECFD15">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火灾、爆炸、雷击；</w:t>
      </w:r>
    </w:p>
    <w:p w14:paraId="408C0D92">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泥石流、山体滑坡、地面下陷下沉、地震；</w:t>
      </w:r>
    </w:p>
    <w:p w14:paraId="25FDC499">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病虫草鼠害。</w:t>
      </w:r>
    </w:p>
    <w:p w14:paraId="068CE777">
      <w:pPr>
        <w:pStyle w:val="2"/>
        <w:ind w:firstLine="960" w:firstLineChars="300"/>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养殖业：</w:t>
      </w:r>
    </w:p>
    <w:p w14:paraId="7FE74351">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（1）因遭受自然灾害、意外事故、疾病等原因直接造成保险养殖标的死亡；</w:t>
      </w:r>
    </w:p>
    <w:p w14:paraId="55529A02">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（2）因遭受前款列明的自然灾害事故而发生溃坎、漫坎致使养殖标的逃逸。</w:t>
      </w:r>
    </w:p>
    <w:p w14:paraId="1CBD505D">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（3）因高温、连续阴雨等异常气候或因自然灾害引起供电设施损坏断电致使增氧机或水泵无法开启而造成保险养殖标的死亡；</w:t>
      </w:r>
    </w:p>
    <w:p w14:paraId="2EB6B528">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（三）保险金额：</w:t>
      </w:r>
    </w:p>
    <w:p w14:paraId="7C19E18B">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保险农作物的单位保险金额参照单位投入成本，由投保人与保险人协商确定，在保单中载明。参考单位成本如下：</w:t>
      </w:r>
    </w:p>
    <w:tbl>
      <w:tblPr>
        <w:tblStyle w:val="9"/>
        <w:tblW w:w="6570" w:type="dxa"/>
        <w:jc w:val="center"/>
        <w:tblLayout w:type="fixed"/>
        <w:tblCellMar>
          <w:top w:w="0" w:type="dxa"/>
          <w:left w:w="108" w:type="dxa"/>
          <w:bottom w:w="0" w:type="dxa"/>
          <w:right w:w="108" w:type="dxa"/>
        </w:tblCellMar>
      </w:tblPr>
      <w:tblGrid>
        <w:gridCol w:w="3135"/>
        <w:gridCol w:w="3435"/>
      </w:tblGrid>
      <w:tr w14:paraId="055237D7">
        <w:tblPrEx>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vAlign w:val="center"/>
          </w:tcPr>
          <w:p w14:paraId="47467EA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水果类</w:t>
            </w:r>
          </w:p>
        </w:tc>
      </w:tr>
      <w:tr w14:paraId="7397C766">
        <w:tblPrEx>
          <w:tblCellMar>
            <w:top w:w="0" w:type="dxa"/>
            <w:left w:w="108" w:type="dxa"/>
            <w:bottom w:w="0" w:type="dxa"/>
            <w:right w:w="108" w:type="dxa"/>
          </w:tblCellMar>
        </w:tblPrEx>
        <w:trPr>
          <w:trHeight w:val="545"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10A6911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种植品种</w:t>
            </w:r>
          </w:p>
        </w:tc>
        <w:tc>
          <w:tcPr>
            <w:tcW w:w="3435" w:type="dxa"/>
            <w:tcBorders>
              <w:top w:val="single" w:color="000000" w:sz="4" w:space="0"/>
              <w:left w:val="single" w:color="000000" w:sz="4" w:space="0"/>
              <w:bottom w:val="single" w:color="000000" w:sz="4" w:space="0"/>
              <w:right w:val="single" w:color="000000" w:sz="4" w:space="0"/>
            </w:tcBorders>
            <w:vAlign w:val="center"/>
          </w:tcPr>
          <w:p w14:paraId="1E9736B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参考成本上限（元/亩）</w:t>
            </w:r>
          </w:p>
        </w:tc>
      </w:tr>
      <w:tr w14:paraId="382D6843">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5BC928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猕猴桃</w:t>
            </w:r>
          </w:p>
        </w:tc>
        <w:tc>
          <w:tcPr>
            <w:tcW w:w="3435" w:type="dxa"/>
            <w:tcBorders>
              <w:top w:val="single" w:color="000000" w:sz="4" w:space="0"/>
              <w:left w:val="single" w:color="000000" w:sz="4" w:space="0"/>
              <w:bottom w:val="single" w:color="000000" w:sz="4" w:space="0"/>
              <w:right w:val="single" w:color="000000" w:sz="4" w:space="0"/>
            </w:tcBorders>
            <w:vAlign w:val="center"/>
          </w:tcPr>
          <w:p w14:paraId="75AE5D6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6000</w:t>
            </w:r>
          </w:p>
        </w:tc>
      </w:tr>
      <w:tr w14:paraId="5D647188">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670CC5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桃、梨</w:t>
            </w:r>
          </w:p>
        </w:tc>
        <w:tc>
          <w:tcPr>
            <w:tcW w:w="3435" w:type="dxa"/>
            <w:tcBorders>
              <w:top w:val="single" w:color="000000" w:sz="4" w:space="0"/>
              <w:left w:val="single" w:color="000000" w:sz="4" w:space="0"/>
              <w:bottom w:val="single" w:color="000000" w:sz="4" w:space="0"/>
              <w:right w:val="single" w:color="000000" w:sz="4" w:space="0"/>
            </w:tcBorders>
            <w:vAlign w:val="center"/>
          </w:tcPr>
          <w:p w14:paraId="290AB82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8000</w:t>
            </w:r>
          </w:p>
        </w:tc>
      </w:tr>
      <w:tr w14:paraId="3466DE7E">
        <w:tblPrEx>
          <w:tblCellMar>
            <w:top w:w="0" w:type="dxa"/>
            <w:left w:w="108" w:type="dxa"/>
            <w:bottom w:w="0" w:type="dxa"/>
            <w:right w:w="108" w:type="dxa"/>
          </w:tblCellMar>
        </w:tblPrEx>
        <w:trPr>
          <w:trHeight w:val="269" w:hRule="atLeast"/>
          <w:jc w:val="center"/>
        </w:trPr>
        <w:tc>
          <w:tcPr>
            <w:tcW w:w="3135" w:type="dxa"/>
            <w:tcBorders>
              <w:top w:val="single" w:color="000000" w:sz="4" w:space="0"/>
              <w:left w:val="single" w:color="000000" w:sz="4" w:space="0"/>
              <w:bottom w:val="single" w:color="auto" w:sz="4" w:space="0"/>
              <w:right w:val="single" w:color="000000" w:sz="4" w:space="0"/>
            </w:tcBorders>
            <w:vAlign w:val="center"/>
          </w:tcPr>
          <w:p w14:paraId="409E5C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火龙果</w:t>
            </w:r>
          </w:p>
        </w:tc>
        <w:tc>
          <w:tcPr>
            <w:tcW w:w="3435" w:type="dxa"/>
            <w:tcBorders>
              <w:top w:val="single" w:color="000000" w:sz="4" w:space="0"/>
              <w:left w:val="single" w:color="000000" w:sz="4" w:space="0"/>
              <w:bottom w:val="single" w:color="auto" w:sz="4" w:space="0"/>
              <w:right w:val="single" w:color="000000" w:sz="4" w:space="0"/>
            </w:tcBorders>
            <w:vAlign w:val="center"/>
          </w:tcPr>
          <w:p w14:paraId="334949C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10000</w:t>
            </w:r>
          </w:p>
        </w:tc>
      </w:tr>
      <w:tr w14:paraId="58D3B8E1">
        <w:tblPrEx>
          <w:tblCellMar>
            <w:top w:w="0" w:type="dxa"/>
            <w:left w:w="108" w:type="dxa"/>
            <w:bottom w:w="0" w:type="dxa"/>
            <w:right w:w="108" w:type="dxa"/>
          </w:tblCellMar>
        </w:tblPrEx>
        <w:trPr>
          <w:trHeight w:val="213" w:hRule="atLeast"/>
          <w:jc w:val="center"/>
        </w:trPr>
        <w:tc>
          <w:tcPr>
            <w:tcW w:w="3135" w:type="dxa"/>
            <w:tcBorders>
              <w:top w:val="single" w:color="auto" w:sz="4" w:space="0"/>
              <w:left w:val="single" w:color="auto" w:sz="4" w:space="0"/>
              <w:bottom w:val="single" w:color="auto" w:sz="4" w:space="0"/>
              <w:right w:val="single" w:color="000000" w:sz="4" w:space="0"/>
            </w:tcBorders>
            <w:vAlign w:val="center"/>
          </w:tcPr>
          <w:p w14:paraId="5AE0C472">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草莓</w:t>
            </w:r>
          </w:p>
        </w:tc>
        <w:tc>
          <w:tcPr>
            <w:tcW w:w="3435" w:type="dxa"/>
            <w:tcBorders>
              <w:top w:val="single" w:color="auto" w:sz="4" w:space="0"/>
              <w:left w:val="single" w:color="000000" w:sz="4" w:space="0"/>
              <w:bottom w:val="single" w:color="auto" w:sz="4" w:space="0"/>
              <w:right w:val="single" w:color="000000" w:sz="4" w:space="0"/>
            </w:tcBorders>
            <w:vAlign w:val="center"/>
          </w:tcPr>
          <w:p w14:paraId="281EF5EE">
            <w:pPr>
              <w:widowControl/>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8000</w:t>
            </w:r>
          </w:p>
        </w:tc>
      </w:tr>
      <w:tr w14:paraId="3C5EEA95">
        <w:tblPrEx>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vAlign w:val="center"/>
          </w:tcPr>
          <w:p w14:paraId="26A0D7B2">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蓝莓</w:t>
            </w:r>
          </w:p>
        </w:tc>
        <w:tc>
          <w:tcPr>
            <w:tcW w:w="3435" w:type="dxa"/>
            <w:tcBorders>
              <w:top w:val="single" w:color="auto" w:sz="4" w:space="0"/>
              <w:left w:val="single" w:color="000000" w:sz="4" w:space="0"/>
              <w:bottom w:val="single" w:color="000000" w:sz="4" w:space="0"/>
              <w:right w:val="single" w:color="000000" w:sz="4" w:space="0"/>
            </w:tcBorders>
            <w:vAlign w:val="center"/>
          </w:tcPr>
          <w:p w14:paraId="72E9404B">
            <w:pPr>
              <w:widowControl/>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9000</w:t>
            </w:r>
          </w:p>
        </w:tc>
      </w:tr>
      <w:tr w14:paraId="11E87DB2">
        <w:tblPrEx>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vAlign w:val="center"/>
          </w:tcPr>
          <w:p w14:paraId="03846B73">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枇杷</w:t>
            </w:r>
          </w:p>
        </w:tc>
        <w:tc>
          <w:tcPr>
            <w:tcW w:w="3435" w:type="dxa"/>
            <w:tcBorders>
              <w:top w:val="single" w:color="auto" w:sz="4" w:space="0"/>
              <w:left w:val="single" w:color="000000" w:sz="4" w:space="0"/>
              <w:bottom w:val="single" w:color="000000" w:sz="4" w:space="0"/>
              <w:right w:val="single" w:color="000000" w:sz="4" w:space="0"/>
            </w:tcBorders>
            <w:vAlign w:val="center"/>
          </w:tcPr>
          <w:p w14:paraId="0DEA766F">
            <w:pPr>
              <w:widowControl/>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6000</w:t>
            </w:r>
          </w:p>
        </w:tc>
      </w:tr>
      <w:tr w14:paraId="6C872A38">
        <w:tblPrEx>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vAlign w:val="center"/>
          </w:tcPr>
          <w:p w14:paraId="5D325A20">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红美人</w:t>
            </w:r>
          </w:p>
        </w:tc>
        <w:tc>
          <w:tcPr>
            <w:tcW w:w="3435" w:type="dxa"/>
            <w:tcBorders>
              <w:top w:val="single" w:color="auto" w:sz="4" w:space="0"/>
              <w:left w:val="single" w:color="000000" w:sz="4" w:space="0"/>
              <w:bottom w:val="single" w:color="000000" w:sz="4" w:space="0"/>
              <w:right w:val="single" w:color="000000" w:sz="4" w:space="0"/>
            </w:tcBorders>
            <w:vAlign w:val="center"/>
          </w:tcPr>
          <w:p w14:paraId="6B71FD8A">
            <w:pPr>
              <w:widowControl/>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6000</w:t>
            </w:r>
          </w:p>
        </w:tc>
      </w:tr>
      <w:tr w14:paraId="7837E51F">
        <w:tblPrEx>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vAlign w:val="center"/>
          </w:tcPr>
          <w:p w14:paraId="7770E8C4">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李子</w:t>
            </w:r>
          </w:p>
        </w:tc>
        <w:tc>
          <w:tcPr>
            <w:tcW w:w="3435" w:type="dxa"/>
            <w:tcBorders>
              <w:top w:val="single" w:color="auto" w:sz="4" w:space="0"/>
              <w:left w:val="single" w:color="000000" w:sz="4" w:space="0"/>
              <w:bottom w:val="single" w:color="000000" w:sz="4" w:space="0"/>
              <w:right w:val="single" w:color="000000" w:sz="4" w:space="0"/>
            </w:tcBorders>
            <w:vAlign w:val="center"/>
          </w:tcPr>
          <w:p w14:paraId="7A4B6B29">
            <w:pPr>
              <w:widowControl/>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3000</w:t>
            </w:r>
          </w:p>
        </w:tc>
      </w:tr>
      <w:tr w14:paraId="2CE1CADB">
        <w:tblPrEx>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vAlign w:val="center"/>
          </w:tcPr>
          <w:p w14:paraId="395BEFE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樱桃</w:t>
            </w:r>
          </w:p>
        </w:tc>
        <w:tc>
          <w:tcPr>
            <w:tcW w:w="3435" w:type="dxa"/>
            <w:tcBorders>
              <w:top w:val="single" w:color="auto" w:sz="4" w:space="0"/>
              <w:left w:val="single" w:color="000000" w:sz="4" w:space="0"/>
              <w:bottom w:val="single" w:color="000000" w:sz="4" w:space="0"/>
              <w:right w:val="single" w:color="000000" w:sz="4" w:space="0"/>
            </w:tcBorders>
            <w:vAlign w:val="center"/>
          </w:tcPr>
          <w:p w14:paraId="7A546E86">
            <w:pPr>
              <w:widowControl/>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8000</w:t>
            </w:r>
          </w:p>
        </w:tc>
      </w:tr>
      <w:tr w14:paraId="5E04C861">
        <w:tblPrEx>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vAlign w:val="center"/>
          </w:tcPr>
          <w:p w14:paraId="4FFA3618">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杨梅</w:t>
            </w:r>
          </w:p>
        </w:tc>
        <w:tc>
          <w:tcPr>
            <w:tcW w:w="3435" w:type="dxa"/>
            <w:tcBorders>
              <w:top w:val="single" w:color="auto" w:sz="4" w:space="0"/>
              <w:left w:val="single" w:color="000000" w:sz="4" w:space="0"/>
              <w:bottom w:val="single" w:color="000000" w:sz="4" w:space="0"/>
              <w:right w:val="single" w:color="000000" w:sz="4" w:space="0"/>
            </w:tcBorders>
            <w:vAlign w:val="center"/>
          </w:tcPr>
          <w:p w14:paraId="29B82F6B">
            <w:pPr>
              <w:widowControl/>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6000</w:t>
            </w:r>
          </w:p>
        </w:tc>
      </w:tr>
      <w:tr w14:paraId="605764F0">
        <w:tblPrEx>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vAlign w:val="bottom"/>
          </w:tcPr>
          <w:p w14:paraId="3DC8E2ED">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rPr>
              <w:t>菌菇类</w:t>
            </w:r>
          </w:p>
        </w:tc>
      </w:tr>
      <w:tr w14:paraId="5772E64F">
        <w:tblPrEx>
          <w:tblCellMar>
            <w:top w:w="0" w:type="dxa"/>
            <w:left w:w="108" w:type="dxa"/>
            <w:bottom w:w="0" w:type="dxa"/>
            <w:right w:w="108" w:type="dxa"/>
          </w:tblCellMar>
        </w:tblPrEx>
        <w:trPr>
          <w:trHeight w:val="54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1A51E80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种植品种</w:t>
            </w:r>
          </w:p>
        </w:tc>
        <w:tc>
          <w:tcPr>
            <w:tcW w:w="3435" w:type="dxa"/>
            <w:tcBorders>
              <w:top w:val="single" w:color="000000" w:sz="4" w:space="0"/>
              <w:left w:val="single" w:color="000000" w:sz="4" w:space="0"/>
              <w:bottom w:val="single" w:color="000000" w:sz="4" w:space="0"/>
              <w:right w:val="single" w:color="000000" w:sz="4" w:space="0"/>
            </w:tcBorders>
            <w:vAlign w:val="center"/>
          </w:tcPr>
          <w:p w14:paraId="035E166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参考成本上限（元/袋）</w:t>
            </w:r>
          </w:p>
        </w:tc>
      </w:tr>
      <w:tr w14:paraId="44B5E0A6">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bottom"/>
          </w:tcPr>
          <w:p w14:paraId="496792C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菌菇</w:t>
            </w:r>
          </w:p>
        </w:tc>
        <w:tc>
          <w:tcPr>
            <w:tcW w:w="3435" w:type="dxa"/>
            <w:tcBorders>
              <w:top w:val="single" w:color="000000" w:sz="4" w:space="0"/>
              <w:left w:val="single" w:color="000000" w:sz="4" w:space="0"/>
              <w:bottom w:val="single" w:color="000000" w:sz="4" w:space="0"/>
              <w:right w:val="single" w:color="000000" w:sz="4" w:space="0"/>
            </w:tcBorders>
            <w:vAlign w:val="center"/>
          </w:tcPr>
          <w:p w14:paraId="3CCD1E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r>
      <w:tr w14:paraId="1A10B4EB">
        <w:tblPrEx>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vAlign w:val="bottom"/>
          </w:tcPr>
          <w:p w14:paraId="22EDAFF5">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rPr>
              <w:t>中药材类</w:t>
            </w:r>
          </w:p>
        </w:tc>
      </w:tr>
      <w:tr w14:paraId="00CEFD92">
        <w:tblPrEx>
          <w:tblCellMar>
            <w:top w:w="0" w:type="dxa"/>
            <w:left w:w="108" w:type="dxa"/>
            <w:bottom w:w="0" w:type="dxa"/>
            <w:right w:w="108" w:type="dxa"/>
          </w:tblCellMar>
        </w:tblPrEx>
        <w:trPr>
          <w:trHeight w:val="54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450D4C2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种植品种</w:t>
            </w:r>
          </w:p>
        </w:tc>
        <w:tc>
          <w:tcPr>
            <w:tcW w:w="3435" w:type="dxa"/>
            <w:tcBorders>
              <w:top w:val="single" w:color="000000" w:sz="4" w:space="0"/>
              <w:left w:val="single" w:color="000000" w:sz="4" w:space="0"/>
              <w:bottom w:val="single" w:color="000000" w:sz="4" w:space="0"/>
              <w:right w:val="single" w:color="000000" w:sz="4" w:space="0"/>
            </w:tcBorders>
            <w:vAlign w:val="center"/>
          </w:tcPr>
          <w:p w14:paraId="09B42CF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参考成本上限（元/亩）</w:t>
            </w:r>
          </w:p>
        </w:tc>
      </w:tr>
      <w:tr w14:paraId="400DB947">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50736A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铁皮石斛</w:t>
            </w:r>
          </w:p>
        </w:tc>
        <w:tc>
          <w:tcPr>
            <w:tcW w:w="3435" w:type="dxa"/>
            <w:tcBorders>
              <w:top w:val="single" w:color="000000" w:sz="4" w:space="0"/>
              <w:left w:val="single" w:color="000000" w:sz="4" w:space="0"/>
              <w:bottom w:val="single" w:color="000000" w:sz="4" w:space="0"/>
              <w:right w:val="single" w:color="000000" w:sz="4" w:space="0"/>
            </w:tcBorders>
            <w:vAlign w:val="center"/>
          </w:tcPr>
          <w:p w14:paraId="62953B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20000</w:t>
            </w:r>
          </w:p>
        </w:tc>
      </w:tr>
      <w:tr w14:paraId="4DBD3D0C">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31F87C89">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浙</w:t>
            </w:r>
            <w:r>
              <w:rPr>
                <w:rFonts w:hint="eastAsia" w:ascii="宋体" w:hAnsi="宋体" w:cs="宋体"/>
                <w:color w:val="000000"/>
                <w:sz w:val="22"/>
                <w:szCs w:val="22"/>
                <w:lang w:val="en-US" w:eastAsia="zh-CN"/>
              </w:rPr>
              <w:t>贝</w:t>
            </w:r>
            <w:r>
              <w:rPr>
                <w:rFonts w:hint="eastAsia" w:ascii="宋体" w:hAnsi="宋体" w:cs="宋体"/>
                <w:color w:val="000000"/>
                <w:sz w:val="22"/>
                <w:szCs w:val="22"/>
                <w:lang w:eastAsia="zh-CN"/>
              </w:rPr>
              <w:t>母</w:t>
            </w:r>
          </w:p>
        </w:tc>
        <w:tc>
          <w:tcPr>
            <w:tcW w:w="3435" w:type="dxa"/>
            <w:tcBorders>
              <w:top w:val="single" w:color="000000" w:sz="4" w:space="0"/>
              <w:left w:val="single" w:color="000000" w:sz="4" w:space="0"/>
              <w:bottom w:val="single" w:color="000000" w:sz="4" w:space="0"/>
              <w:right w:val="single" w:color="000000" w:sz="4" w:space="0"/>
            </w:tcBorders>
            <w:vAlign w:val="center"/>
          </w:tcPr>
          <w:p w14:paraId="5210C398">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6000</w:t>
            </w:r>
          </w:p>
        </w:tc>
      </w:tr>
      <w:tr w14:paraId="2B1D9A2B">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bottom"/>
          </w:tcPr>
          <w:p w14:paraId="048CD2A7">
            <w:pPr>
              <w:widowControl/>
              <w:jc w:val="center"/>
              <w:textAlignment w:val="bottom"/>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益母草</w:t>
            </w:r>
          </w:p>
        </w:tc>
        <w:tc>
          <w:tcPr>
            <w:tcW w:w="3435" w:type="dxa"/>
            <w:tcBorders>
              <w:top w:val="single" w:color="000000" w:sz="4" w:space="0"/>
              <w:left w:val="single" w:color="000000" w:sz="4" w:space="0"/>
              <w:bottom w:val="single" w:color="000000" w:sz="4" w:space="0"/>
              <w:right w:val="single" w:color="000000" w:sz="4" w:space="0"/>
            </w:tcBorders>
            <w:vAlign w:val="center"/>
          </w:tcPr>
          <w:p w14:paraId="3589095C">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3000</w:t>
            </w:r>
          </w:p>
        </w:tc>
      </w:tr>
      <w:tr w14:paraId="0D6E8124">
        <w:tblPrEx>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vAlign w:val="bottom"/>
          </w:tcPr>
          <w:p w14:paraId="57D45889">
            <w:pPr>
              <w:widowControl/>
              <w:jc w:val="center"/>
              <w:textAlignment w:val="bottom"/>
              <w:rPr>
                <w:rFonts w:hint="default" w:ascii="宋体" w:hAnsi="宋体" w:eastAsia="仿宋_GB2312" w:cs="宋体"/>
                <w:b/>
                <w:bCs/>
                <w:color w:val="000000"/>
                <w:sz w:val="22"/>
                <w:szCs w:val="22"/>
                <w:lang w:val="en-US" w:eastAsia="zh-CN"/>
              </w:rPr>
            </w:pPr>
            <w:r>
              <w:rPr>
                <w:rFonts w:hint="eastAsia" w:ascii="宋体" w:hAnsi="宋体" w:cs="宋体"/>
                <w:b/>
                <w:bCs/>
                <w:color w:val="000000"/>
                <w:kern w:val="0"/>
                <w:sz w:val="22"/>
                <w:szCs w:val="22"/>
                <w:lang w:val="en-US" w:eastAsia="zh-CN"/>
              </w:rPr>
              <w:t>粮食作物类</w:t>
            </w:r>
          </w:p>
        </w:tc>
      </w:tr>
      <w:tr w14:paraId="0B385BB0">
        <w:tblPrEx>
          <w:tblCellMar>
            <w:top w:w="0" w:type="dxa"/>
            <w:left w:w="108" w:type="dxa"/>
            <w:bottom w:w="0" w:type="dxa"/>
            <w:right w:w="108" w:type="dxa"/>
          </w:tblCellMar>
        </w:tblPrEx>
        <w:trPr>
          <w:trHeight w:val="54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31C742E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种植品种</w:t>
            </w:r>
          </w:p>
        </w:tc>
        <w:tc>
          <w:tcPr>
            <w:tcW w:w="3435" w:type="dxa"/>
            <w:tcBorders>
              <w:top w:val="single" w:color="000000" w:sz="4" w:space="0"/>
              <w:left w:val="single" w:color="000000" w:sz="4" w:space="0"/>
              <w:bottom w:val="single" w:color="000000" w:sz="4" w:space="0"/>
              <w:right w:val="single" w:color="000000" w:sz="4" w:space="0"/>
            </w:tcBorders>
            <w:vAlign w:val="center"/>
          </w:tcPr>
          <w:p w14:paraId="28B04AD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参考成本上限（元/亩）</w:t>
            </w:r>
          </w:p>
        </w:tc>
      </w:tr>
      <w:tr w14:paraId="099F92F8">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7EC228D5">
            <w:pPr>
              <w:widowControl/>
              <w:jc w:val="center"/>
              <w:textAlignment w:val="center"/>
              <w:rPr>
                <w:rFonts w:hint="eastAsia" w:ascii="宋体" w:hAnsi="宋体" w:eastAsia="仿宋_GB2312" w:cs="宋体"/>
                <w:color w:val="000000"/>
                <w:sz w:val="22"/>
                <w:szCs w:val="22"/>
                <w:lang w:eastAsia="zh-CN"/>
              </w:rPr>
            </w:pPr>
            <w:r>
              <w:rPr>
                <w:rFonts w:hint="eastAsia" w:ascii="宋体" w:hAnsi="宋体" w:cs="宋体"/>
                <w:color w:val="000000"/>
                <w:kern w:val="0"/>
                <w:sz w:val="22"/>
                <w:szCs w:val="22"/>
                <w:lang w:val="en-US" w:eastAsia="zh-CN"/>
              </w:rPr>
              <w:t>番薯</w:t>
            </w:r>
          </w:p>
        </w:tc>
        <w:tc>
          <w:tcPr>
            <w:tcW w:w="3435" w:type="dxa"/>
            <w:tcBorders>
              <w:top w:val="single" w:color="000000" w:sz="4" w:space="0"/>
              <w:left w:val="single" w:color="000000" w:sz="4" w:space="0"/>
              <w:bottom w:val="single" w:color="000000" w:sz="4" w:space="0"/>
              <w:right w:val="single" w:color="000000" w:sz="4" w:space="0"/>
            </w:tcBorders>
            <w:vAlign w:val="center"/>
          </w:tcPr>
          <w:p w14:paraId="1623F83C">
            <w:pPr>
              <w:widowControl/>
              <w:jc w:val="center"/>
              <w:textAlignment w:val="center"/>
              <w:rPr>
                <w:rFonts w:hint="default" w:ascii="宋体" w:hAnsi="宋体" w:eastAsia="仿宋_GB2312" w:cs="宋体"/>
                <w:color w:val="000000"/>
                <w:sz w:val="22"/>
                <w:szCs w:val="22"/>
                <w:lang w:val="en-US" w:eastAsia="zh-CN"/>
              </w:rPr>
            </w:pPr>
            <w:r>
              <w:rPr>
                <w:rFonts w:hint="eastAsia" w:ascii="宋体" w:hAnsi="宋体" w:cs="宋体"/>
                <w:color w:val="000000"/>
                <w:kern w:val="0"/>
                <w:sz w:val="22"/>
                <w:szCs w:val="22"/>
                <w:lang w:val="en-US" w:eastAsia="zh-CN"/>
              </w:rPr>
              <w:t>1600</w:t>
            </w:r>
          </w:p>
        </w:tc>
      </w:tr>
      <w:tr w14:paraId="048F2419">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07FFC802">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玉米</w:t>
            </w:r>
          </w:p>
        </w:tc>
        <w:tc>
          <w:tcPr>
            <w:tcW w:w="3435" w:type="dxa"/>
            <w:tcBorders>
              <w:top w:val="single" w:color="000000" w:sz="4" w:space="0"/>
              <w:left w:val="single" w:color="000000" w:sz="4" w:space="0"/>
              <w:bottom w:val="single" w:color="000000" w:sz="4" w:space="0"/>
              <w:right w:val="single" w:color="000000" w:sz="4" w:space="0"/>
            </w:tcBorders>
            <w:vAlign w:val="center"/>
          </w:tcPr>
          <w:p w14:paraId="37324B71">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r>
      <w:tr w14:paraId="5EBE2B93">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bottom"/>
          </w:tcPr>
          <w:p w14:paraId="32811783">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大豆</w:t>
            </w:r>
          </w:p>
        </w:tc>
        <w:tc>
          <w:tcPr>
            <w:tcW w:w="3435" w:type="dxa"/>
            <w:tcBorders>
              <w:top w:val="single" w:color="000000" w:sz="4" w:space="0"/>
              <w:left w:val="single" w:color="000000" w:sz="4" w:space="0"/>
              <w:bottom w:val="single" w:color="000000" w:sz="4" w:space="0"/>
              <w:right w:val="single" w:color="000000" w:sz="4" w:space="0"/>
            </w:tcBorders>
            <w:vAlign w:val="center"/>
          </w:tcPr>
          <w:p w14:paraId="64DCC41A">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1000</w:t>
            </w:r>
          </w:p>
        </w:tc>
      </w:tr>
      <w:tr w14:paraId="4BD320EC">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bottom"/>
          </w:tcPr>
          <w:p w14:paraId="02C402F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土豆</w:t>
            </w:r>
          </w:p>
        </w:tc>
        <w:tc>
          <w:tcPr>
            <w:tcW w:w="3435" w:type="dxa"/>
            <w:tcBorders>
              <w:top w:val="single" w:color="000000" w:sz="4" w:space="0"/>
              <w:left w:val="single" w:color="000000" w:sz="4" w:space="0"/>
              <w:bottom w:val="single" w:color="000000" w:sz="4" w:space="0"/>
              <w:right w:val="single" w:color="000000" w:sz="4" w:space="0"/>
            </w:tcBorders>
            <w:vAlign w:val="center"/>
          </w:tcPr>
          <w:p w14:paraId="5580E963">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2100</w:t>
            </w:r>
          </w:p>
        </w:tc>
      </w:tr>
      <w:tr w14:paraId="4E96FC8E">
        <w:tblPrEx>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vAlign w:val="bottom"/>
          </w:tcPr>
          <w:p w14:paraId="6D87C893">
            <w:pPr>
              <w:widowControl/>
              <w:jc w:val="center"/>
              <w:textAlignment w:val="bottom"/>
              <w:rPr>
                <w:rFonts w:hint="default" w:ascii="宋体" w:hAnsi="宋体" w:eastAsia="仿宋_GB2312" w:cs="宋体"/>
                <w:b/>
                <w:bCs/>
                <w:color w:val="000000"/>
                <w:sz w:val="22"/>
                <w:szCs w:val="22"/>
                <w:lang w:val="en-US" w:eastAsia="zh-CN"/>
              </w:rPr>
            </w:pPr>
            <w:r>
              <w:rPr>
                <w:rFonts w:hint="eastAsia" w:ascii="宋体" w:hAnsi="宋体" w:cs="宋体"/>
                <w:b/>
                <w:bCs/>
                <w:color w:val="000000"/>
                <w:kern w:val="0"/>
                <w:sz w:val="22"/>
                <w:szCs w:val="22"/>
                <w:lang w:val="en-US" w:eastAsia="zh-CN"/>
              </w:rPr>
              <w:t>养殖类</w:t>
            </w:r>
          </w:p>
        </w:tc>
      </w:tr>
      <w:tr w14:paraId="74EAECCC">
        <w:tblPrEx>
          <w:tblCellMar>
            <w:top w:w="0" w:type="dxa"/>
            <w:left w:w="108" w:type="dxa"/>
            <w:bottom w:w="0" w:type="dxa"/>
            <w:right w:w="108" w:type="dxa"/>
          </w:tblCellMar>
        </w:tblPrEx>
        <w:trPr>
          <w:trHeight w:val="54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58EA516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val="en-US" w:eastAsia="zh-CN"/>
              </w:rPr>
              <w:t>养</w:t>
            </w:r>
            <w:r>
              <w:rPr>
                <w:rFonts w:hint="eastAsia" w:ascii="宋体" w:hAnsi="宋体" w:cs="宋体"/>
                <w:b/>
                <w:bCs/>
                <w:color w:val="000000"/>
                <w:kern w:val="0"/>
                <w:sz w:val="22"/>
                <w:szCs w:val="22"/>
              </w:rPr>
              <w:t>品种</w:t>
            </w:r>
          </w:p>
        </w:tc>
        <w:tc>
          <w:tcPr>
            <w:tcW w:w="3435" w:type="dxa"/>
            <w:tcBorders>
              <w:top w:val="single" w:color="000000" w:sz="4" w:space="0"/>
              <w:left w:val="single" w:color="000000" w:sz="4" w:space="0"/>
              <w:bottom w:val="single" w:color="000000" w:sz="4" w:space="0"/>
              <w:right w:val="single" w:color="000000" w:sz="4" w:space="0"/>
            </w:tcBorders>
            <w:vAlign w:val="center"/>
          </w:tcPr>
          <w:p w14:paraId="39C49BDF">
            <w:pPr>
              <w:widowControl/>
              <w:jc w:val="center"/>
              <w:textAlignment w:val="center"/>
              <w:rPr>
                <w:rFonts w:hint="eastAsia" w:ascii="宋体" w:hAnsi="宋体" w:eastAsia="仿宋_GB2312" w:cs="宋体"/>
                <w:b/>
                <w:bCs/>
                <w:color w:val="000000"/>
                <w:sz w:val="22"/>
                <w:szCs w:val="22"/>
                <w:lang w:eastAsia="zh-CN"/>
              </w:rPr>
            </w:pPr>
            <w:r>
              <w:rPr>
                <w:rFonts w:hint="eastAsia" w:ascii="宋体" w:hAnsi="宋体" w:cs="宋体"/>
                <w:b/>
                <w:bCs/>
                <w:color w:val="000000"/>
                <w:kern w:val="0"/>
                <w:sz w:val="22"/>
                <w:szCs w:val="22"/>
              </w:rPr>
              <w:t>参考</w:t>
            </w:r>
            <w:r>
              <w:rPr>
                <w:rFonts w:hint="eastAsia" w:ascii="宋体" w:hAnsi="宋体" w:cs="宋体"/>
                <w:b/>
                <w:bCs/>
                <w:color w:val="000000"/>
                <w:kern w:val="0"/>
                <w:sz w:val="22"/>
                <w:szCs w:val="22"/>
                <w:lang w:val="en-US" w:eastAsia="zh-CN"/>
              </w:rPr>
              <w:t>养殖</w:t>
            </w:r>
            <w:r>
              <w:rPr>
                <w:rFonts w:hint="eastAsia" w:ascii="宋体" w:hAnsi="宋体" w:cs="宋体"/>
                <w:b/>
                <w:bCs/>
                <w:color w:val="000000"/>
                <w:kern w:val="0"/>
                <w:sz w:val="22"/>
                <w:szCs w:val="22"/>
              </w:rPr>
              <w:t>成本上限</w:t>
            </w:r>
          </w:p>
        </w:tc>
      </w:tr>
      <w:tr w14:paraId="4FFA9055">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5BBCD156">
            <w:pPr>
              <w:widowControl/>
              <w:jc w:val="center"/>
              <w:textAlignment w:val="center"/>
              <w:rPr>
                <w:rFonts w:hint="eastAsia" w:ascii="宋体" w:hAnsi="宋体" w:eastAsia="仿宋_GB2312" w:cs="宋体"/>
                <w:color w:val="000000"/>
                <w:sz w:val="22"/>
                <w:szCs w:val="22"/>
                <w:lang w:eastAsia="zh-CN"/>
              </w:rPr>
            </w:pPr>
            <w:r>
              <w:rPr>
                <w:rFonts w:hint="eastAsia" w:ascii="宋体" w:hAnsi="宋体" w:cs="宋体"/>
                <w:color w:val="000000"/>
                <w:kern w:val="0"/>
                <w:sz w:val="22"/>
                <w:szCs w:val="22"/>
                <w:lang w:val="en-US" w:eastAsia="zh-CN"/>
              </w:rPr>
              <w:t>羊</w:t>
            </w:r>
          </w:p>
        </w:tc>
        <w:tc>
          <w:tcPr>
            <w:tcW w:w="3435" w:type="dxa"/>
            <w:tcBorders>
              <w:top w:val="single" w:color="000000" w:sz="4" w:space="0"/>
              <w:left w:val="single" w:color="000000" w:sz="4" w:space="0"/>
              <w:bottom w:val="single" w:color="000000" w:sz="4" w:space="0"/>
              <w:right w:val="single" w:color="000000" w:sz="4" w:space="0"/>
            </w:tcBorders>
            <w:vAlign w:val="center"/>
          </w:tcPr>
          <w:p w14:paraId="33BB7813">
            <w:pPr>
              <w:widowControl/>
              <w:jc w:val="center"/>
              <w:textAlignment w:val="center"/>
              <w:rPr>
                <w:rFonts w:hint="default" w:ascii="宋体" w:hAnsi="宋体" w:eastAsia="仿宋_GB2312" w:cs="宋体"/>
                <w:color w:val="000000"/>
                <w:sz w:val="22"/>
                <w:szCs w:val="22"/>
                <w:lang w:val="en-US" w:eastAsia="zh-CN"/>
              </w:rPr>
            </w:pPr>
            <w:r>
              <w:rPr>
                <w:rFonts w:hint="eastAsia" w:ascii="宋体" w:hAnsi="宋体" w:cs="宋体"/>
                <w:color w:val="000000"/>
                <w:kern w:val="0"/>
                <w:sz w:val="22"/>
                <w:szCs w:val="22"/>
                <w:lang w:val="en-US" w:eastAsia="zh-CN"/>
              </w:rPr>
              <w:t>1250元/头</w:t>
            </w:r>
          </w:p>
        </w:tc>
      </w:tr>
      <w:tr w14:paraId="226AA0B7">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2611F783">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乌龟（室内）</w:t>
            </w:r>
          </w:p>
        </w:tc>
        <w:tc>
          <w:tcPr>
            <w:tcW w:w="3435" w:type="dxa"/>
            <w:tcBorders>
              <w:top w:val="single" w:color="000000" w:sz="4" w:space="0"/>
              <w:left w:val="single" w:color="000000" w:sz="4" w:space="0"/>
              <w:bottom w:val="single" w:color="000000" w:sz="4" w:space="0"/>
              <w:right w:val="single" w:color="000000" w:sz="4" w:space="0"/>
            </w:tcBorders>
            <w:vAlign w:val="center"/>
          </w:tcPr>
          <w:p w14:paraId="08D1E632">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5元/只</w:t>
            </w:r>
          </w:p>
        </w:tc>
      </w:tr>
      <w:tr w14:paraId="609DD7E4">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bottom"/>
          </w:tcPr>
          <w:p w14:paraId="7E7A0810">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乌龟（外塘）</w:t>
            </w:r>
          </w:p>
        </w:tc>
        <w:tc>
          <w:tcPr>
            <w:tcW w:w="3435" w:type="dxa"/>
            <w:tcBorders>
              <w:top w:val="single" w:color="000000" w:sz="4" w:space="0"/>
              <w:left w:val="single" w:color="000000" w:sz="4" w:space="0"/>
              <w:bottom w:val="single" w:color="000000" w:sz="4" w:space="0"/>
              <w:right w:val="single" w:color="000000" w:sz="4" w:space="0"/>
            </w:tcBorders>
            <w:vAlign w:val="center"/>
          </w:tcPr>
          <w:p w14:paraId="7AC5508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35元/只</w:t>
            </w:r>
          </w:p>
        </w:tc>
      </w:tr>
      <w:tr w14:paraId="0027E660">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center"/>
          </w:tcPr>
          <w:p w14:paraId="413EB882">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甲鱼（室内）</w:t>
            </w:r>
          </w:p>
        </w:tc>
        <w:tc>
          <w:tcPr>
            <w:tcW w:w="3435" w:type="dxa"/>
            <w:tcBorders>
              <w:top w:val="single" w:color="000000" w:sz="4" w:space="0"/>
              <w:left w:val="single" w:color="000000" w:sz="4" w:space="0"/>
              <w:bottom w:val="single" w:color="000000" w:sz="4" w:space="0"/>
              <w:right w:val="single" w:color="000000" w:sz="4" w:space="0"/>
            </w:tcBorders>
            <w:vAlign w:val="center"/>
          </w:tcPr>
          <w:p w14:paraId="0EF53D6F">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8元/只</w:t>
            </w:r>
          </w:p>
        </w:tc>
      </w:tr>
      <w:tr w14:paraId="335B0001">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bottom"/>
          </w:tcPr>
          <w:p w14:paraId="4C4149A4">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甲鱼（外塘）</w:t>
            </w:r>
          </w:p>
        </w:tc>
        <w:tc>
          <w:tcPr>
            <w:tcW w:w="3435" w:type="dxa"/>
            <w:tcBorders>
              <w:top w:val="single" w:color="000000" w:sz="4" w:space="0"/>
              <w:left w:val="single" w:color="000000" w:sz="4" w:space="0"/>
              <w:bottom w:val="single" w:color="000000" w:sz="4" w:space="0"/>
              <w:right w:val="single" w:color="000000" w:sz="4" w:space="0"/>
            </w:tcBorders>
            <w:vAlign w:val="center"/>
          </w:tcPr>
          <w:p w14:paraId="2E5454D7">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80元/只</w:t>
            </w:r>
          </w:p>
        </w:tc>
      </w:tr>
      <w:tr w14:paraId="72329FEF">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bottom"/>
          </w:tcPr>
          <w:p w14:paraId="6D7F5FCC">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小龙虾</w:t>
            </w:r>
          </w:p>
        </w:tc>
        <w:tc>
          <w:tcPr>
            <w:tcW w:w="3435" w:type="dxa"/>
            <w:tcBorders>
              <w:top w:val="single" w:color="000000" w:sz="4" w:space="0"/>
              <w:left w:val="single" w:color="000000" w:sz="4" w:space="0"/>
              <w:bottom w:val="single" w:color="000000" w:sz="4" w:space="0"/>
              <w:right w:val="single" w:color="000000" w:sz="4" w:space="0"/>
            </w:tcBorders>
            <w:vAlign w:val="center"/>
          </w:tcPr>
          <w:p w14:paraId="4D150304">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12.5元/斤</w:t>
            </w:r>
          </w:p>
        </w:tc>
      </w:tr>
      <w:tr w14:paraId="282A8A36">
        <w:tblPrEx>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vAlign w:val="bottom"/>
          </w:tcPr>
          <w:p w14:paraId="6DD42844">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珍珠蚌</w:t>
            </w:r>
          </w:p>
        </w:tc>
        <w:tc>
          <w:tcPr>
            <w:tcW w:w="3435" w:type="dxa"/>
            <w:tcBorders>
              <w:top w:val="single" w:color="000000" w:sz="4" w:space="0"/>
              <w:left w:val="single" w:color="000000" w:sz="4" w:space="0"/>
              <w:bottom w:val="single" w:color="000000" w:sz="4" w:space="0"/>
              <w:right w:val="single" w:color="000000" w:sz="4" w:space="0"/>
            </w:tcBorders>
            <w:vAlign w:val="center"/>
          </w:tcPr>
          <w:p w14:paraId="31A27C8A">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10000元/亩</w:t>
            </w:r>
          </w:p>
        </w:tc>
      </w:tr>
    </w:tbl>
    <w:p w14:paraId="2394A636">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（四）保险费率：</w:t>
      </w:r>
    </w:p>
    <w:tbl>
      <w:tblPr>
        <w:tblStyle w:val="9"/>
        <w:tblW w:w="7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5"/>
        <w:gridCol w:w="1934"/>
      </w:tblGrid>
      <w:tr w14:paraId="2B16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125" w:type="dxa"/>
            <w:vAlign w:val="center"/>
          </w:tcPr>
          <w:p w14:paraId="573A4378">
            <w:pPr>
              <w:widowControl/>
              <w:jc w:val="both"/>
              <w:textAlignment w:val="bottom"/>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类别</w:t>
            </w:r>
          </w:p>
        </w:tc>
        <w:tc>
          <w:tcPr>
            <w:tcW w:w="1934" w:type="dxa"/>
            <w:vAlign w:val="center"/>
          </w:tcPr>
          <w:p w14:paraId="7518DD01">
            <w:pPr>
              <w:widowControl/>
              <w:jc w:val="both"/>
              <w:textAlignment w:val="bottom"/>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基准费率</w:t>
            </w:r>
          </w:p>
        </w:tc>
      </w:tr>
      <w:tr w14:paraId="57B5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125" w:type="dxa"/>
            <w:vAlign w:val="center"/>
          </w:tcPr>
          <w:p w14:paraId="0374D28C">
            <w:pPr>
              <w:widowControl/>
              <w:jc w:val="both"/>
              <w:textAlignment w:val="bottom"/>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水果类</w:t>
            </w:r>
          </w:p>
        </w:tc>
        <w:tc>
          <w:tcPr>
            <w:tcW w:w="1934" w:type="dxa"/>
            <w:vAlign w:val="center"/>
          </w:tcPr>
          <w:p w14:paraId="51302CA3">
            <w:pPr>
              <w:widowControl/>
              <w:jc w:val="both"/>
              <w:textAlignment w:val="bottom"/>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6%</w:t>
            </w:r>
          </w:p>
        </w:tc>
      </w:tr>
      <w:tr w14:paraId="0080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125" w:type="dxa"/>
            <w:vAlign w:val="center"/>
          </w:tcPr>
          <w:p w14:paraId="2F4A05CE">
            <w:pPr>
              <w:widowControl/>
              <w:jc w:val="both"/>
              <w:textAlignment w:val="bottom"/>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中药材类</w:t>
            </w:r>
          </w:p>
        </w:tc>
        <w:tc>
          <w:tcPr>
            <w:tcW w:w="1934" w:type="dxa"/>
            <w:vAlign w:val="center"/>
          </w:tcPr>
          <w:p w14:paraId="577525F8">
            <w:pPr>
              <w:widowControl/>
              <w:jc w:val="both"/>
              <w:textAlignment w:val="bottom"/>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8%</w:t>
            </w:r>
          </w:p>
        </w:tc>
      </w:tr>
      <w:tr w14:paraId="34BF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125" w:type="dxa"/>
            <w:vAlign w:val="center"/>
          </w:tcPr>
          <w:p w14:paraId="10633B2A">
            <w:pPr>
              <w:widowControl/>
              <w:jc w:val="both"/>
              <w:textAlignment w:val="bottom"/>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kern w:val="0"/>
                <w:szCs w:val="21"/>
              </w:rPr>
              <w:t>粮食作物</w:t>
            </w:r>
            <w:r>
              <w:rPr>
                <w:rFonts w:hint="eastAsia" w:ascii="宋体" w:hAnsi="宋体" w:cs="宋体"/>
                <w:kern w:val="0"/>
                <w:szCs w:val="21"/>
                <w:lang w:val="en-US" w:eastAsia="zh-CN"/>
              </w:rPr>
              <w:t>类</w:t>
            </w:r>
          </w:p>
        </w:tc>
        <w:tc>
          <w:tcPr>
            <w:tcW w:w="1934" w:type="dxa"/>
            <w:vAlign w:val="center"/>
          </w:tcPr>
          <w:p w14:paraId="0E08B172">
            <w:pPr>
              <w:widowControl/>
              <w:jc w:val="both"/>
              <w:textAlignment w:val="bottom"/>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w:t>
            </w:r>
          </w:p>
        </w:tc>
      </w:tr>
      <w:tr w14:paraId="79AD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125" w:type="dxa"/>
            <w:vAlign w:val="center"/>
          </w:tcPr>
          <w:p w14:paraId="2EE6F72B">
            <w:pPr>
              <w:widowControl/>
              <w:jc w:val="both"/>
              <w:textAlignment w:val="bottom"/>
              <w:rPr>
                <w:rFonts w:hint="eastAsia" w:ascii="宋体" w:hAnsi="宋体" w:eastAsia="宋体" w:cs="宋体"/>
                <w:kern w:val="0"/>
                <w:szCs w:val="21"/>
                <w:lang w:val="en-US" w:eastAsia="zh-CN"/>
              </w:rPr>
            </w:pPr>
            <w:r>
              <w:rPr>
                <w:rFonts w:hint="eastAsia" w:ascii="宋体" w:hAnsi="宋体" w:cs="宋体"/>
                <w:kern w:val="0"/>
                <w:szCs w:val="21"/>
              </w:rPr>
              <w:t>菌菇</w:t>
            </w:r>
            <w:r>
              <w:rPr>
                <w:rFonts w:hint="eastAsia" w:ascii="宋体" w:hAnsi="宋体" w:cs="宋体"/>
                <w:kern w:val="0"/>
                <w:szCs w:val="21"/>
                <w:lang w:val="en-US" w:eastAsia="zh-CN"/>
              </w:rPr>
              <w:t>类</w:t>
            </w:r>
          </w:p>
        </w:tc>
        <w:tc>
          <w:tcPr>
            <w:tcW w:w="1934" w:type="dxa"/>
            <w:vAlign w:val="center"/>
          </w:tcPr>
          <w:p w14:paraId="171EBEA1">
            <w:pPr>
              <w:widowControl/>
              <w:jc w:val="both"/>
              <w:textAlignment w:val="bottom"/>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8%</w:t>
            </w:r>
          </w:p>
        </w:tc>
      </w:tr>
      <w:tr w14:paraId="27E6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125" w:type="dxa"/>
            <w:vAlign w:val="center"/>
          </w:tcPr>
          <w:p w14:paraId="293F7A6C">
            <w:pPr>
              <w:widowControl/>
              <w:jc w:val="both"/>
              <w:textAlignment w:val="bottom"/>
              <w:rPr>
                <w:rFonts w:hint="default" w:ascii="宋体" w:hAnsi="宋体" w:cs="宋体"/>
                <w:kern w:val="0"/>
                <w:szCs w:val="21"/>
                <w:lang w:val="en-US"/>
              </w:rPr>
            </w:pPr>
            <w:r>
              <w:rPr>
                <w:rFonts w:hint="eastAsia" w:ascii="宋体" w:hAnsi="宋体" w:cs="宋体"/>
                <w:color w:val="000000"/>
                <w:kern w:val="0"/>
                <w:sz w:val="22"/>
                <w:szCs w:val="22"/>
                <w:lang w:val="zh-CN" w:eastAsia="zh-CN"/>
              </w:rPr>
              <w:t>牲畜</w:t>
            </w:r>
            <w:r>
              <w:rPr>
                <w:rFonts w:hint="eastAsia" w:ascii="宋体" w:hAnsi="宋体" w:cs="宋体"/>
                <w:color w:val="000000"/>
                <w:kern w:val="0"/>
                <w:sz w:val="22"/>
                <w:szCs w:val="22"/>
                <w:lang w:val="en-US" w:eastAsia="zh-CN"/>
              </w:rPr>
              <w:t>类</w:t>
            </w:r>
          </w:p>
        </w:tc>
        <w:tc>
          <w:tcPr>
            <w:tcW w:w="1934" w:type="dxa"/>
            <w:vAlign w:val="center"/>
          </w:tcPr>
          <w:p w14:paraId="29855E65">
            <w:pPr>
              <w:widowControl/>
              <w:jc w:val="both"/>
              <w:textAlignment w:val="bottom"/>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5%</w:t>
            </w:r>
          </w:p>
        </w:tc>
      </w:tr>
      <w:tr w14:paraId="61A1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125" w:type="dxa"/>
            <w:vAlign w:val="center"/>
          </w:tcPr>
          <w:p w14:paraId="786B7404">
            <w:pPr>
              <w:widowControl/>
              <w:jc w:val="both"/>
              <w:textAlignment w:val="bottom"/>
              <w:rPr>
                <w:rFonts w:hint="eastAsia" w:ascii="宋体" w:hAnsi="宋体" w:cs="宋体"/>
                <w:color w:val="000000"/>
                <w:kern w:val="0"/>
                <w:sz w:val="22"/>
                <w:szCs w:val="22"/>
                <w:lang w:val="zh-CN" w:eastAsia="zh-CN"/>
              </w:rPr>
            </w:pPr>
            <w:r>
              <w:rPr>
                <w:rFonts w:hint="eastAsia" w:ascii="宋体" w:hAnsi="宋体" w:cs="宋体"/>
                <w:color w:val="000000"/>
                <w:kern w:val="0"/>
                <w:sz w:val="22"/>
                <w:szCs w:val="22"/>
                <w:lang w:val="en-US" w:eastAsia="zh-CN"/>
              </w:rPr>
              <w:t>水产类</w:t>
            </w:r>
          </w:p>
        </w:tc>
        <w:tc>
          <w:tcPr>
            <w:tcW w:w="1934" w:type="dxa"/>
            <w:vAlign w:val="center"/>
          </w:tcPr>
          <w:p w14:paraId="3D65C29D">
            <w:pPr>
              <w:widowControl/>
              <w:jc w:val="both"/>
              <w:textAlignment w:val="bottom"/>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8%</w:t>
            </w:r>
          </w:p>
        </w:tc>
      </w:tr>
    </w:tbl>
    <w:p w14:paraId="7915E799">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（五）财政补贴比例：</w:t>
      </w:r>
    </w:p>
    <w:p w14:paraId="71D4064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市财政保费补贴70%，农户自负30%。</w:t>
      </w:r>
    </w:p>
    <w:p w14:paraId="17DD12AE">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（六）投保流程：</w:t>
      </w:r>
    </w:p>
    <w:p w14:paraId="77F0A11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1.确定参保名单。符合条件的经营主体可自愿报名参加保险试点，如自愿报名参加家数较多，由农险协调办邀请专家进行综合评定，择优确定参加保险试点。</w:t>
      </w:r>
    </w:p>
    <w:p w14:paraId="6135AB5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2.核实保险标的。保险经办公司会同各镇乡街道或村级协保员开展现场验标，核实实际种养殖面积数量、地点、范围等信息，验标确定后的参保清册在村务公开栏公示3天以上。</w:t>
      </w:r>
    </w:p>
    <w:p w14:paraId="57478C7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3.出具保单。保险经办公司经核查后，对符合要求的经营主体，向投保人收取自缴部分的保险费后出具保险单和保费发票。</w:t>
      </w:r>
    </w:p>
    <w:p w14:paraId="6050113C">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（七）赔偿处理：</w:t>
      </w:r>
    </w:p>
    <w:p w14:paraId="1764A7A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1.发生保险事故时，被保险人应积极开展防灾救灾，减少灾害损失，并及时报告保险公司进行定损赔付。</w:t>
      </w:r>
    </w:p>
    <w:p w14:paraId="0C6DF78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2.承保公司接到灾害报告后应及时到达现场进行核查，按保单约定进行赔付，如无法确定全部损失情况的，及时约定进行二次定损。</w:t>
      </w:r>
    </w:p>
    <w:p w14:paraId="2097B34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3.保险公司理赔清单，应在村公示栏中进行不少于7天的公示，如对公示有疑义的，可以向保险公司反映情况，保险公司将对反映的情况进行调查核实，并做出相应的处理。</w:t>
      </w:r>
    </w:p>
    <w:p w14:paraId="3A7D3FF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（八）保险期间及诉讼有效期：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新型农业经营主体综合保险期间为一年，具体以保险单载明的起讫时间为准。被保险人向保险人请求赔偿的诉讼时效期间为二年，自其知道或者应当知道保险事故发生之日起计算。</w:t>
      </w:r>
    </w:p>
    <w:p w14:paraId="4D14D56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（九）承保公司：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根据诸暨市农业农村局公开招标结果，诸暨市新型农业经营主体综合保险业务由XX公司承保，具体保险条款按备案条款为准。</w:t>
      </w:r>
    </w:p>
    <w:p w14:paraId="10074B00">
      <w:pPr>
        <w:jc w:val="both"/>
        <w:rPr>
          <w:rFonts w:hint="eastAsia" w:ascii="宋体" w:hAnsi="宋体"/>
          <w:b/>
          <w:color w:val="000000" w:themeColor="text1"/>
          <w:sz w:val="44"/>
          <w:szCs w:val="32"/>
          <w14:textFill>
            <w14:solidFill>
              <w14:schemeClr w14:val="tx1"/>
            </w14:solidFill>
          </w14:textFill>
        </w:rPr>
      </w:pPr>
    </w:p>
    <w:p w14:paraId="2FF35549">
      <w:pPr>
        <w:jc w:val="both"/>
        <w:rPr>
          <w:rFonts w:hint="eastAsia" w:ascii="宋体" w:hAnsi="宋体"/>
          <w:b/>
          <w:color w:val="000000" w:themeColor="text1"/>
          <w:sz w:val="44"/>
          <w:szCs w:val="32"/>
          <w14:textFill>
            <w14:solidFill>
              <w14:schemeClr w14:val="tx1"/>
            </w14:solidFill>
          </w14:textFill>
        </w:rPr>
      </w:pPr>
    </w:p>
    <w:p w14:paraId="6CEE789A">
      <w:pP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br w:type="page"/>
      </w:r>
    </w:p>
    <w:p w14:paraId="6BE271AA">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诸暨市香榧高温干旱气象指数保险试点方案</w:t>
      </w:r>
    </w:p>
    <w:p w14:paraId="73D622B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浙江省人民政府办公厅关于加快农业保险高质量发展的实施意见》（浙政办发〔2021〕47号）精神，加快推进我市香榧产业提质升档发展，稳定我市香榧种植风险、保障榧农基本收入，特制定诸暨市香榧高温干旱气象指数保险试点方案。</w:t>
      </w:r>
    </w:p>
    <w:p w14:paraId="21BB961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t>一、工作目标</w:t>
      </w:r>
    </w:p>
    <w:p w14:paraId="6CF310A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按照“政府引导、市场运作、农民自愿”的原则，实行政策扶持与商业化运作相结合，采用低保费、保成本、财政适当补贴的承保方式，开展香榧高温干旱气象指数保险试点。</w:t>
      </w:r>
    </w:p>
    <w:p w14:paraId="5F0DD79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t>二、参保方案</w:t>
      </w:r>
    </w:p>
    <w:p w14:paraId="599C394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（一）参保对象：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同时符合下列条件的香榧可作为本保险合同的保险标的（以下统称“保险香榧”），投保人应将符合下述条件的香榧全部投保，不得选择投保：</w:t>
      </w:r>
    </w:p>
    <w:p w14:paraId="0377182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①种植榧树符合本地区农业技术部门要求和技术规范，生长正常；</w:t>
      </w:r>
    </w:p>
    <w:p w14:paraId="1235B22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②种植面积在30亩（含）以上，且树龄10年（含）以上；</w:t>
      </w:r>
    </w:p>
    <w:p w14:paraId="16C2014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③连片种植面积未达到30亩的种植户，可通过专业合作组织以联保方式参加保险；</w:t>
      </w:r>
    </w:p>
    <w:p w14:paraId="5DA7927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（二）保险金额：</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保险香榧的每亩保险金额参照保险香榧生长期内所发生的直接物化成本，包括榧苗、化肥、农药、灌溉等成本，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保额为2000元/亩，最高费率为14%，诸暨市财政保费补贴比例70%，农户自负30%。</w:t>
      </w:r>
    </w:p>
    <w:p w14:paraId="1310EB2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）保险责任</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保险期间内，保险香榧在约定时间内遭遇高温或干旱灾害，当保险合同约定气象观测站气象数据达到约定理赔标准，保险人按照本保险合同的约定承担赔偿责任。其中保险香榧所在区域的气象观测站于承保之日起-10月31日实测日最高气温高于38℃（含）的天数超过10天且对应赔偿金额大于零或保险香榧所在区域的气象观测站于7月11日-8月20日平均降水量3毫米（含）以下且对应赔偿金额大于零时，视为保险事故发生，保险人按照本保险合同的约定负责赔偿。</w:t>
      </w:r>
    </w:p>
    <w:p w14:paraId="6A2BED8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本保险合同涉及的气象数据以保险香榧所约定的气象站观测数据为准，如约定的主气象站由于站点仪器故障导致气象数据无法正常获取，由保险单约定的备份气象站同期数据代替，并在保险单中载明。</w:t>
      </w:r>
    </w:p>
    <w:p w14:paraId="723B8CF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（四）投保流程：</w:t>
      </w:r>
    </w:p>
    <w:p w14:paraId="0C6D1AF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1.保险香榧的承保数量按照实际种植面积确定，保险公司会同各镇乡街道或村级协保员开展现场验标，提供承包合同或流转清册，验标确定后的参保清册在村务公开栏公示3天以上。</w:t>
      </w:r>
    </w:p>
    <w:p w14:paraId="019C149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2.经查验、公示后符合要求的种植主体，保险公司向投保人收取自缴部分的保险费、出具保险单和保费发票。</w:t>
      </w:r>
    </w:p>
    <w:p w14:paraId="5F89C67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）赔偿处理：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保险香榧发生保险责任范围内的损失，分保险责任计算赔偿，每亩香榧赔偿金额参照附件提供的《香榧高温干旱气象指数保险每亩损失赔偿金额表》及备注说明。保险人按以下方式计算赔偿：</w:t>
      </w:r>
    </w:p>
    <w:p w14:paraId="75783BA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每亩赔偿金额=高温责任每亩赔偿金额或干旱责任每亩赔偿金额取其高者，总赔偿金额= 每亩赔偿金额（元/亩）x保险数量（亩），赔偿金额以保险金额为限。</w:t>
      </w:r>
    </w:p>
    <w:p w14:paraId="52A95C80">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附表：诸暨市香榧高温干旱气象指数保险每亩损失赔偿金额表</w:t>
      </w:r>
    </w:p>
    <w:tbl>
      <w:tblPr>
        <w:tblStyle w:val="9"/>
        <w:tblW w:w="8739" w:type="dxa"/>
        <w:tblInd w:w="0" w:type="dxa"/>
        <w:tblLayout w:type="fixed"/>
        <w:tblCellMar>
          <w:top w:w="0" w:type="dxa"/>
          <w:left w:w="108" w:type="dxa"/>
          <w:bottom w:w="0" w:type="dxa"/>
          <w:right w:w="108" w:type="dxa"/>
        </w:tblCellMar>
      </w:tblPr>
      <w:tblGrid>
        <w:gridCol w:w="3124"/>
        <w:gridCol w:w="3058"/>
        <w:gridCol w:w="2557"/>
      </w:tblGrid>
      <w:tr w14:paraId="3150A1A2">
        <w:tblPrEx>
          <w:tblCellMar>
            <w:top w:w="0" w:type="dxa"/>
            <w:left w:w="108" w:type="dxa"/>
            <w:bottom w:w="0" w:type="dxa"/>
            <w:right w:w="108" w:type="dxa"/>
          </w:tblCellMar>
        </w:tblPrEx>
        <w:trPr>
          <w:trHeight w:val="781"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1A868013">
            <w:pPr>
              <w:widowControl/>
              <w:spacing w:line="240" w:lineRule="auto"/>
              <w:ind w:firstLine="0" w:firstLineChars="0"/>
              <w:jc w:val="center"/>
              <w:rPr>
                <w:rFonts w:hint="eastAsia" w:ascii="等线" w:hAnsi="等线" w:eastAsia="等线"/>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6</w:t>
            </w:r>
            <w:r>
              <w:rPr>
                <w:rFonts w:hint="eastAsia" w:ascii="等线" w:hAnsi="等线" w:eastAsia="等线"/>
                <w:color w:val="000000" w:themeColor="text1"/>
                <w:kern w:val="0"/>
                <w:sz w:val="21"/>
                <w:szCs w:val="21"/>
                <w14:textFill>
                  <w14:solidFill>
                    <w14:schemeClr w14:val="tx1"/>
                  </w14:solidFill>
                </w14:textFill>
              </w:rPr>
              <w:t>月</w:t>
            </w:r>
            <w:r>
              <w:rPr>
                <w:rFonts w:ascii="Times New Roman" w:hAnsi="Times New Roman" w:eastAsia="宋体"/>
                <w:color w:val="000000" w:themeColor="text1"/>
                <w:kern w:val="0"/>
                <w:sz w:val="21"/>
                <w:szCs w:val="21"/>
                <w14:textFill>
                  <w14:solidFill>
                    <w14:schemeClr w14:val="tx1"/>
                  </w14:solidFill>
                </w14:textFill>
              </w:rPr>
              <w:t>1</w:t>
            </w:r>
            <w:r>
              <w:rPr>
                <w:rFonts w:hint="eastAsia" w:ascii="等线" w:hAnsi="等线" w:eastAsia="等线"/>
                <w:color w:val="000000" w:themeColor="text1"/>
                <w:kern w:val="0"/>
                <w:sz w:val="21"/>
                <w:szCs w:val="21"/>
                <w14:textFill>
                  <w14:solidFill>
                    <w14:schemeClr w14:val="tx1"/>
                  </w14:solidFill>
                </w14:textFill>
              </w:rPr>
              <w:t>日</w:t>
            </w:r>
            <w:r>
              <w:rPr>
                <w:rFonts w:ascii="Times New Roman" w:hAnsi="Times New Roman" w:eastAsia="宋体"/>
                <w:color w:val="000000" w:themeColor="text1"/>
                <w:kern w:val="0"/>
                <w:sz w:val="21"/>
                <w:szCs w:val="21"/>
                <w14:textFill>
                  <w14:solidFill>
                    <w14:schemeClr w14:val="tx1"/>
                  </w14:solidFill>
                </w14:textFill>
              </w:rPr>
              <w:t>-10</w:t>
            </w:r>
            <w:r>
              <w:rPr>
                <w:rFonts w:hint="eastAsia" w:ascii="等线" w:hAnsi="等线" w:eastAsia="等线"/>
                <w:color w:val="000000" w:themeColor="text1"/>
                <w:kern w:val="0"/>
                <w:sz w:val="21"/>
                <w:szCs w:val="21"/>
                <w14:textFill>
                  <w14:solidFill>
                    <w14:schemeClr w14:val="tx1"/>
                  </w14:solidFill>
                </w14:textFill>
              </w:rPr>
              <w:t>月</w:t>
            </w:r>
            <w:r>
              <w:rPr>
                <w:rFonts w:ascii="Times New Roman" w:hAnsi="Times New Roman" w:eastAsia="宋体"/>
                <w:color w:val="000000" w:themeColor="text1"/>
                <w:kern w:val="0"/>
                <w:sz w:val="21"/>
                <w:szCs w:val="21"/>
                <w14:textFill>
                  <w14:solidFill>
                    <w14:schemeClr w14:val="tx1"/>
                  </w14:solidFill>
                </w14:textFill>
              </w:rPr>
              <w:t>31</w:t>
            </w:r>
            <w:r>
              <w:rPr>
                <w:rFonts w:hint="eastAsia" w:ascii="等线" w:hAnsi="等线" w:eastAsia="等线"/>
                <w:color w:val="000000" w:themeColor="text1"/>
                <w:kern w:val="0"/>
                <w:sz w:val="21"/>
                <w:szCs w:val="21"/>
                <w14:textFill>
                  <w14:solidFill>
                    <w14:schemeClr w14:val="tx1"/>
                  </w14:solidFill>
                </w14:textFill>
              </w:rPr>
              <w:t>日≥</w:t>
            </w:r>
            <w:r>
              <w:rPr>
                <w:rFonts w:ascii="Times New Roman" w:hAnsi="Times New Roman" w:eastAsia="宋体"/>
                <w:color w:val="000000" w:themeColor="text1"/>
                <w:kern w:val="0"/>
                <w:sz w:val="21"/>
                <w:szCs w:val="21"/>
                <w14:textFill>
                  <w14:solidFill>
                    <w14:schemeClr w14:val="tx1"/>
                  </w14:solidFill>
                </w14:textFill>
              </w:rPr>
              <w:t>38</w:t>
            </w:r>
            <w:r>
              <w:rPr>
                <w:rFonts w:hint="eastAsia" w:ascii="等线" w:hAnsi="等线" w:eastAsia="等线"/>
                <w:color w:val="000000" w:themeColor="text1"/>
                <w:kern w:val="0"/>
                <w:sz w:val="21"/>
                <w:szCs w:val="21"/>
                <w14:textFill>
                  <w14:solidFill>
                    <w14:schemeClr w14:val="tx1"/>
                  </w14:solidFill>
                </w14:textFill>
              </w:rPr>
              <w:t>℃</w:t>
            </w:r>
          </w:p>
          <w:p w14:paraId="0FA3458B">
            <w:pPr>
              <w:widowControl/>
              <w:spacing w:line="240" w:lineRule="auto"/>
              <w:ind w:firstLine="0" w:firstLineChars="0"/>
              <w:jc w:val="center"/>
              <w:rPr>
                <w:color w:val="000000" w:themeColor="text1"/>
                <w:sz w:val="24"/>
                <w:szCs w:val="24"/>
                <w14:textFill>
                  <w14:solidFill>
                    <w14:schemeClr w14:val="tx1"/>
                  </w14:solidFill>
                </w14:textFill>
              </w:rPr>
            </w:pPr>
            <w:r>
              <w:rPr>
                <w:rFonts w:hint="eastAsia" w:ascii="等线" w:hAnsi="等线" w:eastAsia="等线"/>
                <w:color w:val="000000" w:themeColor="text1"/>
                <w:kern w:val="0"/>
                <w:sz w:val="21"/>
                <w:szCs w:val="21"/>
                <w14:textFill>
                  <w14:solidFill>
                    <w14:schemeClr w14:val="tx1"/>
                  </w14:solidFill>
                </w14:textFill>
              </w:rPr>
              <w:t>高温日数（天）</w:t>
            </w:r>
          </w:p>
        </w:tc>
        <w:tc>
          <w:tcPr>
            <w:tcW w:w="3058" w:type="dxa"/>
            <w:tcBorders>
              <w:top w:val="single" w:color="auto" w:sz="8" w:space="0"/>
              <w:left w:val="single" w:color="auto" w:sz="8" w:space="0"/>
              <w:bottom w:val="single" w:color="auto" w:sz="8" w:space="0"/>
              <w:right w:val="single" w:color="auto" w:sz="8" w:space="0"/>
            </w:tcBorders>
            <w:shd w:val="clear" w:color="000000" w:fill="FFFFFF"/>
            <w:vAlign w:val="center"/>
          </w:tcPr>
          <w:p w14:paraId="6509D344">
            <w:pPr>
              <w:widowControl/>
              <w:spacing w:line="240" w:lineRule="auto"/>
              <w:ind w:firstLine="0" w:firstLineChars="0"/>
              <w:jc w:val="center"/>
              <w:rPr>
                <w:rFonts w:hint="eastAsia" w:ascii="等线" w:hAnsi="等线" w:eastAsia="等线"/>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7</w:t>
            </w:r>
            <w:r>
              <w:rPr>
                <w:rFonts w:hint="eastAsia" w:ascii="等线" w:hAnsi="等线" w:eastAsia="等线"/>
                <w:color w:val="000000" w:themeColor="text1"/>
                <w:kern w:val="0"/>
                <w:sz w:val="21"/>
                <w:szCs w:val="21"/>
                <w14:textFill>
                  <w14:solidFill>
                    <w14:schemeClr w14:val="tx1"/>
                  </w14:solidFill>
                </w14:textFill>
              </w:rPr>
              <w:t>月</w:t>
            </w:r>
            <w:r>
              <w:rPr>
                <w:rFonts w:ascii="Times New Roman" w:hAnsi="Times New Roman" w:eastAsia="宋体"/>
                <w:color w:val="000000" w:themeColor="text1"/>
                <w:kern w:val="0"/>
                <w:sz w:val="21"/>
                <w:szCs w:val="21"/>
                <w14:textFill>
                  <w14:solidFill>
                    <w14:schemeClr w14:val="tx1"/>
                  </w14:solidFill>
                </w14:textFill>
              </w:rPr>
              <w:t>11</w:t>
            </w:r>
            <w:r>
              <w:rPr>
                <w:rFonts w:hint="eastAsia" w:ascii="等线" w:hAnsi="等线" w:eastAsia="等线"/>
                <w:color w:val="000000" w:themeColor="text1"/>
                <w:kern w:val="0"/>
                <w:sz w:val="21"/>
                <w:szCs w:val="21"/>
                <w14:textFill>
                  <w14:solidFill>
                    <w14:schemeClr w14:val="tx1"/>
                  </w14:solidFill>
                </w14:textFill>
              </w:rPr>
              <w:t>日</w:t>
            </w:r>
            <w:r>
              <w:rPr>
                <w:rFonts w:ascii="Times New Roman" w:hAnsi="Times New Roman" w:eastAsia="宋体"/>
                <w:color w:val="000000" w:themeColor="text1"/>
                <w:kern w:val="0"/>
                <w:sz w:val="21"/>
                <w:szCs w:val="21"/>
                <w14:textFill>
                  <w14:solidFill>
                    <w14:schemeClr w14:val="tx1"/>
                  </w14:solidFill>
                </w14:textFill>
              </w:rPr>
              <w:t>-8</w:t>
            </w:r>
            <w:r>
              <w:rPr>
                <w:rFonts w:hint="eastAsia" w:ascii="等线" w:hAnsi="等线" w:eastAsia="等线"/>
                <w:color w:val="000000" w:themeColor="text1"/>
                <w:kern w:val="0"/>
                <w:sz w:val="21"/>
                <w:szCs w:val="21"/>
                <w14:textFill>
                  <w14:solidFill>
                    <w14:schemeClr w14:val="tx1"/>
                  </w14:solidFill>
                </w14:textFill>
              </w:rPr>
              <w:t>月</w:t>
            </w:r>
            <w:r>
              <w:rPr>
                <w:rFonts w:ascii="Times New Roman" w:hAnsi="Times New Roman" w:eastAsia="宋体"/>
                <w:color w:val="000000" w:themeColor="text1"/>
                <w:kern w:val="0"/>
                <w:sz w:val="21"/>
                <w:szCs w:val="21"/>
                <w14:textFill>
                  <w14:solidFill>
                    <w14:schemeClr w14:val="tx1"/>
                  </w14:solidFill>
                </w14:textFill>
              </w:rPr>
              <w:t>20</w:t>
            </w:r>
            <w:r>
              <w:rPr>
                <w:rFonts w:hint="eastAsia" w:ascii="等线" w:hAnsi="等线" w:eastAsia="等线"/>
                <w:color w:val="000000" w:themeColor="text1"/>
                <w:kern w:val="0"/>
                <w:sz w:val="21"/>
                <w:szCs w:val="21"/>
                <w14:textFill>
                  <w14:solidFill>
                    <w14:schemeClr w14:val="tx1"/>
                  </w14:solidFill>
                </w14:textFill>
              </w:rPr>
              <w:t>日</w:t>
            </w:r>
          </w:p>
          <w:p w14:paraId="4CEB6F5B">
            <w:pPr>
              <w:widowControl/>
              <w:spacing w:line="240" w:lineRule="auto"/>
              <w:ind w:firstLine="0" w:firstLineChars="0"/>
              <w:jc w:val="center"/>
              <w:rPr>
                <w:color w:val="000000" w:themeColor="text1"/>
                <w:sz w:val="24"/>
                <w:szCs w:val="24"/>
                <w14:textFill>
                  <w14:solidFill>
                    <w14:schemeClr w14:val="tx1"/>
                  </w14:solidFill>
                </w14:textFill>
              </w:rPr>
            </w:pPr>
            <w:r>
              <w:rPr>
                <w:rFonts w:hint="eastAsia" w:ascii="等线" w:hAnsi="等线" w:eastAsia="等线"/>
                <w:color w:val="000000" w:themeColor="text1"/>
                <w:kern w:val="0"/>
                <w:sz w:val="21"/>
                <w:szCs w:val="21"/>
                <w14:textFill>
                  <w14:solidFill>
                    <w14:schemeClr w14:val="tx1"/>
                  </w14:solidFill>
                </w14:textFill>
              </w:rPr>
              <w:t>平均降水量（毫米）</w:t>
            </w:r>
          </w:p>
        </w:tc>
        <w:tc>
          <w:tcPr>
            <w:tcW w:w="2557" w:type="dxa"/>
            <w:tcBorders>
              <w:top w:val="single" w:color="auto" w:sz="8" w:space="0"/>
              <w:left w:val="nil"/>
              <w:bottom w:val="single" w:color="auto" w:sz="8" w:space="0"/>
              <w:right w:val="single" w:color="auto" w:sz="8" w:space="0"/>
            </w:tcBorders>
            <w:shd w:val="clear" w:color="000000" w:fill="FFFFFF"/>
            <w:vAlign w:val="center"/>
          </w:tcPr>
          <w:p w14:paraId="503B998E">
            <w:pPr>
              <w:widowControl/>
              <w:spacing w:line="240" w:lineRule="auto"/>
              <w:ind w:firstLine="0" w:firstLineChars="0"/>
              <w:jc w:val="center"/>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每亩赔偿金额</w:t>
            </w:r>
          </w:p>
          <w:p w14:paraId="62DF88B3">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w:t>
            </w:r>
            <w:r>
              <w:rPr>
                <w:rFonts w:ascii="Times New Roman" w:hAnsi="Times New Roman" w:eastAsia="宋体"/>
                <w:color w:val="000000" w:themeColor="text1"/>
                <w:kern w:val="0"/>
                <w:sz w:val="21"/>
                <w:szCs w:val="21"/>
                <w14:textFill>
                  <w14:solidFill>
                    <w14:schemeClr w14:val="tx1"/>
                  </w14:solidFill>
                </w14:textFill>
              </w:rPr>
              <w:t>2000</w:t>
            </w:r>
            <w:r>
              <w:rPr>
                <w:rFonts w:hint="eastAsia" w:ascii="宋体" w:hAnsi="宋体" w:eastAsia="宋体"/>
                <w:color w:val="000000" w:themeColor="text1"/>
                <w:kern w:val="0"/>
                <w:sz w:val="21"/>
                <w:szCs w:val="21"/>
                <w14:textFill>
                  <w14:solidFill>
                    <w14:schemeClr w14:val="tx1"/>
                  </w14:solidFill>
                </w14:textFill>
              </w:rPr>
              <w:t>元保额）</w:t>
            </w:r>
          </w:p>
        </w:tc>
      </w:tr>
      <w:tr w14:paraId="73F24822">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5529FE97">
            <w:pPr>
              <w:widowControl/>
              <w:spacing w:line="240" w:lineRule="auto"/>
              <w:ind w:firstLine="0" w:firstLineChars="0"/>
              <w:jc w:val="center"/>
              <w:rPr>
                <w:color w:val="000000" w:themeColor="text1"/>
                <w:sz w:val="24"/>
                <w:szCs w:val="24"/>
                <w14:textFill>
                  <w14:solidFill>
                    <w14:schemeClr w14:val="tx1"/>
                  </w14:solidFill>
                </w14:textFill>
              </w:rPr>
            </w:pPr>
            <w:r>
              <w:rPr>
                <w:rFonts w:hint="eastAsia" w:ascii="等线" w:hAnsi="等线" w:eastAsia="等线" w:cs="宋体"/>
                <w:color w:val="000000" w:themeColor="text1"/>
                <w:kern w:val="0"/>
                <w:sz w:val="21"/>
                <w:szCs w:val="21"/>
                <w14:textFill>
                  <w14:solidFill>
                    <w14:schemeClr w14:val="tx1"/>
                  </w14:solidFill>
                </w14:textFill>
              </w:rPr>
              <w:t>＜</w:t>
            </w:r>
            <w:r>
              <w:rPr>
                <w:rFonts w:ascii="Times New Roman" w:hAnsi="Times New Roman" w:eastAsia="等线"/>
                <w:color w:val="000000" w:themeColor="text1"/>
                <w:kern w:val="0"/>
                <w:sz w:val="21"/>
                <w:szCs w:val="21"/>
                <w14:textFill>
                  <w14:solidFill>
                    <w14:schemeClr w14:val="tx1"/>
                  </w14:solidFill>
                </w14:textFill>
              </w:rPr>
              <w:t>10</w:t>
            </w:r>
          </w:p>
        </w:tc>
        <w:tc>
          <w:tcPr>
            <w:tcW w:w="3058" w:type="dxa"/>
            <w:tcBorders>
              <w:top w:val="nil"/>
              <w:left w:val="single" w:color="auto" w:sz="8" w:space="0"/>
              <w:bottom w:val="single" w:color="auto" w:sz="8" w:space="0"/>
              <w:right w:val="single" w:color="auto" w:sz="8" w:space="0"/>
            </w:tcBorders>
            <w:shd w:val="clear" w:color="000000" w:fill="FFFFFF"/>
            <w:vAlign w:val="center"/>
          </w:tcPr>
          <w:p w14:paraId="4092C100">
            <w:pPr>
              <w:widowControl/>
              <w:spacing w:line="240" w:lineRule="auto"/>
              <w:ind w:firstLine="0" w:firstLineChars="0"/>
              <w:jc w:val="center"/>
              <w:rPr>
                <w:color w:val="000000" w:themeColor="text1"/>
                <w:sz w:val="24"/>
                <w:szCs w:val="24"/>
                <w14:textFill>
                  <w14:solidFill>
                    <w14:schemeClr w14:val="tx1"/>
                  </w14:solidFill>
                </w14:textFill>
              </w:rPr>
            </w:pPr>
            <w:r>
              <w:rPr>
                <w:rFonts w:hint="eastAsia" w:ascii="等线" w:hAnsi="等线" w:eastAsia="等线" w:cs="宋体"/>
                <w:color w:val="000000" w:themeColor="text1"/>
                <w:kern w:val="0"/>
                <w:sz w:val="21"/>
                <w:szCs w:val="21"/>
                <w14:textFill>
                  <w14:solidFill>
                    <w14:schemeClr w14:val="tx1"/>
                  </w14:solidFill>
                </w14:textFill>
              </w:rPr>
              <w:t>＞</w:t>
            </w:r>
            <w:r>
              <w:rPr>
                <w:rFonts w:ascii="Times New Roman" w:hAnsi="Times New Roman" w:eastAsia="等线"/>
                <w:color w:val="000000" w:themeColor="text1"/>
                <w:kern w:val="0"/>
                <w:sz w:val="21"/>
                <w:szCs w:val="21"/>
                <w14:textFill>
                  <w14:solidFill>
                    <w14:schemeClr w14:val="tx1"/>
                  </w14:solidFill>
                </w14:textFill>
              </w:rPr>
              <w:t>3.0</w:t>
            </w:r>
          </w:p>
        </w:tc>
        <w:tc>
          <w:tcPr>
            <w:tcW w:w="2557" w:type="dxa"/>
            <w:tcBorders>
              <w:top w:val="nil"/>
              <w:left w:val="nil"/>
              <w:bottom w:val="single" w:color="auto" w:sz="8" w:space="0"/>
              <w:right w:val="single" w:color="auto" w:sz="8" w:space="0"/>
            </w:tcBorders>
            <w:shd w:val="clear" w:color="000000" w:fill="FFFFFF"/>
            <w:vAlign w:val="center"/>
          </w:tcPr>
          <w:p w14:paraId="18F97185">
            <w:pPr>
              <w:widowControl/>
              <w:spacing w:line="240" w:lineRule="auto"/>
              <w:ind w:firstLine="0" w:firstLineChars="0"/>
              <w:jc w:val="center"/>
              <w:rPr>
                <w:rFonts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0</w:t>
            </w:r>
          </w:p>
        </w:tc>
      </w:tr>
      <w:tr w14:paraId="6E693B03">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7424EB82">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[10-13]</w:t>
            </w:r>
          </w:p>
        </w:tc>
        <w:tc>
          <w:tcPr>
            <w:tcW w:w="3058" w:type="dxa"/>
            <w:tcBorders>
              <w:top w:val="nil"/>
              <w:left w:val="single" w:color="auto" w:sz="8" w:space="0"/>
              <w:bottom w:val="single" w:color="auto" w:sz="8" w:space="0"/>
              <w:right w:val="single" w:color="auto" w:sz="8" w:space="0"/>
            </w:tcBorders>
            <w:shd w:val="clear" w:color="000000" w:fill="FFFFFF"/>
            <w:vAlign w:val="center"/>
          </w:tcPr>
          <w:p w14:paraId="7528DB29">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[3.0-2.5]</w:t>
            </w:r>
          </w:p>
        </w:tc>
        <w:tc>
          <w:tcPr>
            <w:tcW w:w="2557" w:type="dxa"/>
            <w:tcBorders>
              <w:top w:val="nil"/>
              <w:left w:val="nil"/>
              <w:bottom w:val="single" w:color="auto" w:sz="8" w:space="0"/>
              <w:right w:val="single" w:color="auto" w:sz="8" w:space="0"/>
            </w:tcBorders>
            <w:shd w:val="clear" w:color="000000" w:fill="FFFFFF"/>
            <w:vAlign w:val="center"/>
          </w:tcPr>
          <w:p w14:paraId="7C445592">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100</w:t>
            </w:r>
          </w:p>
        </w:tc>
      </w:tr>
      <w:tr w14:paraId="2EA909E3">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2DE5AB87">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14</w:t>
            </w:r>
          </w:p>
        </w:tc>
        <w:tc>
          <w:tcPr>
            <w:tcW w:w="3058" w:type="dxa"/>
            <w:tcBorders>
              <w:top w:val="nil"/>
              <w:left w:val="single" w:color="auto" w:sz="8" w:space="0"/>
              <w:bottom w:val="single" w:color="auto" w:sz="8" w:space="0"/>
              <w:right w:val="single" w:color="auto" w:sz="8" w:space="0"/>
            </w:tcBorders>
            <w:shd w:val="clear" w:color="000000" w:fill="FFFFFF"/>
            <w:vAlign w:val="center"/>
          </w:tcPr>
          <w:p w14:paraId="7002A98B">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[2.4-2.3]</w:t>
            </w:r>
          </w:p>
        </w:tc>
        <w:tc>
          <w:tcPr>
            <w:tcW w:w="2557" w:type="dxa"/>
            <w:tcBorders>
              <w:top w:val="nil"/>
              <w:left w:val="nil"/>
              <w:bottom w:val="single" w:color="auto" w:sz="8" w:space="0"/>
              <w:right w:val="single" w:color="auto" w:sz="8" w:space="0"/>
            </w:tcBorders>
            <w:shd w:val="clear" w:color="000000" w:fill="FFFFFF"/>
            <w:vAlign w:val="center"/>
          </w:tcPr>
          <w:p w14:paraId="44D60AB7">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200</w:t>
            </w:r>
          </w:p>
        </w:tc>
      </w:tr>
      <w:tr w14:paraId="6E739635">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0CE547D7">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15</w:t>
            </w:r>
          </w:p>
        </w:tc>
        <w:tc>
          <w:tcPr>
            <w:tcW w:w="3058" w:type="dxa"/>
            <w:tcBorders>
              <w:top w:val="nil"/>
              <w:left w:val="single" w:color="auto" w:sz="8" w:space="0"/>
              <w:bottom w:val="single" w:color="auto" w:sz="8" w:space="0"/>
              <w:right w:val="single" w:color="auto" w:sz="8" w:space="0"/>
            </w:tcBorders>
            <w:shd w:val="clear" w:color="000000" w:fill="FFFFFF"/>
            <w:vAlign w:val="center"/>
          </w:tcPr>
          <w:p w14:paraId="29EE3F01">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[2.2-2.1]</w:t>
            </w:r>
          </w:p>
        </w:tc>
        <w:tc>
          <w:tcPr>
            <w:tcW w:w="2557" w:type="dxa"/>
            <w:tcBorders>
              <w:top w:val="nil"/>
              <w:left w:val="nil"/>
              <w:bottom w:val="single" w:color="auto" w:sz="8" w:space="0"/>
              <w:right w:val="single" w:color="auto" w:sz="8" w:space="0"/>
            </w:tcBorders>
            <w:shd w:val="clear" w:color="000000" w:fill="FFFFFF"/>
            <w:vAlign w:val="center"/>
          </w:tcPr>
          <w:p w14:paraId="7E981677">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300</w:t>
            </w:r>
          </w:p>
        </w:tc>
      </w:tr>
      <w:tr w14:paraId="0DE8CA1D">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0712E9F8">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16</w:t>
            </w:r>
          </w:p>
        </w:tc>
        <w:tc>
          <w:tcPr>
            <w:tcW w:w="3058" w:type="dxa"/>
            <w:tcBorders>
              <w:top w:val="nil"/>
              <w:left w:val="single" w:color="auto" w:sz="8" w:space="0"/>
              <w:bottom w:val="single" w:color="auto" w:sz="8" w:space="0"/>
              <w:right w:val="single" w:color="auto" w:sz="8" w:space="0"/>
            </w:tcBorders>
            <w:shd w:val="clear" w:color="000000" w:fill="FFFFFF"/>
            <w:vAlign w:val="center"/>
          </w:tcPr>
          <w:p w14:paraId="28E7BEB7">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[2.0-1.9]</w:t>
            </w:r>
          </w:p>
        </w:tc>
        <w:tc>
          <w:tcPr>
            <w:tcW w:w="2557" w:type="dxa"/>
            <w:tcBorders>
              <w:top w:val="nil"/>
              <w:left w:val="nil"/>
              <w:bottom w:val="single" w:color="auto" w:sz="8" w:space="0"/>
              <w:right w:val="single" w:color="auto" w:sz="8" w:space="0"/>
            </w:tcBorders>
            <w:shd w:val="clear" w:color="000000" w:fill="FFFFFF"/>
            <w:vAlign w:val="center"/>
          </w:tcPr>
          <w:p w14:paraId="09998990">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400</w:t>
            </w:r>
          </w:p>
        </w:tc>
      </w:tr>
      <w:tr w14:paraId="7CCE9CE9">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7D4B7AA0">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[17-18]</w:t>
            </w:r>
          </w:p>
        </w:tc>
        <w:tc>
          <w:tcPr>
            <w:tcW w:w="3058" w:type="dxa"/>
            <w:tcBorders>
              <w:top w:val="nil"/>
              <w:left w:val="single" w:color="auto" w:sz="8" w:space="0"/>
              <w:bottom w:val="single" w:color="auto" w:sz="8" w:space="0"/>
              <w:right w:val="single" w:color="auto" w:sz="8" w:space="0"/>
            </w:tcBorders>
            <w:shd w:val="clear" w:color="000000" w:fill="FFFFFF"/>
            <w:vAlign w:val="center"/>
          </w:tcPr>
          <w:p w14:paraId="11CAC81A">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[1.8-1.7]</w:t>
            </w:r>
          </w:p>
        </w:tc>
        <w:tc>
          <w:tcPr>
            <w:tcW w:w="2557" w:type="dxa"/>
            <w:tcBorders>
              <w:top w:val="nil"/>
              <w:left w:val="nil"/>
              <w:bottom w:val="single" w:color="auto" w:sz="8" w:space="0"/>
              <w:right w:val="single" w:color="auto" w:sz="8" w:space="0"/>
            </w:tcBorders>
            <w:shd w:val="clear" w:color="000000" w:fill="FFFFFF"/>
            <w:vAlign w:val="center"/>
          </w:tcPr>
          <w:p w14:paraId="52789739">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500</w:t>
            </w:r>
          </w:p>
        </w:tc>
      </w:tr>
      <w:tr w14:paraId="64408EB5">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39AA5851">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[19-20]</w:t>
            </w:r>
          </w:p>
        </w:tc>
        <w:tc>
          <w:tcPr>
            <w:tcW w:w="3058" w:type="dxa"/>
            <w:tcBorders>
              <w:top w:val="nil"/>
              <w:left w:val="single" w:color="auto" w:sz="8" w:space="0"/>
              <w:bottom w:val="single" w:color="auto" w:sz="8" w:space="0"/>
              <w:right w:val="single" w:color="auto" w:sz="8" w:space="0"/>
            </w:tcBorders>
            <w:shd w:val="clear" w:color="000000" w:fill="FFFFFF"/>
            <w:vAlign w:val="center"/>
          </w:tcPr>
          <w:p w14:paraId="34D96610">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[1.6-1.5]</w:t>
            </w:r>
          </w:p>
        </w:tc>
        <w:tc>
          <w:tcPr>
            <w:tcW w:w="2557" w:type="dxa"/>
            <w:tcBorders>
              <w:top w:val="nil"/>
              <w:left w:val="nil"/>
              <w:bottom w:val="single" w:color="auto" w:sz="8" w:space="0"/>
              <w:right w:val="single" w:color="auto" w:sz="8" w:space="0"/>
            </w:tcBorders>
            <w:shd w:val="clear" w:color="000000" w:fill="FFFFFF"/>
            <w:vAlign w:val="center"/>
          </w:tcPr>
          <w:p w14:paraId="22C83B40">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600</w:t>
            </w:r>
          </w:p>
        </w:tc>
      </w:tr>
      <w:tr w14:paraId="42D1CFDA">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5B35A3E1">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[21-22]</w:t>
            </w:r>
          </w:p>
        </w:tc>
        <w:tc>
          <w:tcPr>
            <w:tcW w:w="3058" w:type="dxa"/>
            <w:tcBorders>
              <w:top w:val="nil"/>
              <w:left w:val="single" w:color="auto" w:sz="8" w:space="0"/>
              <w:bottom w:val="single" w:color="auto" w:sz="8" w:space="0"/>
              <w:right w:val="single" w:color="auto" w:sz="8" w:space="0"/>
            </w:tcBorders>
            <w:shd w:val="clear" w:color="000000" w:fill="FFFFFF"/>
            <w:vAlign w:val="center"/>
          </w:tcPr>
          <w:p w14:paraId="212A972A">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[1.4-1.1]</w:t>
            </w:r>
          </w:p>
        </w:tc>
        <w:tc>
          <w:tcPr>
            <w:tcW w:w="2557" w:type="dxa"/>
            <w:tcBorders>
              <w:top w:val="nil"/>
              <w:left w:val="nil"/>
              <w:bottom w:val="single" w:color="auto" w:sz="8" w:space="0"/>
              <w:right w:val="single" w:color="auto" w:sz="8" w:space="0"/>
            </w:tcBorders>
            <w:shd w:val="clear" w:color="000000" w:fill="FFFFFF"/>
            <w:vAlign w:val="center"/>
          </w:tcPr>
          <w:p w14:paraId="32BC86C0">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800</w:t>
            </w:r>
          </w:p>
        </w:tc>
      </w:tr>
      <w:tr w14:paraId="2DB6B036">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7C34FBF6">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[23-24]</w:t>
            </w:r>
          </w:p>
        </w:tc>
        <w:tc>
          <w:tcPr>
            <w:tcW w:w="3058" w:type="dxa"/>
            <w:tcBorders>
              <w:top w:val="nil"/>
              <w:left w:val="single" w:color="auto" w:sz="8" w:space="0"/>
              <w:bottom w:val="single" w:color="auto" w:sz="8" w:space="0"/>
              <w:right w:val="single" w:color="auto" w:sz="8" w:space="0"/>
            </w:tcBorders>
            <w:shd w:val="clear" w:color="000000" w:fill="FFFFFF"/>
            <w:vAlign w:val="center"/>
          </w:tcPr>
          <w:p w14:paraId="69D8981C">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[1.0-0.9]</w:t>
            </w:r>
          </w:p>
        </w:tc>
        <w:tc>
          <w:tcPr>
            <w:tcW w:w="2557" w:type="dxa"/>
            <w:tcBorders>
              <w:top w:val="nil"/>
              <w:left w:val="nil"/>
              <w:bottom w:val="single" w:color="auto" w:sz="8" w:space="0"/>
              <w:right w:val="single" w:color="auto" w:sz="8" w:space="0"/>
            </w:tcBorders>
            <w:shd w:val="clear" w:color="000000" w:fill="FFFFFF"/>
            <w:vAlign w:val="center"/>
          </w:tcPr>
          <w:p w14:paraId="330481CA">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1000</w:t>
            </w:r>
          </w:p>
        </w:tc>
      </w:tr>
      <w:tr w14:paraId="3DA85FFA">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787B747A">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[25-28]</w:t>
            </w:r>
          </w:p>
        </w:tc>
        <w:tc>
          <w:tcPr>
            <w:tcW w:w="3058" w:type="dxa"/>
            <w:tcBorders>
              <w:top w:val="nil"/>
              <w:left w:val="single" w:color="auto" w:sz="8" w:space="0"/>
              <w:bottom w:val="single" w:color="auto" w:sz="8" w:space="0"/>
              <w:right w:val="single" w:color="auto" w:sz="8" w:space="0"/>
            </w:tcBorders>
            <w:shd w:val="clear" w:color="000000" w:fill="FFFFFF"/>
            <w:vAlign w:val="center"/>
          </w:tcPr>
          <w:p w14:paraId="143DB639">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[0.8-0.6]</w:t>
            </w:r>
          </w:p>
        </w:tc>
        <w:tc>
          <w:tcPr>
            <w:tcW w:w="2557" w:type="dxa"/>
            <w:tcBorders>
              <w:top w:val="nil"/>
              <w:left w:val="nil"/>
              <w:bottom w:val="single" w:color="auto" w:sz="8" w:space="0"/>
              <w:right w:val="single" w:color="auto" w:sz="8" w:space="0"/>
            </w:tcBorders>
            <w:shd w:val="clear" w:color="000000" w:fill="FFFFFF"/>
            <w:vAlign w:val="center"/>
          </w:tcPr>
          <w:p w14:paraId="7076CDBC">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1400</w:t>
            </w:r>
          </w:p>
        </w:tc>
      </w:tr>
      <w:tr w14:paraId="6F10970B">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01EF979F">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[29-30]</w:t>
            </w:r>
          </w:p>
        </w:tc>
        <w:tc>
          <w:tcPr>
            <w:tcW w:w="3058" w:type="dxa"/>
            <w:tcBorders>
              <w:top w:val="single" w:color="auto" w:sz="8" w:space="0"/>
              <w:left w:val="single" w:color="auto" w:sz="8" w:space="0"/>
              <w:bottom w:val="single" w:color="auto" w:sz="8" w:space="0"/>
              <w:right w:val="single" w:color="auto" w:sz="8" w:space="0"/>
            </w:tcBorders>
            <w:shd w:val="clear" w:color="000000" w:fill="FFFFFF"/>
            <w:vAlign w:val="center"/>
          </w:tcPr>
          <w:p w14:paraId="449037CE">
            <w:pPr>
              <w:widowControl/>
              <w:spacing w:line="240" w:lineRule="auto"/>
              <w:ind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[0.5-0.2]</w:t>
            </w:r>
          </w:p>
        </w:tc>
        <w:tc>
          <w:tcPr>
            <w:tcW w:w="2557" w:type="dxa"/>
            <w:tcBorders>
              <w:top w:val="single" w:color="auto" w:sz="8" w:space="0"/>
              <w:left w:val="single" w:color="auto" w:sz="8" w:space="0"/>
              <w:bottom w:val="single" w:color="auto" w:sz="8" w:space="0"/>
              <w:right w:val="single" w:color="auto" w:sz="8" w:space="0"/>
            </w:tcBorders>
            <w:shd w:val="clear" w:color="000000" w:fill="FFFFFF"/>
            <w:vAlign w:val="center"/>
          </w:tcPr>
          <w:p w14:paraId="4CD2EECF">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1700</w:t>
            </w:r>
          </w:p>
        </w:tc>
      </w:tr>
      <w:tr w14:paraId="7CF5FF04">
        <w:tblPrEx>
          <w:tblCellMar>
            <w:top w:w="0" w:type="dxa"/>
            <w:left w:w="108" w:type="dxa"/>
            <w:bottom w:w="0" w:type="dxa"/>
            <w:right w:w="108" w:type="dxa"/>
          </w:tblCellMar>
        </w:tblPrEx>
        <w:trPr>
          <w:trHeight w:val="446"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14:paraId="54C3705A">
            <w:pPr>
              <w:widowControl/>
              <w:spacing w:line="240" w:lineRule="auto"/>
              <w:ind w:firstLine="0" w:firstLineChars="0"/>
              <w:jc w:val="center"/>
              <w:rPr>
                <w:color w:val="000000" w:themeColor="text1"/>
                <w:sz w:val="24"/>
                <w:szCs w:val="24"/>
                <w14:textFill>
                  <w14:solidFill>
                    <w14:schemeClr w14:val="tx1"/>
                  </w14:solidFill>
                </w14:textFill>
              </w:rPr>
            </w:pPr>
            <w:r>
              <w:rPr>
                <w:rFonts w:hint="eastAsia" w:ascii="等线" w:hAnsi="等线" w:eastAsia="等线" w:cs="宋体"/>
                <w:color w:val="000000" w:themeColor="text1"/>
                <w:kern w:val="0"/>
                <w:sz w:val="21"/>
                <w:szCs w:val="21"/>
                <w14:textFill>
                  <w14:solidFill>
                    <w14:schemeClr w14:val="tx1"/>
                  </w14:solidFill>
                </w14:textFill>
              </w:rPr>
              <w:t>＞</w:t>
            </w:r>
            <w:r>
              <w:rPr>
                <w:rFonts w:ascii="Times New Roman" w:hAnsi="Times New Roman" w:eastAsia="等线"/>
                <w:color w:val="000000" w:themeColor="text1"/>
                <w:kern w:val="0"/>
                <w:sz w:val="21"/>
                <w:szCs w:val="21"/>
                <w14:textFill>
                  <w14:solidFill>
                    <w14:schemeClr w14:val="tx1"/>
                  </w14:solidFill>
                </w14:textFill>
              </w:rPr>
              <w:t>30</w:t>
            </w:r>
          </w:p>
        </w:tc>
        <w:tc>
          <w:tcPr>
            <w:tcW w:w="3058" w:type="dxa"/>
            <w:tcBorders>
              <w:top w:val="single" w:color="auto" w:sz="8" w:space="0"/>
              <w:left w:val="single" w:color="auto" w:sz="8" w:space="0"/>
              <w:bottom w:val="single" w:color="auto" w:sz="8" w:space="0"/>
              <w:right w:val="single" w:color="auto" w:sz="8" w:space="0"/>
            </w:tcBorders>
            <w:shd w:val="clear" w:color="000000" w:fill="FFFFFF"/>
            <w:vAlign w:val="center"/>
          </w:tcPr>
          <w:p w14:paraId="778917C8">
            <w:pPr>
              <w:widowControl/>
              <w:spacing w:line="240" w:lineRule="auto"/>
              <w:ind w:firstLine="0" w:firstLineChars="0"/>
              <w:jc w:val="center"/>
              <w:rPr>
                <w:color w:val="000000" w:themeColor="text1"/>
                <w:sz w:val="24"/>
                <w:szCs w:val="24"/>
                <w14:textFill>
                  <w14:solidFill>
                    <w14:schemeClr w14:val="tx1"/>
                  </w14:solidFill>
                </w14:textFill>
              </w:rPr>
            </w:pPr>
            <w:r>
              <w:rPr>
                <w:rFonts w:hint="eastAsia" w:ascii="等线" w:hAnsi="等线" w:eastAsia="等线" w:cs="宋体"/>
                <w:color w:val="000000" w:themeColor="text1"/>
                <w:kern w:val="0"/>
                <w:sz w:val="21"/>
                <w:szCs w:val="21"/>
                <w14:textFill>
                  <w14:solidFill>
                    <w14:schemeClr w14:val="tx1"/>
                  </w14:solidFill>
                </w14:textFill>
              </w:rPr>
              <w:t>＜</w:t>
            </w:r>
            <w:r>
              <w:rPr>
                <w:rFonts w:ascii="Times New Roman" w:hAnsi="Times New Roman" w:eastAsia="等线"/>
                <w:color w:val="000000" w:themeColor="text1"/>
                <w:kern w:val="0"/>
                <w:sz w:val="21"/>
                <w:szCs w:val="21"/>
                <w14:textFill>
                  <w14:solidFill>
                    <w14:schemeClr w14:val="tx1"/>
                  </w14:solidFill>
                </w14:textFill>
              </w:rPr>
              <w:t>0.2</w:t>
            </w:r>
          </w:p>
        </w:tc>
        <w:tc>
          <w:tcPr>
            <w:tcW w:w="2557" w:type="dxa"/>
            <w:tcBorders>
              <w:top w:val="single" w:color="auto" w:sz="8" w:space="0"/>
              <w:left w:val="nil"/>
              <w:bottom w:val="single" w:color="auto" w:sz="8" w:space="0"/>
              <w:right w:val="single" w:color="auto" w:sz="8" w:space="0"/>
            </w:tcBorders>
            <w:shd w:val="clear" w:color="000000" w:fill="FFFFFF"/>
            <w:vAlign w:val="center"/>
          </w:tcPr>
          <w:p w14:paraId="3D651D82">
            <w:pPr>
              <w:widowControl/>
              <w:spacing w:line="240" w:lineRule="auto"/>
              <w:ind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2000</w:t>
            </w:r>
          </w:p>
        </w:tc>
      </w:tr>
    </w:tbl>
    <w:p w14:paraId="10A38CF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附表备注说明：</w:t>
      </w:r>
    </w:p>
    <w:p w14:paraId="0CD2CF2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 ”为含，如[3.0-2.5]表示保险期间平均降雨量在2.5毫米（含）到3.0毫米（含）之间；</w:t>
      </w:r>
    </w:p>
    <w:p w14:paraId="2238686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在保险期间内，当发生高温或者干旱时，规定以相应赔付表中≥38℃高温日数或平均降雨量区间对应的赔偿金额作为临时理赔值，在6月1日至10月31日温度≥38℃的天数为19，表中对应600元为每亩临时理赔金额。在7月11日至8月20日平均降雨量为1.0，表中对应的1000元为每亩临时理赔金额，最终理赔时以保险期间结束后挑取各区间的最高一次理赔值1000元作为最终每亩赔偿金额。</w:t>
      </w:r>
    </w:p>
    <w:p w14:paraId="74474003">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约定测站</w:t>
      </w:r>
    </w:p>
    <w:tbl>
      <w:tblPr>
        <w:tblStyle w:val="9"/>
        <w:tblW w:w="8757" w:type="dxa"/>
        <w:tblInd w:w="113" w:type="dxa"/>
        <w:tblLayout w:type="fixed"/>
        <w:tblCellMar>
          <w:top w:w="0" w:type="dxa"/>
          <w:left w:w="108" w:type="dxa"/>
          <w:bottom w:w="0" w:type="dxa"/>
          <w:right w:w="108" w:type="dxa"/>
        </w:tblCellMar>
      </w:tblPr>
      <w:tblGrid>
        <w:gridCol w:w="1386"/>
        <w:gridCol w:w="1044"/>
        <w:gridCol w:w="1392"/>
        <w:gridCol w:w="2436"/>
        <w:gridCol w:w="2499"/>
      </w:tblGrid>
      <w:tr w14:paraId="7ACBBB70">
        <w:tblPrEx>
          <w:tblCellMar>
            <w:top w:w="0" w:type="dxa"/>
            <w:left w:w="108" w:type="dxa"/>
            <w:bottom w:w="0" w:type="dxa"/>
            <w:right w:w="108" w:type="dxa"/>
          </w:tblCellMar>
        </w:tblPrEx>
        <w:trPr>
          <w:trHeight w:val="300" w:hRule="atLeast"/>
        </w:trPr>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7C603">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区站号</w:t>
            </w:r>
          </w:p>
        </w:tc>
        <w:tc>
          <w:tcPr>
            <w:tcW w:w="1044" w:type="dxa"/>
            <w:tcBorders>
              <w:top w:val="single" w:color="auto" w:sz="4" w:space="0"/>
              <w:left w:val="nil"/>
              <w:bottom w:val="single" w:color="auto" w:sz="4" w:space="0"/>
              <w:right w:val="single" w:color="auto" w:sz="4" w:space="0"/>
            </w:tcBorders>
            <w:shd w:val="clear" w:color="auto" w:fill="auto"/>
            <w:noWrap/>
            <w:vAlign w:val="center"/>
          </w:tcPr>
          <w:p w14:paraId="7F14E17B">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站名</w:t>
            </w:r>
          </w:p>
        </w:tc>
        <w:tc>
          <w:tcPr>
            <w:tcW w:w="1392" w:type="dxa"/>
            <w:tcBorders>
              <w:top w:val="single" w:color="auto" w:sz="4" w:space="0"/>
              <w:left w:val="nil"/>
              <w:bottom w:val="single" w:color="auto" w:sz="4" w:space="0"/>
              <w:right w:val="single" w:color="auto" w:sz="4" w:space="0"/>
            </w:tcBorders>
            <w:shd w:val="clear" w:color="auto" w:fill="auto"/>
            <w:noWrap/>
            <w:vAlign w:val="center"/>
          </w:tcPr>
          <w:p w14:paraId="662DD382">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海拔（米）</w:t>
            </w:r>
          </w:p>
        </w:tc>
        <w:tc>
          <w:tcPr>
            <w:tcW w:w="2436" w:type="dxa"/>
            <w:tcBorders>
              <w:top w:val="single" w:color="auto" w:sz="4" w:space="0"/>
              <w:left w:val="nil"/>
              <w:bottom w:val="single" w:color="auto" w:sz="4" w:space="0"/>
              <w:right w:val="single" w:color="auto" w:sz="4" w:space="0"/>
            </w:tcBorders>
            <w:shd w:val="clear" w:color="auto" w:fill="auto"/>
            <w:noWrap/>
            <w:vAlign w:val="center"/>
          </w:tcPr>
          <w:p w14:paraId="6504EB75">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地址</w:t>
            </w:r>
          </w:p>
        </w:tc>
        <w:tc>
          <w:tcPr>
            <w:tcW w:w="2499" w:type="dxa"/>
            <w:tcBorders>
              <w:top w:val="single" w:color="auto" w:sz="4" w:space="0"/>
              <w:left w:val="nil"/>
              <w:bottom w:val="single" w:color="auto" w:sz="4" w:space="0"/>
              <w:right w:val="single" w:color="auto" w:sz="4" w:space="0"/>
            </w:tcBorders>
          </w:tcPr>
          <w:p w14:paraId="0D54706E">
            <w:pPr>
              <w:widowControl/>
              <w:jc w:val="center"/>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备份</w:t>
            </w:r>
            <w:r>
              <w:rPr>
                <w:rFonts w:hint="eastAsia" w:ascii="宋体" w:hAnsi="宋体" w:cs="宋体"/>
                <w:color w:val="000000" w:themeColor="text1"/>
                <w:kern w:val="0"/>
                <w:sz w:val="22"/>
                <w:lang w:eastAsia="zh-CN"/>
                <w14:textFill>
                  <w14:solidFill>
                    <w14:schemeClr w14:val="tx1"/>
                  </w14:solidFill>
                </w14:textFill>
              </w:rPr>
              <w:t>站</w:t>
            </w:r>
          </w:p>
        </w:tc>
      </w:tr>
      <w:tr w14:paraId="353D579D">
        <w:tblPrEx>
          <w:tblCellMar>
            <w:top w:w="0" w:type="dxa"/>
            <w:left w:w="108" w:type="dxa"/>
            <w:bottom w:w="0" w:type="dxa"/>
            <w:right w:w="108" w:type="dxa"/>
          </w:tblCellMar>
        </w:tblPrEx>
        <w:trPr>
          <w:trHeight w:val="318" w:hRule="atLeast"/>
        </w:trPr>
        <w:tc>
          <w:tcPr>
            <w:tcW w:w="1386" w:type="dxa"/>
            <w:tcBorders>
              <w:top w:val="nil"/>
              <w:left w:val="single" w:color="auto" w:sz="4" w:space="0"/>
              <w:bottom w:val="single" w:color="auto" w:sz="4" w:space="0"/>
              <w:right w:val="single" w:color="auto" w:sz="4" w:space="0"/>
            </w:tcBorders>
            <w:shd w:val="clear" w:color="auto" w:fill="auto"/>
            <w:noWrap/>
            <w:vAlign w:val="center"/>
          </w:tcPr>
          <w:p w14:paraId="434CF5A7">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58550</w:t>
            </w:r>
          </w:p>
        </w:tc>
        <w:tc>
          <w:tcPr>
            <w:tcW w:w="1044" w:type="dxa"/>
            <w:tcBorders>
              <w:top w:val="nil"/>
              <w:left w:val="nil"/>
              <w:bottom w:val="single" w:color="auto" w:sz="4" w:space="0"/>
              <w:right w:val="single" w:color="auto" w:sz="4" w:space="0"/>
            </w:tcBorders>
            <w:shd w:val="clear" w:color="auto" w:fill="auto"/>
            <w:noWrap/>
            <w:vAlign w:val="center"/>
          </w:tcPr>
          <w:p w14:paraId="6D95441E">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诸暨</w:t>
            </w:r>
          </w:p>
        </w:tc>
        <w:tc>
          <w:tcPr>
            <w:tcW w:w="1392" w:type="dxa"/>
            <w:tcBorders>
              <w:top w:val="nil"/>
              <w:left w:val="nil"/>
              <w:bottom w:val="single" w:color="auto" w:sz="4" w:space="0"/>
              <w:right w:val="single" w:color="auto" w:sz="4" w:space="0"/>
            </w:tcBorders>
            <w:shd w:val="clear" w:color="auto" w:fill="auto"/>
            <w:noWrap/>
            <w:vAlign w:val="center"/>
          </w:tcPr>
          <w:p w14:paraId="12B3E229">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39.1</w:t>
            </w:r>
          </w:p>
        </w:tc>
        <w:tc>
          <w:tcPr>
            <w:tcW w:w="2436" w:type="dxa"/>
            <w:tcBorders>
              <w:top w:val="nil"/>
              <w:left w:val="nil"/>
              <w:bottom w:val="single" w:color="auto" w:sz="4" w:space="0"/>
              <w:right w:val="single" w:color="auto" w:sz="4" w:space="0"/>
            </w:tcBorders>
            <w:shd w:val="clear" w:color="auto" w:fill="auto"/>
            <w:noWrap/>
            <w:vAlign w:val="center"/>
          </w:tcPr>
          <w:p w14:paraId="569AAE67">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暨阳街道</w:t>
            </w:r>
          </w:p>
        </w:tc>
        <w:tc>
          <w:tcPr>
            <w:tcW w:w="2499" w:type="dxa"/>
            <w:tcBorders>
              <w:top w:val="nil"/>
              <w:left w:val="nil"/>
              <w:bottom w:val="single" w:color="auto" w:sz="4" w:space="0"/>
              <w:right w:val="single" w:color="auto" w:sz="4" w:space="0"/>
            </w:tcBorders>
          </w:tcPr>
          <w:p w14:paraId="79BD37AF">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K4201</w:t>
            </w:r>
          </w:p>
        </w:tc>
      </w:tr>
    </w:tbl>
    <w:p w14:paraId="3FED41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（六）保险期间及诉讼有效期：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香榧保险期间为自承保之日起至当年10月31日止，具体以保险单载明的起讫时间为准。被保险人向保险人请求赔偿的诉讼时效期间为二年，自其知道或者应当知道保险事故发生之日起计算。</w:t>
      </w:r>
    </w:p>
    <w:p w14:paraId="710F6BB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（七）承保公司：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根据诸暨市农业农村局公开招标结果，诸暨市香榧高温干旱气象指数保险业务由XX公司承保，具体保险条款按备案条款为准。</w:t>
      </w:r>
    </w:p>
    <w:p w14:paraId="7C25C3DB">
      <w:pP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br w:type="page"/>
      </w:r>
    </w:p>
    <w:p w14:paraId="7A47DBD7">
      <w:pPr>
        <w:keepNext w:val="0"/>
        <w:keepLines w:val="0"/>
        <w:widowControl w:val="0"/>
        <w:suppressLineNumbers w:val="0"/>
        <w:adjustRightInd/>
        <w:spacing w:before="0" w:beforeAutospacing="0" w:after="0" w:afterAutospacing="0" w:line="240" w:lineRule="auto"/>
        <w:ind w:left="0" w:right="0"/>
        <w:jc w:val="cente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t>诸暨市农机具综合保险试点方案</w:t>
      </w:r>
    </w:p>
    <w:p w14:paraId="4C1F2F74">
      <w:pPr>
        <w:rPr>
          <w:rFonts w:hint="eastAsia"/>
          <w:color w:val="000000" w:themeColor="text1"/>
          <w:lang w:val="en-US"/>
          <w14:textFill>
            <w14:solidFill>
              <w14:schemeClr w14:val="tx1"/>
            </w14:solidFill>
          </w14:textFill>
        </w:rPr>
      </w:pPr>
    </w:p>
    <w:p w14:paraId="3682955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为贯彻落实《浙江省人民政府办公厅关于加快农业保险高质量发展的实施意见》（浙政办发〔2021〕47号）精神，推动我市农机政策性保险的应用推广，特制订诸暨市农机具综合保险试点方案。</w:t>
      </w:r>
    </w:p>
    <w:p w14:paraId="7CF276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一、工作</w:t>
      </w:r>
      <w:r>
        <w:rPr>
          <w:rFonts w:hint="eastAsia" w:ascii="黑体" w:hAnsi="黑体" w:eastAsia="黑体" w:cs="黑体"/>
          <w:color w:val="000000" w:themeColor="text1"/>
          <w:sz w:val="32"/>
          <w:szCs w:val="32"/>
          <w:lang w:eastAsia="zh-CN"/>
          <w14:textFill>
            <w14:solidFill>
              <w14:schemeClr w14:val="tx1"/>
            </w14:solidFill>
          </w14:textFill>
        </w:rPr>
        <w:t>目标</w:t>
      </w:r>
    </w:p>
    <w:p w14:paraId="36ADE1F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按照“政府引导、市场运作、农民自愿”的原则，切实抓好农业经济目标和主要农产品稳产保供，加快农业农村现代化先行，</w:t>
      </w:r>
    </w:p>
    <w:p w14:paraId="6973D60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实施机械强农。</w:t>
      </w:r>
    </w:p>
    <w:p w14:paraId="36C60E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二、参保方案</w:t>
      </w:r>
    </w:p>
    <w:p w14:paraId="67DB843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（一）保险对象：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诸暨市范围内农业性质使用7KW（包含）以上纯农田作业拖拉机、联合收割机、插秧机、烘干机、轨道运输机、植保机、植保无人机）及其它纯农田作业机械。</w:t>
      </w:r>
    </w:p>
    <w:p w14:paraId="0A430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（二）保险方案：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诸暨市财政保费补贴比例80%，农户自负20%。</w:t>
      </w:r>
    </w:p>
    <w:tbl>
      <w:tblPr>
        <w:tblStyle w:val="9"/>
        <w:tblW w:w="9986" w:type="dxa"/>
        <w:jc w:val="center"/>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Layout w:type="fixed"/>
        <w:tblCellMar>
          <w:top w:w="0" w:type="dxa"/>
          <w:left w:w="108" w:type="dxa"/>
          <w:bottom w:w="0" w:type="dxa"/>
          <w:right w:w="108" w:type="dxa"/>
        </w:tblCellMar>
      </w:tblPr>
      <w:tblGrid>
        <w:gridCol w:w="2514"/>
        <w:gridCol w:w="1761"/>
        <w:gridCol w:w="2675"/>
        <w:gridCol w:w="1518"/>
        <w:gridCol w:w="1518"/>
      </w:tblGrid>
      <w:tr w14:paraId="24333334">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635" w:hRule="atLeast"/>
          <w:jc w:val="center"/>
        </w:trPr>
        <w:tc>
          <w:tcPr>
            <w:tcW w:w="2514" w:type="dxa"/>
            <w:vMerge w:val="restart"/>
            <w:tcBorders>
              <w:tl2br w:val="nil"/>
              <w:tr2bl w:val="nil"/>
            </w:tcBorders>
            <w:noWrap/>
            <w:vAlign w:val="center"/>
          </w:tcPr>
          <w:p w14:paraId="0EA97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 xml:space="preserve">    机型种类</w:t>
            </w:r>
          </w:p>
        </w:tc>
        <w:tc>
          <w:tcPr>
            <w:tcW w:w="1761" w:type="dxa"/>
            <w:tcBorders>
              <w:tl2br w:val="nil"/>
              <w:tr2bl w:val="nil"/>
            </w:tcBorders>
            <w:noWrap/>
            <w:vAlign w:val="center"/>
          </w:tcPr>
          <w:p w14:paraId="485384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农业机械损失</w:t>
            </w:r>
          </w:p>
          <w:p w14:paraId="1B69A2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保险1</w:t>
            </w:r>
          </w:p>
        </w:tc>
        <w:tc>
          <w:tcPr>
            <w:tcW w:w="2675" w:type="dxa"/>
            <w:tcBorders>
              <w:tl2br w:val="nil"/>
              <w:tr2bl w:val="nil"/>
            </w:tcBorders>
            <w:noWrap/>
            <w:vAlign w:val="center"/>
          </w:tcPr>
          <w:p w14:paraId="04FF48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驾驶操作和随机辅助作业人员责任保险2</w:t>
            </w:r>
          </w:p>
        </w:tc>
        <w:tc>
          <w:tcPr>
            <w:tcW w:w="1518" w:type="dxa"/>
            <w:tcBorders>
              <w:tl2br w:val="nil"/>
              <w:tr2bl w:val="nil"/>
            </w:tcBorders>
            <w:noWrap/>
            <w:vAlign w:val="center"/>
          </w:tcPr>
          <w:p w14:paraId="35DB16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第三者责任</w:t>
            </w:r>
          </w:p>
          <w:p w14:paraId="16276E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保险3</w:t>
            </w:r>
          </w:p>
        </w:tc>
        <w:tc>
          <w:tcPr>
            <w:tcW w:w="1518" w:type="dxa"/>
            <w:vMerge w:val="restart"/>
            <w:tcBorders>
              <w:tl2br w:val="nil"/>
              <w:tr2bl w:val="nil"/>
            </w:tcBorders>
            <w:noWrap/>
            <w:vAlign w:val="center"/>
          </w:tcPr>
          <w:p w14:paraId="72CC6C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0"/>
                <w:szCs w:val="20"/>
                <w:highlight w:val="none"/>
                <w:u w:val="none"/>
                <w:lang w:val="en-US" w:eastAsia="zh-CN" w:bidi="ar"/>
                <w14:textFill>
                  <w14:solidFill>
                    <w14:schemeClr w14:val="tx1"/>
                  </w14:solidFill>
                </w14:textFill>
              </w:rPr>
              <w:t>保费（元）</w:t>
            </w:r>
          </w:p>
        </w:tc>
      </w:tr>
      <w:tr w14:paraId="5DFA239B">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634" w:hRule="atLeast"/>
          <w:jc w:val="center"/>
        </w:trPr>
        <w:tc>
          <w:tcPr>
            <w:tcW w:w="2514" w:type="dxa"/>
            <w:vMerge w:val="continue"/>
            <w:tcBorders>
              <w:tl2br w:val="nil"/>
              <w:tr2bl w:val="nil"/>
            </w:tcBorders>
            <w:noWrap/>
            <w:vAlign w:val="center"/>
          </w:tcPr>
          <w:p w14:paraId="26E418BB">
            <w:pPr>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61" w:type="dxa"/>
            <w:tcBorders>
              <w:tl2br w:val="nil"/>
              <w:tr2bl w:val="nil"/>
            </w:tcBorders>
            <w:noWrap w:val="0"/>
            <w:vAlign w:val="center"/>
          </w:tcPr>
          <w:p w14:paraId="729C7F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保险金额</w:t>
            </w:r>
          </w:p>
        </w:tc>
        <w:tc>
          <w:tcPr>
            <w:tcW w:w="2675" w:type="dxa"/>
            <w:tcBorders>
              <w:tl2br w:val="nil"/>
              <w:tr2bl w:val="nil"/>
            </w:tcBorders>
            <w:noWrap/>
            <w:vAlign w:val="center"/>
          </w:tcPr>
          <w:p w14:paraId="04A3D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保险金额（元）</w:t>
            </w:r>
          </w:p>
        </w:tc>
        <w:tc>
          <w:tcPr>
            <w:tcW w:w="1518" w:type="dxa"/>
            <w:tcBorders>
              <w:tl2br w:val="nil"/>
              <w:tr2bl w:val="nil"/>
            </w:tcBorders>
            <w:noWrap/>
            <w:vAlign w:val="center"/>
          </w:tcPr>
          <w:p w14:paraId="27E7D6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保险金额（元）</w:t>
            </w:r>
          </w:p>
        </w:tc>
        <w:tc>
          <w:tcPr>
            <w:tcW w:w="1518" w:type="dxa"/>
            <w:vMerge w:val="continue"/>
            <w:tcBorders>
              <w:tl2br w:val="nil"/>
              <w:tr2bl w:val="nil"/>
            </w:tcBorders>
            <w:noWrap/>
            <w:vAlign w:val="center"/>
          </w:tcPr>
          <w:p w14:paraId="2AEAC3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BBEB7D5">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28" w:hRule="atLeast"/>
          <w:jc w:val="center"/>
        </w:trPr>
        <w:tc>
          <w:tcPr>
            <w:tcW w:w="2514" w:type="dxa"/>
            <w:tcBorders>
              <w:tl2br w:val="nil"/>
              <w:tr2bl w:val="nil"/>
            </w:tcBorders>
            <w:noWrap w:val="0"/>
            <w:vAlign w:val="center"/>
          </w:tcPr>
          <w:p w14:paraId="1F312B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农用型拖拉机（＜14.7kw）</w:t>
            </w:r>
          </w:p>
        </w:tc>
        <w:tc>
          <w:tcPr>
            <w:tcW w:w="1761" w:type="dxa"/>
            <w:tcBorders>
              <w:tl2br w:val="nil"/>
              <w:tr2bl w:val="nil"/>
            </w:tcBorders>
            <w:noWrap w:val="0"/>
            <w:vAlign w:val="center"/>
          </w:tcPr>
          <w:p w14:paraId="442C0B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3万元</w:t>
            </w:r>
          </w:p>
        </w:tc>
        <w:tc>
          <w:tcPr>
            <w:tcW w:w="2675" w:type="dxa"/>
            <w:vMerge w:val="restart"/>
            <w:tcBorders>
              <w:tl2br w:val="nil"/>
              <w:tr2bl w:val="nil"/>
            </w:tcBorders>
            <w:noWrap w:val="0"/>
            <w:vAlign w:val="center"/>
          </w:tcPr>
          <w:p w14:paraId="17D0A9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死亡伤残20万，医疗费用2万</w:t>
            </w:r>
          </w:p>
        </w:tc>
        <w:tc>
          <w:tcPr>
            <w:tcW w:w="1518" w:type="dxa"/>
            <w:vMerge w:val="restart"/>
            <w:tcBorders>
              <w:tl2br w:val="nil"/>
              <w:tr2bl w:val="nil"/>
            </w:tcBorders>
            <w:noWrap w:val="0"/>
            <w:vAlign w:val="center"/>
          </w:tcPr>
          <w:p w14:paraId="5D7388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死亡伤残20万，医疗费用2万，财产损失2万</w:t>
            </w:r>
          </w:p>
        </w:tc>
        <w:tc>
          <w:tcPr>
            <w:tcW w:w="1518" w:type="dxa"/>
            <w:tcBorders>
              <w:tl2br w:val="nil"/>
              <w:tr2bl w:val="nil"/>
            </w:tcBorders>
            <w:noWrap w:val="0"/>
            <w:vAlign w:val="center"/>
          </w:tcPr>
          <w:p w14:paraId="599CD2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784</w:t>
            </w:r>
          </w:p>
        </w:tc>
      </w:tr>
      <w:tr w14:paraId="26D24E9E">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2514" w:type="dxa"/>
            <w:tcBorders>
              <w:tl2br w:val="nil"/>
              <w:tr2bl w:val="nil"/>
            </w:tcBorders>
            <w:noWrap w:val="0"/>
            <w:vAlign w:val="center"/>
          </w:tcPr>
          <w:p w14:paraId="28A2CD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履带自走式耕作机                履带自走式打捆机            自走式喷杆喷雾机            农用型拖拉机（≥14.7kw）</w:t>
            </w:r>
          </w:p>
        </w:tc>
        <w:tc>
          <w:tcPr>
            <w:tcW w:w="1761" w:type="dxa"/>
            <w:tcBorders>
              <w:tl2br w:val="nil"/>
              <w:tr2bl w:val="nil"/>
            </w:tcBorders>
            <w:noWrap w:val="0"/>
            <w:vAlign w:val="center"/>
          </w:tcPr>
          <w:p w14:paraId="2A1CC2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7.5万元</w:t>
            </w:r>
          </w:p>
        </w:tc>
        <w:tc>
          <w:tcPr>
            <w:tcW w:w="2675" w:type="dxa"/>
            <w:vMerge w:val="continue"/>
            <w:tcBorders>
              <w:tl2br w:val="nil"/>
              <w:tr2bl w:val="nil"/>
            </w:tcBorders>
            <w:noWrap w:val="0"/>
            <w:vAlign w:val="center"/>
          </w:tcPr>
          <w:p w14:paraId="18C206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vMerge w:val="continue"/>
            <w:tcBorders>
              <w:tl2br w:val="nil"/>
              <w:tr2bl w:val="nil"/>
            </w:tcBorders>
            <w:noWrap w:val="0"/>
            <w:vAlign w:val="center"/>
          </w:tcPr>
          <w:p w14:paraId="3D64B0A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0"/>
            <w:vAlign w:val="center"/>
          </w:tcPr>
          <w:p w14:paraId="184E66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856</w:t>
            </w:r>
          </w:p>
        </w:tc>
      </w:tr>
      <w:tr w14:paraId="3928EB69">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28" w:hRule="atLeast"/>
          <w:jc w:val="center"/>
        </w:trPr>
        <w:tc>
          <w:tcPr>
            <w:tcW w:w="2514" w:type="dxa"/>
            <w:tcBorders>
              <w:tl2br w:val="nil"/>
              <w:tr2bl w:val="nil"/>
            </w:tcBorders>
            <w:noWrap w:val="0"/>
            <w:vAlign w:val="center"/>
          </w:tcPr>
          <w:p w14:paraId="01350F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联合收割机（全喂入）</w:t>
            </w:r>
          </w:p>
        </w:tc>
        <w:tc>
          <w:tcPr>
            <w:tcW w:w="1761" w:type="dxa"/>
            <w:tcBorders>
              <w:tl2br w:val="nil"/>
              <w:tr2bl w:val="nil"/>
            </w:tcBorders>
            <w:noWrap w:val="0"/>
            <w:vAlign w:val="center"/>
          </w:tcPr>
          <w:p w14:paraId="1AB439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6万元</w:t>
            </w:r>
          </w:p>
        </w:tc>
        <w:tc>
          <w:tcPr>
            <w:tcW w:w="2675" w:type="dxa"/>
            <w:vMerge w:val="continue"/>
            <w:tcBorders>
              <w:tl2br w:val="nil"/>
              <w:tr2bl w:val="nil"/>
            </w:tcBorders>
            <w:noWrap w:val="0"/>
            <w:vAlign w:val="center"/>
          </w:tcPr>
          <w:p w14:paraId="5ECE051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vMerge w:val="continue"/>
            <w:tcBorders>
              <w:tl2br w:val="nil"/>
              <w:tr2bl w:val="nil"/>
            </w:tcBorders>
            <w:noWrap w:val="0"/>
            <w:vAlign w:val="center"/>
          </w:tcPr>
          <w:p w14:paraId="129946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0"/>
            <w:vAlign w:val="center"/>
          </w:tcPr>
          <w:p w14:paraId="31255F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832</w:t>
            </w:r>
          </w:p>
        </w:tc>
      </w:tr>
      <w:tr w14:paraId="792CA0A0">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164" w:hRule="atLeast"/>
          <w:jc w:val="center"/>
        </w:trPr>
        <w:tc>
          <w:tcPr>
            <w:tcW w:w="2514" w:type="dxa"/>
            <w:tcBorders>
              <w:tl2br w:val="nil"/>
              <w:tr2bl w:val="nil"/>
            </w:tcBorders>
            <w:noWrap w:val="0"/>
            <w:vAlign w:val="center"/>
          </w:tcPr>
          <w:p w14:paraId="037BA5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联合收割机（半喂入）</w:t>
            </w:r>
          </w:p>
        </w:tc>
        <w:tc>
          <w:tcPr>
            <w:tcW w:w="1761" w:type="dxa"/>
            <w:tcBorders>
              <w:tl2br w:val="nil"/>
              <w:tr2bl w:val="nil"/>
            </w:tcBorders>
            <w:noWrap w:val="0"/>
            <w:vAlign w:val="center"/>
          </w:tcPr>
          <w:p w14:paraId="1E74CF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13万元</w:t>
            </w:r>
          </w:p>
        </w:tc>
        <w:tc>
          <w:tcPr>
            <w:tcW w:w="2675" w:type="dxa"/>
            <w:vMerge w:val="continue"/>
            <w:tcBorders>
              <w:tl2br w:val="nil"/>
              <w:tr2bl w:val="nil"/>
            </w:tcBorders>
            <w:noWrap w:val="0"/>
            <w:vAlign w:val="center"/>
          </w:tcPr>
          <w:p w14:paraId="25177A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vMerge w:val="continue"/>
            <w:tcBorders>
              <w:tl2br w:val="nil"/>
              <w:tr2bl w:val="nil"/>
            </w:tcBorders>
            <w:noWrap w:val="0"/>
            <w:vAlign w:val="center"/>
          </w:tcPr>
          <w:p w14:paraId="427CE7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0"/>
            <w:vAlign w:val="center"/>
          </w:tcPr>
          <w:p w14:paraId="19E3EA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944</w:t>
            </w:r>
          </w:p>
        </w:tc>
      </w:tr>
      <w:tr w14:paraId="1A4534C7">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14" w:hRule="atLeast"/>
          <w:jc w:val="center"/>
        </w:trPr>
        <w:tc>
          <w:tcPr>
            <w:tcW w:w="2514" w:type="dxa"/>
            <w:tcBorders>
              <w:tl2br w:val="nil"/>
              <w:tr2bl w:val="nil"/>
            </w:tcBorders>
            <w:noWrap w:val="0"/>
            <w:vAlign w:val="center"/>
          </w:tcPr>
          <w:p w14:paraId="1E76EB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插秧机(四轮乘坐式）</w:t>
            </w:r>
          </w:p>
        </w:tc>
        <w:tc>
          <w:tcPr>
            <w:tcW w:w="1761" w:type="dxa"/>
            <w:tcBorders>
              <w:tl2br w:val="nil"/>
              <w:tr2bl w:val="nil"/>
            </w:tcBorders>
            <w:noWrap w:val="0"/>
            <w:vAlign w:val="center"/>
          </w:tcPr>
          <w:p w14:paraId="2BA2AB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8万元</w:t>
            </w:r>
          </w:p>
        </w:tc>
        <w:tc>
          <w:tcPr>
            <w:tcW w:w="2675" w:type="dxa"/>
            <w:vMerge w:val="continue"/>
            <w:tcBorders>
              <w:tl2br w:val="nil"/>
              <w:tr2bl w:val="nil"/>
            </w:tcBorders>
            <w:noWrap w:val="0"/>
            <w:vAlign w:val="center"/>
          </w:tcPr>
          <w:p w14:paraId="2F14930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vMerge w:val="continue"/>
            <w:tcBorders>
              <w:tl2br w:val="nil"/>
              <w:tr2bl w:val="nil"/>
            </w:tcBorders>
            <w:noWrap w:val="0"/>
            <w:vAlign w:val="center"/>
          </w:tcPr>
          <w:p w14:paraId="4CA4917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0"/>
            <w:vAlign w:val="center"/>
          </w:tcPr>
          <w:p w14:paraId="4BCD53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864</w:t>
            </w:r>
          </w:p>
        </w:tc>
      </w:tr>
      <w:tr w14:paraId="637F4196">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514" w:type="dxa"/>
            <w:tcBorders>
              <w:tl2br w:val="nil"/>
              <w:tr2bl w:val="nil"/>
            </w:tcBorders>
            <w:noWrap w:val="0"/>
            <w:vAlign w:val="center"/>
          </w:tcPr>
          <w:p w14:paraId="36D232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烘干机</w:t>
            </w:r>
          </w:p>
        </w:tc>
        <w:tc>
          <w:tcPr>
            <w:tcW w:w="1761" w:type="dxa"/>
            <w:tcBorders>
              <w:tl2br w:val="nil"/>
              <w:tr2bl w:val="nil"/>
            </w:tcBorders>
            <w:noWrap w:val="0"/>
            <w:vAlign w:val="center"/>
          </w:tcPr>
          <w:p w14:paraId="518CDD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13万</w:t>
            </w:r>
          </w:p>
        </w:tc>
        <w:tc>
          <w:tcPr>
            <w:tcW w:w="2675" w:type="dxa"/>
            <w:vMerge w:val="continue"/>
            <w:tcBorders>
              <w:tl2br w:val="nil"/>
              <w:tr2bl w:val="nil"/>
            </w:tcBorders>
            <w:noWrap w:val="0"/>
            <w:vAlign w:val="center"/>
          </w:tcPr>
          <w:p w14:paraId="63E217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ign w:val="center"/>
          </w:tcPr>
          <w:p w14:paraId="2ABD8F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1518" w:type="dxa"/>
            <w:tcBorders>
              <w:tl2br w:val="nil"/>
              <w:tr2bl w:val="nil"/>
            </w:tcBorders>
            <w:noWrap/>
            <w:vAlign w:val="center"/>
          </w:tcPr>
          <w:p w14:paraId="35C4D1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560</w:t>
            </w:r>
          </w:p>
        </w:tc>
      </w:tr>
      <w:tr w14:paraId="1AC622D9">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424" w:hRule="atLeast"/>
          <w:jc w:val="center"/>
        </w:trPr>
        <w:tc>
          <w:tcPr>
            <w:tcW w:w="2514" w:type="dxa"/>
            <w:tcBorders>
              <w:tl2br w:val="nil"/>
              <w:tr2bl w:val="nil"/>
            </w:tcBorders>
            <w:noWrap w:val="0"/>
            <w:vAlign w:val="center"/>
          </w:tcPr>
          <w:p w14:paraId="4A1F4A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其它机械                  </w:t>
            </w:r>
          </w:p>
        </w:tc>
        <w:tc>
          <w:tcPr>
            <w:tcW w:w="1761" w:type="dxa"/>
            <w:tcBorders>
              <w:tl2br w:val="nil"/>
              <w:tr2bl w:val="nil"/>
            </w:tcBorders>
            <w:noWrap/>
            <w:vAlign w:val="center"/>
          </w:tcPr>
          <w:p w14:paraId="1BECFCE1">
            <w:pPr>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675" w:type="dxa"/>
            <w:vMerge w:val="continue"/>
            <w:tcBorders>
              <w:tl2br w:val="nil"/>
              <w:tr2bl w:val="nil"/>
            </w:tcBorders>
            <w:noWrap w:val="0"/>
            <w:vAlign w:val="center"/>
          </w:tcPr>
          <w:p w14:paraId="45C0C9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0"/>
            <w:vAlign w:val="center"/>
          </w:tcPr>
          <w:p w14:paraId="0A3659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死亡伤残20万，医疗费用2万，财产损失2万</w:t>
            </w:r>
          </w:p>
        </w:tc>
        <w:tc>
          <w:tcPr>
            <w:tcW w:w="1518" w:type="dxa"/>
            <w:tcBorders>
              <w:tl2br w:val="nil"/>
              <w:tr2bl w:val="nil"/>
            </w:tcBorders>
            <w:noWrap w:val="0"/>
            <w:vAlign w:val="center"/>
          </w:tcPr>
          <w:p w14:paraId="155A4F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736</w:t>
            </w:r>
          </w:p>
        </w:tc>
      </w:tr>
      <w:tr w14:paraId="222E9BBD">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186" w:hRule="atLeast"/>
          <w:jc w:val="center"/>
        </w:trPr>
        <w:tc>
          <w:tcPr>
            <w:tcW w:w="8468" w:type="dxa"/>
            <w:gridSpan w:val="4"/>
            <w:tcBorders>
              <w:tl2br w:val="nil"/>
              <w:tr2bl w:val="nil"/>
            </w:tcBorders>
            <w:noWrap w:val="0"/>
            <w:vAlign w:val="center"/>
          </w:tcPr>
          <w:p w14:paraId="509F85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拖拉机、联合收割机需提供车架号和发动机号，其他农业机械需提供可识别的唯一性编号。</w:t>
            </w:r>
          </w:p>
        </w:tc>
        <w:tc>
          <w:tcPr>
            <w:tcW w:w="1518" w:type="dxa"/>
            <w:tcBorders>
              <w:tl2br w:val="nil"/>
              <w:tr2bl w:val="nil"/>
            </w:tcBorders>
            <w:noWrap w:val="0"/>
            <w:vAlign w:val="center"/>
          </w:tcPr>
          <w:p w14:paraId="7BAD159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bl>
    <w:p w14:paraId="7FAFAE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p>
    <w:p w14:paraId="66C4B47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（三）保险责任范围：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在保险期间内，由于下列原因造成保险标的的损失，保险人按照本保险合同的约定负责赔偿：         </w:t>
      </w:r>
    </w:p>
    <w:p w14:paraId="564DB94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①火灾、爆炸；</w:t>
      </w:r>
    </w:p>
    <w:p w14:paraId="1BF32E1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②暴雪；</w:t>
      </w:r>
    </w:p>
    <w:p w14:paraId="3C8DE34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③突发性滑坡、崩塌、泥石流、地面突然下陷下沉；</w:t>
      </w:r>
    </w:p>
    <w:p w14:paraId="0338183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④飞行物体及其他空中运行物体坠落；</w:t>
      </w:r>
    </w:p>
    <w:p w14:paraId="6EA7ED4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⑤碰撞、倾覆。</w:t>
      </w:r>
    </w:p>
    <w:p w14:paraId="042B918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⑥被保险人或其允许的操作人员在使用保险标的过程中由于发生主险保险事故，致使第三者遭受人身伤亡或财产损失，依法应当由被保险人承担的经济赔偿责任，保险人依据本附加险合同的约定负责赔偿。</w:t>
      </w:r>
    </w:p>
    <w:p w14:paraId="3225374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⑦被保险人允许的操作人员在使用保险标的过程中，因发生主险保险事故造成机上人员 （保险事故发生时在保险标的上的自然人）人身伤亡的，依法应当由被保险人承担的经济赔偿责任，保险人依据本附加险合同的约定负责赔偿。</w:t>
      </w:r>
    </w:p>
    <w:p w14:paraId="003ABB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（四）投保流程：</w:t>
      </w:r>
    </w:p>
    <w:p w14:paraId="6B6253A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1.农机具综合保险按机械机型种类投保，拖拉机、联合收割机需提供车架号和发动机号，其他农业机械需提供可识别的唯一性编号。</w:t>
      </w:r>
    </w:p>
    <w:p w14:paraId="1F144F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2.经查验符合要求的机械，保险公司向投保人收取自缴部分的保险费、出具保险单和保费发票。</w:t>
      </w:r>
    </w:p>
    <w:p w14:paraId="6AD1FBF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（五）赔偿处理：</w:t>
      </w:r>
    </w:p>
    <w:p w14:paraId="1B313D3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保险标的发生保险责任范围内的损失，保险人有权选择下列方式赔偿：</w:t>
      </w:r>
    </w:p>
    <w:p w14:paraId="586A78C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① 货币赔偿：保险人以支付保险金的方式赔偿；</w:t>
      </w:r>
    </w:p>
    <w:p w14:paraId="39DBF6E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②实物赔偿：保险人以实物替换受损标的，该实物应具有保险标的出险前同等的类型、结构、状态和性能，或更好的状态、性能；</w:t>
      </w:r>
    </w:p>
    <w:p w14:paraId="3F5CED6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③实际修复：保险人自行或委托他人修理修复受损标的。</w:t>
      </w:r>
    </w:p>
    <w:p w14:paraId="76297C4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④涉及人员伤亡的，被保险人除提供主险中要求提供的相关索赔资料外，还应当提供发生事故时操作员的有效操作证件、人身伤残程度或死亡证明等资料。</w:t>
      </w:r>
    </w:p>
    <w:p w14:paraId="55E0D0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（六）保险期间及诉讼有效期：</w:t>
      </w: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农机具综合保险期间为一年，具体以保险单载明的起讫时间为准。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被保险人向保险人请求赔偿的诉讼时效期间为二年，自其知道或者应当知道保险事故发生之日起计算。</w:t>
      </w:r>
    </w:p>
    <w:p w14:paraId="34DCD49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（七）承保公司：</w:t>
      </w: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根据诸暨市农业农村局公开招标结果，诸暨市农机具综合保险业务由XX公司承保，具体保险条款按备案条款为准。</w:t>
      </w:r>
    </w:p>
    <w:p w14:paraId="66FE6ACB">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page"/>
      </w:r>
    </w:p>
    <w:p w14:paraId="3975C104">
      <w:pPr>
        <w:keepNext w:val="0"/>
        <w:keepLines w:val="0"/>
        <w:widowControl w:val="0"/>
        <w:suppressLineNumbers w:val="0"/>
        <w:adjustRightInd/>
        <w:spacing w:before="0" w:beforeAutospacing="0" w:after="0" w:afterAutospacing="0" w:line="240" w:lineRule="auto"/>
        <w:ind w:left="0" w:right="0"/>
        <w:jc w:val="cente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t>诸暨市香榧古树保险试点方案</w:t>
      </w:r>
    </w:p>
    <w:p w14:paraId="3750EF02">
      <w:pPr>
        <w:rPr>
          <w:rFonts w:hint="eastAsia"/>
          <w:color w:val="000000" w:themeColor="text1"/>
          <w:lang w:val="en-US"/>
          <w14:textFill>
            <w14:solidFill>
              <w14:schemeClr w14:val="tx1"/>
            </w14:solidFill>
          </w14:textFill>
        </w:rPr>
      </w:pPr>
    </w:p>
    <w:p w14:paraId="561B234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为贯彻落实《浙江省人民政府办公厅关于加快农业保险高质量发展的实施意见》（浙政办发〔2021〕47号）精神，扶持我市香榧特色产业发展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，提高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香榧古树</w:t>
      </w:r>
      <w:r>
        <w:rPr>
          <w:rFonts w:hint="eastAsia" w:ascii="仿宋_GB2312" w:hAnsi="仿宋_GB2312" w:eastAsia="仿宋_GB2312" w:cs="仿宋_GB2312"/>
          <w:color w:val="000000" w:themeColor="text1"/>
          <w:sz w:val="32"/>
          <w:szCs w:val="32"/>
          <w:lang w:eastAsia="zh-CN"/>
          <w14:textFill>
            <w14:solidFill>
              <w14:schemeClr w14:val="tx1"/>
            </w14:solidFill>
          </w14:textFill>
        </w:rPr>
        <w:t>抗风险能力，保障地方特色农产品供应，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制订诸暨市香榧古树保险试点方案。</w:t>
      </w:r>
    </w:p>
    <w:p w14:paraId="39D190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一、工作</w:t>
      </w:r>
      <w:r>
        <w:rPr>
          <w:rFonts w:hint="eastAsia" w:ascii="黑体" w:hAnsi="黑体" w:eastAsia="黑体" w:cs="黑体"/>
          <w:color w:val="000000" w:themeColor="text1"/>
          <w:sz w:val="32"/>
          <w:szCs w:val="32"/>
          <w:lang w:eastAsia="zh-CN"/>
          <w14:textFill>
            <w14:solidFill>
              <w14:schemeClr w14:val="tx1"/>
            </w14:solidFill>
          </w14:textFill>
        </w:rPr>
        <w:t>目标</w:t>
      </w:r>
    </w:p>
    <w:p w14:paraId="43C9DDE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按照“政府引导、市场运作、农民自愿”的原则，加大政策扶持力度，提高香榧古树管养过程中抗风险的能力，建立香榧古树风险防控体系，积极扶持香榧特色产业发展。</w:t>
      </w:r>
    </w:p>
    <w:p w14:paraId="5E1D3B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二、参保方案</w:t>
      </w:r>
    </w:p>
    <w:p w14:paraId="00B020C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（一）参保对象：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同时符合下列条件的香榧古树可作为本保险合同的保险标的（以下统称“保险古榧”），可进行投保：</w:t>
      </w:r>
    </w:p>
    <w:p w14:paraId="7123183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1.树势总体良好、投保时无明显寄生性毁灭性病虫害； </w:t>
      </w:r>
    </w:p>
    <w:p w14:paraId="45B4590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2.已由省级或市（县）级人民政府古树名木主管部门认定和公布，且有养护责任人进行日常养护的；</w:t>
      </w:r>
    </w:p>
    <w:p w14:paraId="12333BF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3.依据古树名木管理部门分级保护规定,对香榧古树共分一、二、三级进行保护的。</w:t>
      </w:r>
    </w:p>
    <w:p w14:paraId="1397BD0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（二）保险金额：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香榧古树树龄300年（含）以上为50000元/株，费率1%。诸暨市财政保费补贴比例90%，农户自负10%。</w:t>
      </w:r>
    </w:p>
    <w:p w14:paraId="103AE83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（三）保险责任范围：</w:t>
      </w:r>
    </w:p>
    <w:p w14:paraId="1ED23EF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在保险期间内，由于下列原因直接造成保险古榧的流失、掩埋、死亡、主干折断、翻蔸、倒伏、倾斜、断梢等无法正常生长情况，保险人按照本保险合同的约定负责赔偿：</w:t>
      </w:r>
    </w:p>
    <w:p w14:paraId="1CAADA4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1.火灾；</w:t>
      </w:r>
    </w:p>
    <w:p w14:paraId="7BF4018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2.雷击、暴雨、洪水（政府行蓄洪除外）、风灾、雹灾、冻灾、旱灾、暴雪、雨（雪）凇、地震；</w:t>
      </w:r>
    </w:p>
    <w:p w14:paraId="2C1CF50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3.泥石流、山体滑坡；</w:t>
      </w:r>
    </w:p>
    <w:p w14:paraId="60F7534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4.空中飞行物体坠落；</w:t>
      </w:r>
    </w:p>
    <w:p w14:paraId="0E0D584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（四）投保流程：</w:t>
      </w:r>
    </w:p>
    <w:p w14:paraId="293F3F1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1.香榧古树的承保数量按照实际种植情况确定，保险公司会同各镇乡街道或村级协保员开展现场验标，并提供相关证明，验标确定后的参保清册在村务公开栏公示3天以上。</w:t>
      </w:r>
    </w:p>
    <w:p w14:paraId="1BF2E29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2.经查验、公示后符合要求的种植主体，保险公司向投保人收取自缴部分的保险费、出具保险单和保费发票。</w:t>
      </w:r>
    </w:p>
    <w:p w14:paraId="563CE8B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（五）赔偿处理：</w:t>
      </w:r>
    </w:p>
    <w:p w14:paraId="379E027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1.发生保险事故时，被保险人应积极开展防灾救灾，减少灾害损失，并及时报告保险公司进行定损赔付。</w:t>
      </w:r>
    </w:p>
    <w:p w14:paraId="07C5584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2.承保公司接到灾害报告后应及时到达现场进行核查，按保单约定进行赔付，如无法确定全部损失情况的，及时约定进行二次定损。</w:t>
      </w:r>
    </w:p>
    <w:p w14:paraId="6D4276B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3.保险公司理赔清单，应在村公示栏中进行不少于7天的公示，如对公示有疑义的，可以向保险公司反映情况，保险公司将对反映的情况进行调查核实，并做出相应的处理。</w:t>
      </w:r>
    </w:p>
    <w:p w14:paraId="597C89B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（六）保险期间及诉讼有效期：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香榧古树保险期间为一年，具体以保险单载明的起讫时间为准。被保险人向保险人请求赔偿的诉讼时效期间为二年，自其知道或者应当知道保险事故发生之日起计算。</w:t>
      </w:r>
    </w:p>
    <w:p w14:paraId="72DB2D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（七）承保公司：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根据诸暨市农业农村局公开招标结果，诸暨市香榧古树保险业务由XX公司承保，具体保险条款按备案条款为准。</w:t>
      </w:r>
    </w:p>
    <w:p w14:paraId="7F9ED3E2">
      <w:pPr>
        <w:rPr>
          <w:rFonts w:hint="eastAsia"/>
          <w:lang w:val="en-US" w:eastAsia="zh-CN"/>
        </w:rPr>
      </w:pPr>
      <w:r>
        <w:rPr>
          <w:rFonts w:hint="eastAsia"/>
          <w:lang w:val="en-US" w:eastAsia="zh-CN"/>
        </w:rPr>
        <w:br w:type="page"/>
      </w:r>
    </w:p>
    <w:p w14:paraId="1E875540">
      <w:pPr>
        <w:keepNext w:val="0"/>
        <w:keepLines w:val="0"/>
        <w:widowControl w:val="0"/>
        <w:suppressLineNumbers w:val="0"/>
        <w:adjustRightInd/>
        <w:spacing w:before="0" w:beforeAutospacing="0" w:after="0" w:afterAutospacing="0" w:line="240" w:lineRule="auto"/>
        <w:ind w:left="0" w:right="0"/>
        <w:jc w:val="cente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t>诸暨市水稻收获期间损失保险试点方案</w:t>
      </w:r>
    </w:p>
    <w:p w14:paraId="6FBED21C">
      <w:pPr>
        <w:rPr>
          <w:rFonts w:hint="eastAsia"/>
          <w:color w:val="000000" w:themeColor="text1"/>
          <w:lang w:val="en-US"/>
          <w14:textFill>
            <w14:solidFill>
              <w14:schemeClr w14:val="tx1"/>
            </w14:solidFill>
          </w14:textFill>
        </w:rPr>
      </w:pPr>
    </w:p>
    <w:p w14:paraId="7378DFC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为贯彻落实《浙江省人民政府办公厅关于加快农业保险高质量发展的实施意见》（浙政办发〔2021〕47号）精神，</w:t>
      </w:r>
      <w:r>
        <w:rPr>
          <w:rFonts w:hint="eastAsia" w:ascii="仿宋_GB2312" w:hAnsi="仿宋_GB2312" w:eastAsia="仿宋_GB2312" w:cs="仿宋_GB2312"/>
          <w:color w:val="000000" w:themeColor="text1"/>
          <w:sz w:val="32"/>
          <w:szCs w:val="32"/>
          <w14:textFill>
            <w14:solidFill>
              <w14:schemeClr w14:val="tx1"/>
            </w14:solidFill>
          </w14:textFill>
        </w:rPr>
        <w:t>加大政策扶持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我市水稻产业发展，</w:t>
      </w:r>
      <w:r>
        <w:rPr>
          <w:rFonts w:hint="eastAsia" w:ascii="仿宋_GB2312" w:hAnsi="仿宋_GB2312" w:eastAsia="仿宋_GB2312" w:cs="仿宋_GB2312"/>
          <w:color w:val="000000" w:themeColor="text1"/>
          <w:sz w:val="32"/>
          <w:szCs w:val="32"/>
          <w14:textFill>
            <w14:solidFill>
              <w14:schemeClr w14:val="tx1"/>
            </w14:solidFill>
          </w14:textFill>
        </w:rPr>
        <w:t>增强农民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种植</w:t>
      </w:r>
      <w:r>
        <w:rPr>
          <w:rFonts w:hint="eastAsia" w:ascii="仿宋_GB2312" w:hAnsi="仿宋_GB2312" w:eastAsia="仿宋_GB2312" w:cs="仿宋_GB2312"/>
          <w:color w:val="000000" w:themeColor="text1"/>
          <w:sz w:val="32"/>
          <w:szCs w:val="32"/>
          <w14:textFill>
            <w14:solidFill>
              <w14:schemeClr w14:val="tx1"/>
            </w14:solidFill>
          </w14:textFill>
        </w:rPr>
        <w:t>积极性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制订诸暨市水稻收获期间损失保险试点方案。</w:t>
      </w:r>
    </w:p>
    <w:p w14:paraId="7E8E504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一、工作</w:t>
      </w:r>
      <w:r>
        <w:rPr>
          <w:rFonts w:hint="eastAsia" w:ascii="黑体" w:hAnsi="黑体" w:eastAsia="黑体" w:cs="黑体"/>
          <w:color w:val="000000" w:themeColor="text1"/>
          <w:sz w:val="32"/>
          <w:szCs w:val="32"/>
          <w:lang w:eastAsia="zh-CN"/>
          <w14:textFill>
            <w14:solidFill>
              <w14:schemeClr w14:val="tx1"/>
            </w14:solidFill>
          </w14:textFill>
        </w:rPr>
        <w:t>目标</w:t>
      </w:r>
    </w:p>
    <w:p w14:paraId="7332FF3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按照“政府引导、市场运作、农民自愿”的原则，加大政策扶持力度，提高水稻种植户种植积极性，建立水稻种植风险防控体系，积极扶持产业发展。</w:t>
      </w:r>
    </w:p>
    <w:p w14:paraId="4B399A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二、参保方案</w:t>
      </w:r>
    </w:p>
    <w:p w14:paraId="632B3F7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（一）参保对象：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同时符合下列条件的水稻可作为本保险合同的保险标的（以下统称“保险水稻”），可进行投保：</w:t>
      </w:r>
    </w:p>
    <w:p w14:paraId="3F90608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1.符合水稻种植规范标准和技术管理要求； </w:t>
      </w:r>
    </w:p>
    <w:p w14:paraId="2FEBA5E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2.种植面积在20亩（含）以上且正常生长；</w:t>
      </w:r>
    </w:p>
    <w:p w14:paraId="396C80F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3.种植面积未达到20亩的种植户通过专业合作组织或以村、乡为单位以统保方式参加保险；</w:t>
      </w:r>
    </w:p>
    <w:p w14:paraId="25C0177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4.只有在投保了水稻种植保险的基础上，方可投保本保险。</w:t>
      </w:r>
    </w:p>
    <w:p w14:paraId="1B21AD8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（二）保险金额：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水稻收获期间损失保险金额为200元/亩，费率10%。诸暨市财政保费补贴比例90%，农户自负10%。</w:t>
      </w:r>
    </w:p>
    <w:p w14:paraId="03F04D8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（三）保险责任范围：</w:t>
      </w:r>
    </w:p>
    <w:p w14:paraId="7FB4987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在保险期间内，保险水稻因发生水稻种植保险责任范围内的损失并按其保险合同约定进行赔偿的，保险人按照本保险合同的约定负责赔偿下列损失（已按水稻种植保险确定为全损理赔的除外）：</w:t>
      </w:r>
    </w:p>
    <w:p w14:paraId="0A153EA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1.按水稻种植保险确定赔偿的保险水稻因倒伏所致收割费用增加的经济损失；</w:t>
      </w:r>
    </w:p>
    <w:p w14:paraId="69912C0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2.按水稻种植保险确定赔偿的保险水稻因稻谷品质下降所致贬值的经济损失。</w:t>
      </w:r>
    </w:p>
    <w:p w14:paraId="5CE73CD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（四）投保流程：</w:t>
      </w:r>
    </w:p>
    <w:p w14:paraId="0CC0B44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1.水稻收获期间损失保险的承保数量按照实际种植面积确定，保险公司会同各镇乡街道或村级协保员开展现场验标，并提供承包合同或流转清册，验标确定后的参保清册在村务公开栏公示3天以上。</w:t>
      </w:r>
    </w:p>
    <w:p w14:paraId="6937AAC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2.经查验、公示后符合要求的种植主体，保险公司向投保人收取自缴部分的保险费、出具保险单和保费发票。</w:t>
      </w:r>
    </w:p>
    <w:p w14:paraId="6B24EE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（五）赔偿处理：</w:t>
      </w:r>
    </w:p>
    <w:p w14:paraId="094B7A2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1.发生保险事故时，被保险人应积极开展防灾救灾，减少灾害损失，并及时报告保险公司进行定损赔付。</w:t>
      </w:r>
    </w:p>
    <w:p w14:paraId="758CC81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2.承保公司接到灾害报告后应及时到达现场进行核查，按保单约定进行赔付，如无法确定全部损失情况的，及时约定进行二次定损。</w:t>
      </w:r>
    </w:p>
    <w:p w14:paraId="25E0C35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3.保险公司理赔清单，应在村公示栏中进行不少于7天的公示，如对公示有疑义的，可以向保险公司反映情况，保险公司将对反映的情况进行调查核实，并做出相应的处理。</w:t>
      </w:r>
    </w:p>
    <w:p w14:paraId="10D2B24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（六）保险期间及诉讼有效期：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水稻收获期间损失保险时间与水稻种植保险主险时间一致，具体以保险单载明的起讫时间为准。被保险人向保险人请求赔偿的诉讼时效期间为二年，自其知道或者应当知道保险事故发生之日起计算。</w:t>
      </w:r>
    </w:p>
    <w:p w14:paraId="7B6A0CD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（七）承保公司：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根据诸暨市农业农村局公开招标结果，诸暨市香榧古树保险业务由XX公司承保，具体保险条款按备案条款为准。</w:t>
      </w:r>
    </w:p>
    <w:p w14:paraId="1C5D0D41">
      <w:pPr>
        <w:pStyle w:val="2"/>
        <w:rPr>
          <w:rFonts w:hint="eastAsia"/>
          <w:lang w:val="en-US" w:eastAsia="zh-CN"/>
        </w:rPr>
      </w:pPr>
    </w:p>
    <w:sectPr>
      <w:footerReference r:id="rId3" w:type="default"/>
      <w:pgSz w:w="11906" w:h="16838"/>
      <w:pgMar w:top="2211" w:right="1417" w:bottom="1984" w:left="1644"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69B34">
    <w:pPr>
      <w:pStyle w:val="5"/>
      <w:tabs>
        <w:tab w:val="right" w:pos="8820"/>
        <w:tab w:val="clear" w:pos="8306"/>
      </w:tabs>
      <w:ind w:left="210" w:leftChars="100" w:right="210" w:rightChars="1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E5F60">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CE5F60">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N2MwNTgxNGRiZTRkNzM0ZGRkOWRhMzE5ZmViNmMifQ=="/>
  </w:docVars>
  <w:rsids>
    <w:rsidRoot w:val="36290A7B"/>
    <w:rsid w:val="00071E88"/>
    <w:rsid w:val="002C3495"/>
    <w:rsid w:val="003702F9"/>
    <w:rsid w:val="00472CE8"/>
    <w:rsid w:val="004E1719"/>
    <w:rsid w:val="005F1DCA"/>
    <w:rsid w:val="00734722"/>
    <w:rsid w:val="00753017"/>
    <w:rsid w:val="00957A3B"/>
    <w:rsid w:val="00A233B6"/>
    <w:rsid w:val="00A34877"/>
    <w:rsid w:val="00BB4242"/>
    <w:rsid w:val="00D347AA"/>
    <w:rsid w:val="00EB0B3D"/>
    <w:rsid w:val="020E3500"/>
    <w:rsid w:val="04370A5F"/>
    <w:rsid w:val="0456750D"/>
    <w:rsid w:val="04AF19AB"/>
    <w:rsid w:val="05506CDC"/>
    <w:rsid w:val="05D505AD"/>
    <w:rsid w:val="06594035"/>
    <w:rsid w:val="08B60493"/>
    <w:rsid w:val="0A0F2B67"/>
    <w:rsid w:val="0ACB4349"/>
    <w:rsid w:val="0B0529F4"/>
    <w:rsid w:val="0C401F07"/>
    <w:rsid w:val="0E1655F6"/>
    <w:rsid w:val="0E5951EC"/>
    <w:rsid w:val="11784D76"/>
    <w:rsid w:val="12B51720"/>
    <w:rsid w:val="12BB46AC"/>
    <w:rsid w:val="14331BB0"/>
    <w:rsid w:val="148D3A08"/>
    <w:rsid w:val="16DF0FD5"/>
    <w:rsid w:val="17D12FDD"/>
    <w:rsid w:val="190E1E70"/>
    <w:rsid w:val="191C1F9E"/>
    <w:rsid w:val="19C16F80"/>
    <w:rsid w:val="1B5B0053"/>
    <w:rsid w:val="1D7A15FB"/>
    <w:rsid w:val="1DDC0525"/>
    <w:rsid w:val="1F0943D7"/>
    <w:rsid w:val="1FB04CF2"/>
    <w:rsid w:val="20E35425"/>
    <w:rsid w:val="21B7091A"/>
    <w:rsid w:val="221418CF"/>
    <w:rsid w:val="26D67448"/>
    <w:rsid w:val="27226DFD"/>
    <w:rsid w:val="27CF2BB7"/>
    <w:rsid w:val="28F51DAE"/>
    <w:rsid w:val="2A5957CD"/>
    <w:rsid w:val="2B7D238D"/>
    <w:rsid w:val="2CB20A77"/>
    <w:rsid w:val="3388400B"/>
    <w:rsid w:val="33A50CF6"/>
    <w:rsid w:val="349F4906"/>
    <w:rsid w:val="34BC4238"/>
    <w:rsid w:val="355F671C"/>
    <w:rsid w:val="36290A7B"/>
    <w:rsid w:val="36CC76C9"/>
    <w:rsid w:val="3765519F"/>
    <w:rsid w:val="3A7601F0"/>
    <w:rsid w:val="3C906EDB"/>
    <w:rsid w:val="3F611896"/>
    <w:rsid w:val="3F7A7B88"/>
    <w:rsid w:val="42463CE2"/>
    <w:rsid w:val="43A3109F"/>
    <w:rsid w:val="443656CE"/>
    <w:rsid w:val="446C0467"/>
    <w:rsid w:val="477F7C7A"/>
    <w:rsid w:val="4AAF3799"/>
    <w:rsid w:val="4D34692B"/>
    <w:rsid w:val="4DF519B4"/>
    <w:rsid w:val="4F0E494F"/>
    <w:rsid w:val="50740EE4"/>
    <w:rsid w:val="50932395"/>
    <w:rsid w:val="51232770"/>
    <w:rsid w:val="521D0FEB"/>
    <w:rsid w:val="54184FCE"/>
    <w:rsid w:val="54B05218"/>
    <w:rsid w:val="55951476"/>
    <w:rsid w:val="56581E37"/>
    <w:rsid w:val="56A678C0"/>
    <w:rsid w:val="57B13278"/>
    <w:rsid w:val="59712FBC"/>
    <w:rsid w:val="5AB67C7A"/>
    <w:rsid w:val="5BD15542"/>
    <w:rsid w:val="5DD46436"/>
    <w:rsid w:val="5DFB2141"/>
    <w:rsid w:val="5F062A0D"/>
    <w:rsid w:val="610324CF"/>
    <w:rsid w:val="668C46B5"/>
    <w:rsid w:val="68E01C95"/>
    <w:rsid w:val="6961563F"/>
    <w:rsid w:val="6B293F7E"/>
    <w:rsid w:val="6D4F5416"/>
    <w:rsid w:val="6E476D5A"/>
    <w:rsid w:val="71005613"/>
    <w:rsid w:val="7137734D"/>
    <w:rsid w:val="719B20D9"/>
    <w:rsid w:val="73D90D33"/>
    <w:rsid w:val="74F67A06"/>
    <w:rsid w:val="75495C30"/>
    <w:rsid w:val="7559077C"/>
    <w:rsid w:val="771C566F"/>
    <w:rsid w:val="77672850"/>
    <w:rsid w:val="776B2963"/>
    <w:rsid w:val="797A07C1"/>
    <w:rsid w:val="7AE07C8F"/>
    <w:rsid w:val="7B374CA4"/>
    <w:rsid w:val="7C881D84"/>
    <w:rsid w:val="7CA0060F"/>
    <w:rsid w:val="7E521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line="240" w:lineRule="auto"/>
      <w:ind w:firstLine="0" w:firstLineChars="0"/>
      <w:jc w:val="center"/>
      <w:outlineLvl w:val="0"/>
    </w:pPr>
    <w:rPr>
      <w:rFonts w:eastAsia="方正小标宋简体"/>
      <w:kern w:val="44"/>
      <w:sz w:val="4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3"/>
    <w:basedOn w:val="1"/>
    <w:unhideWhenUsed/>
    <w:qFormat/>
    <w:uiPriority w:val="99"/>
    <w:pPr>
      <w:spacing w:after="120"/>
    </w:pPr>
    <w:rPr>
      <w:sz w:val="16"/>
      <w:szCs w:val="16"/>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200" w:leftChars="200" w:hanging="200" w:hangingChars="200"/>
    </w:pPr>
  </w:style>
  <w:style w:type="paragraph" w:styleId="8">
    <w:name w:val="Title"/>
    <w:basedOn w:val="1"/>
    <w:qFormat/>
    <w:uiPriority w:val="0"/>
    <w:pPr>
      <w:spacing w:before="240" w:after="60"/>
      <w:jc w:val="center"/>
      <w:outlineLvl w:val="0"/>
    </w:pPr>
    <w:rPr>
      <w:rFonts w:ascii="Arial" w:hAnsi="Arial" w:cs="Arial"/>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34"/>
    <w:pPr>
      <w:ind w:firstLine="420"/>
    </w:pPr>
  </w:style>
  <w:style w:type="character" w:customStyle="1" w:styleId="14">
    <w:name w:val="页眉 Char"/>
    <w:basedOn w:val="11"/>
    <w:link w:val="6"/>
    <w:qFormat/>
    <w:uiPriority w:val="0"/>
    <w:rPr>
      <w:rFonts w:ascii="Times New Roman" w:hAnsi="Times New Roman" w:eastAsia="宋体" w:cs="Times New Roman"/>
      <w:kern w:val="2"/>
      <w:sz w:val="18"/>
      <w:szCs w:val="18"/>
    </w:rPr>
  </w:style>
  <w:style w:type="paragraph" w:customStyle="1" w:styleId="15">
    <w:name w:val="p0"/>
    <w:basedOn w:val="1"/>
    <w:unhideWhenUsed/>
    <w:qFormat/>
    <w:uiPriority w:val="0"/>
    <w:pPr>
      <w:widowControl/>
      <w:spacing w:beforeLines="0" w:afterLines="0"/>
    </w:pPr>
    <w:rPr>
      <w:rFonts w:hint="default" w:ascii="Times New Roman" w:hAnsi="Times New Roman" w:eastAsia="宋体" w:cs="Times New Roman"/>
      <w:kern w:val="0"/>
      <w:sz w:val="21"/>
      <w:szCs w:val="21"/>
    </w:rPr>
  </w:style>
  <w:style w:type="paragraph" w:customStyle="1" w:styleId="16">
    <w:name w:val="标书正文"/>
    <w:basedOn w:val="1"/>
    <w:qFormat/>
    <w:uiPriority w:val="0"/>
    <w:pPr>
      <w:suppressAutoHyphens/>
      <w:autoSpaceDE w:val="0"/>
      <w:autoSpaceDN w:val="0"/>
      <w:adjustRightInd w:val="0"/>
      <w:snapToGrid w:val="0"/>
    </w:pPr>
    <w:rPr>
      <w:rFonts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5036</Words>
  <Characters>5438</Characters>
  <Lines>23</Lines>
  <Paragraphs>6</Paragraphs>
  <TotalTime>10</TotalTime>
  <ScaleCrop>false</ScaleCrop>
  <LinksUpToDate>false</LinksUpToDate>
  <CharactersWithSpaces>5511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2021-10-13T07:41:00Z</dcterms:created>
  <dc:creator>徐小燕</dc:creator>
  <cp:lastModifiedBy>EMo 、</cp:lastModifiedBy>
  <cp:lastPrinted>2022-03-29T08:27:00Z</cp:lastPrinted>
  <dcterms:modified xsi:type="dcterms:W3CDTF">2025-05-08T02:10:34Z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6C98697ED1514DEE8C29FA96C4B1E787_13</vt:lpwstr>
  </property>
  <property fmtid="{D5CDD505-2E9C-101B-9397-08002B2CF9AE}" pid="4" name="KSOTemplateDocerSaveRecord">
    <vt:lpwstr>eyJoZGlkIjoiNTFmY2M5ZTlmZDY0NjQzZDFiMTRmMDdmYTM1YjkzZTgiLCJ1c2VySWQiOiI0MjY0OTY1NjcifQ==</vt:lpwstr>
  </property>
</Properties>
</file>