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78"/>
          <w:tab w:val="left" w:pos="3399"/>
        </w:tabs>
        <w:kinsoku/>
        <w:wordWrap/>
        <w:overflowPunct/>
        <w:topLinePunct w:val="0"/>
        <w:autoSpaceDE/>
        <w:autoSpaceDN/>
        <w:bidi w:val="0"/>
        <w:adjustRightInd/>
        <w:snapToGrid w:val="0"/>
        <w:spacing w:line="550" w:lineRule="exact"/>
        <w:jc w:val="center"/>
        <w:rPr>
          <w:rFonts w:ascii="楷体_GB2312" w:hAnsi="仿宋_GB2312" w:eastAsia="楷体_GB2312" w:cs="仿宋_GB2312"/>
          <w:szCs w:val="32"/>
        </w:rPr>
      </w:pPr>
      <w:r>
        <w:rPr>
          <w:rFonts w:hint="eastAsia" w:ascii="小标宋" w:hAnsi="小标宋" w:eastAsia="小标宋" w:cs="小标宋"/>
          <w:spacing w:val="-10"/>
          <w:sz w:val="44"/>
          <w:szCs w:val="44"/>
        </w:rPr>
        <w:t>关于《</w:t>
      </w:r>
      <w:r>
        <w:rPr>
          <w:rFonts w:ascii="Times New Roman" w:hAnsi="Times New Roman" w:eastAsia="小标宋" w:cs="Times New Roman"/>
          <w:sz w:val="44"/>
          <w:szCs w:val="44"/>
          <w:lang w:eastAsia="zh-CN"/>
        </w:rPr>
        <w:t>鹿城区工业用地功能转变工作实施方案</w:t>
      </w:r>
      <w:r>
        <w:rPr>
          <w:rFonts w:hint="eastAsia" w:ascii="小标宋" w:hAnsi="小标宋" w:eastAsia="小标宋" w:cs="小标宋"/>
          <w:spacing w:val="-10"/>
          <w:sz w:val="44"/>
          <w:szCs w:val="44"/>
        </w:rPr>
        <w:t>》的起草说明</w:t>
      </w:r>
    </w:p>
    <w:p>
      <w:pPr>
        <w:keepNext w:val="0"/>
        <w:keepLines w:val="0"/>
        <w:pageBreakBefore w:val="0"/>
        <w:widowControl w:val="0"/>
        <w:kinsoku/>
        <w:wordWrap/>
        <w:overflowPunct/>
        <w:topLinePunct w:val="0"/>
        <w:autoSpaceDE/>
        <w:autoSpaceDN/>
        <w:bidi w:val="0"/>
        <w:adjustRightInd/>
        <w:spacing w:line="550" w:lineRule="exact"/>
        <w:jc w:val="center"/>
      </w:pPr>
      <w:r>
        <w:rPr>
          <w:rFonts w:hint="eastAsia" w:ascii="楷体_GB2312" w:hAnsi="楷体" w:eastAsia="楷体_GB2312" w:cs="仿宋_GB2312"/>
          <w:szCs w:val="32"/>
          <w:lang w:val="en-US" w:eastAsia="zh-CN"/>
        </w:rPr>
        <w:t>温州市自然资源和规划局鹿城分</w:t>
      </w:r>
      <w:r>
        <w:rPr>
          <w:rFonts w:hint="eastAsia" w:ascii="楷体_GB2312" w:hAnsi="楷体" w:eastAsia="楷体_GB2312" w:cs="仿宋_GB2312"/>
          <w:szCs w:val="32"/>
        </w:rPr>
        <w:t>局</w:t>
      </w:r>
    </w:p>
    <w:p>
      <w:pPr>
        <w:keepNext w:val="0"/>
        <w:keepLines w:val="0"/>
        <w:pageBreakBefore w:val="0"/>
        <w:widowControl w:val="0"/>
        <w:kinsoku/>
        <w:wordWrap/>
        <w:overflowPunct/>
        <w:topLinePunct w:val="0"/>
        <w:autoSpaceDE/>
        <w:autoSpaceDN/>
        <w:bidi w:val="0"/>
        <w:adjustRightInd/>
        <w:spacing w:line="550" w:lineRule="exact"/>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baseline"/>
        <w:rPr>
          <w:rFonts w:ascii="黑体" w:hAnsi="黑体" w:eastAsia="黑体" w:cs="仿宋_GB2312"/>
          <w:bCs/>
          <w:szCs w:val="32"/>
        </w:rPr>
      </w:pPr>
      <w:r>
        <w:rPr>
          <w:rFonts w:hint="eastAsia" w:ascii="黑体" w:hAnsi="黑体" w:eastAsia="黑体" w:cs="仿宋_GB2312"/>
          <w:bCs/>
          <w:szCs w:val="32"/>
        </w:rPr>
        <w:t>一、出台政策的背景和依据</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baseline"/>
        <w:rPr>
          <w:rFonts w:ascii="仿宋_GB2312" w:cs="仿宋_GB2312"/>
          <w:szCs w:val="32"/>
        </w:rPr>
      </w:pPr>
      <w:r>
        <w:rPr>
          <w:rFonts w:hint="eastAsia" w:ascii="仿宋_GB2312" w:hAnsi="仿宋_GB2312" w:cs="仿宋_GB2312"/>
          <w:szCs w:val="32"/>
          <w:lang w:eastAsia="zh-CN"/>
        </w:rPr>
        <w:t>根据《关于有序推进温州市区中心城区工业用地功能 转变指导意见的通知》（温政办〔2024〕55号）</w:t>
      </w:r>
      <w:r>
        <w:rPr>
          <w:rFonts w:hint="eastAsia" w:ascii="仿宋_GB2312" w:hAnsi="仿宋_GB2312" w:cs="仿宋_GB2312"/>
          <w:szCs w:val="32"/>
          <w:lang w:val="en-US" w:eastAsia="zh-CN"/>
        </w:rPr>
        <w:t>文件精神</w:t>
      </w:r>
      <w:r>
        <w:rPr>
          <w:rFonts w:hint="eastAsia" w:ascii="仿宋_GB2312" w:hAnsi="仿宋_GB2312" w:cs="仿宋_GB2312"/>
          <w:szCs w:val="32"/>
          <w:lang w:eastAsia="zh-CN"/>
        </w:rPr>
        <w:t>，</w:t>
      </w:r>
      <w:r>
        <w:rPr>
          <w:rFonts w:hint="eastAsia" w:ascii="仿宋_GB2312" w:hAnsi="仿宋_GB2312" w:cs="仿宋_GB2312"/>
          <w:szCs w:val="32"/>
          <w:lang w:val="en-US" w:eastAsia="zh-CN"/>
        </w:rPr>
        <w:t>各地需结合实际制定实施方案，细化各实施区块范围，纳入擅自退改问题的处置意见，明确属地牵头部门、各部门职责分工、办理工作流程等。</w:t>
      </w:r>
      <w:r>
        <w:rPr>
          <w:rFonts w:hint="eastAsia" w:ascii="仿宋_GB2312" w:hAnsi="仿宋_GB2312" w:cs="仿宋_GB2312"/>
          <w:szCs w:val="32"/>
          <w:lang w:eastAsia="zh-CN"/>
        </w:rPr>
        <w:t>今年</w:t>
      </w:r>
      <w:r>
        <w:rPr>
          <w:rFonts w:hint="eastAsia" w:ascii="仿宋_GB2312" w:hAnsi="仿宋_GB2312" w:cs="仿宋_GB2312"/>
          <w:szCs w:val="32"/>
          <w:lang w:val="en-US" w:eastAsia="zh-CN"/>
        </w:rPr>
        <w:t>11月份</w:t>
      </w:r>
      <w:r>
        <w:rPr>
          <w:rFonts w:hint="eastAsia" w:ascii="仿宋_GB2312" w:hAnsi="仿宋_GB2312" w:cs="仿宋_GB2312"/>
          <w:szCs w:val="32"/>
          <w:lang w:eastAsia="zh-CN"/>
        </w:rPr>
        <w:t>我局</w:t>
      </w:r>
      <w:r>
        <w:rPr>
          <w:rFonts w:hint="eastAsia" w:ascii="仿宋_GB2312" w:hAnsi="仿宋_GB2312" w:cs="仿宋_GB2312"/>
          <w:szCs w:val="32"/>
          <w:lang w:val="en-US" w:eastAsia="zh-CN"/>
        </w:rPr>
        <w:t>完成初稿并征求相关</w:t>
      </w:r>
      <w:bookmarkStart w:id="0" w:name="_GoBack"/>
      <w:bookmarkEnd w:id="0"/>
      <w:r>
        <w:rPr>
          <w:rFonts w:hint="eastAsia" w:ascii="仿宋_GB2312" w:hAnsi="仿宋_GB2312" w:cs="仿宋_GB2312"/>
          <w:szCs w:val="32"/>
          <w:lang w:val="en-US" w:eastAsia="zh-CN"/>
        </w:rPr>
        <w:t>部门意见，</w:t>
      </w:r>
      <w:r>
        <w:rPr>
          <w:rFonts w:hint="eastAsia" w:ascii="仿宋_GB2312" w:hAnsi="仿宋_GB2312" w:cs="仿宋_GB2312"/>
          <w:szCs w:val="32"/>
          <w:lang w:eastAsia="zh-CN"/>
        </w:rPr>
        <w:t>对《鹿城区工业用地功能转变工作实施方案》（</w:t>
      </w:r>
      <w:r>
        <w:rPr>
          <w:rFonts w:hint="eastAsia" w:ascii="仿宋_GB2312" w:hAnsi="仿宋_GB2312" w:cs="仿宋_GB2312"/>
          <w:szCs w:val="32"/>
          <w:lang w:val="en-US" w:eastAsia="zh-CN"/>
        </w:rPr>
        <w:t>以下简称实施方案</w:t>
      </w:r>
      <w:r>
        <w:rPr>
          <w:rFonts w:hint="eastAsia" w:ascii="仿宋_GB2312" w:hAnsi="仿宋_GB2312" w:cs="仿宋_GB2312"/>
          <w:szCs w:val="32"/>
          <w:lang w:eastAsia="zh-CN"/>
        </w:rPr>
        <w:t>）进行调整最终</w:t>
      </w:r>
      <w:r>
        <w:rPr>
          <w:rFonts w:hint="eastAsia" w:ascii="仿宋_GB2312" w:hAnsi="仿宋_GB2312" w:cs="仿宋_GB2312"/>
          <w:szCs w:val="32"/>
        </w:rPr>
        <w:t>形成本稿。</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黑体" w:hAnsi="黑体" w:eastAsia="黑体" w:cs="仿宋_GB2312"/>
          <w:bCs/>
          <w:szCs w:val="32"/>
        </w:rPr>
      </w:pPr>
      <w:r>
        <w:rPr>
          <w:rFonts w:hint="eastAsia" w:ascii="黑体" w:hAnsi="黑体" w:eastAsia="黑体" w:cs="仿宋_GB2312"/>
          <w:bCs/>
          <w:szCs w:val="32"/>
        </w:rPr>
        <w:t>二、前期研究讨论情况</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hint="eastAsia" w:ascii="仿宋_GB2312" w:eastAsia="仿宋_GB2312" w:cs="仿宋_GB2312"/>
          <w:szCs w:val="32"/>
          <w:lang w:eastAsia="zh-CN"/>
        </w:rPr>
      </w:pPr>
      <w:r>
        <w:rPr>
          <w:rFonts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9</w:t>
      </w:r>
      <w:r>
        <w:rPr>
          <w:rFonts w:hint="eastAsia" w:ascii="仿宋_GB2312" w:hAnsi="仿宋_GB2312" w:cs="仿宋_GB2312"/>
          <w:szCs w:val="32"/>
        </w:rPr>
        <w:t>月完成了《</w:t>
      </w:r>
      <w:r>
        <w:rPr>
          <w:rFonts w:hint="eastAsia" w:ascii="仿宋_GB2312" w:hAnsi="仿宋_GB2312" w:cs="仿宋_GB2312"/>
          <w:szCs w:val="32"/>
          <w:lang w:eastAsia="zh-CN"/>
        </w:rPr>
        <w:t>实施方案（</w:t>
      </w:r>
      <w:r>
        <w:rPr>
          <w:rFonts w:hint="eastAsia" w:ascii="仿宋_GB2312" w:hAnsi="仿宋_GB2312" w:cs="仿宋_GB2312"/>
          <w:szCs w:val="32"/>
          <w:lang w:val="en-US" w:eastAsia="zh-CN"/>
        </w:rPr>
        <w:t>初步讨论稿</w:t>
      </w:r>
      <w:r>
        <w:rPr>
          <w:rFonts w:hint="eastAsia" w:ascii="仿宋_GB2312" w:hAnsi="仿宋_GB2312" w:cs="仿宋_GB2312"/>
          <w:szCs w:val="32"/>
          <w:lang w:eastAsia="zh-CN"/>
        </w:rPr>
        <w:t>）</w:t>
      </w:r>
      <w:r>
        <w:rPr>
          <w:rFonts w:hint="eastAsia" w:ascii="仿宋_GB2312" w:hAnsi="仿宋_GB2312" w:cs="仿宋_GB2312"/>
          <w:szCs w:val="32"/>
        </w:rPr>
        <w:t>》，</w:t>
      </w:r>
      <w:r>
        <w:rPr>
          <w:rFonts w:hint="eastAsia" w:ascii="仿宋_GB2312" w:hAnsi="仿宋_GB2312" w:cs="仿宋_GB2312"/>
          <w:szCs w:val="32"/>
          <w:lang w:val="en-US" w:eastAsia="zh-CN"/>
        </w:rPr>
        <w:t>区政府主要领导分别于9月19日、9月23日、10月16日、10月25日、11月18日，组织相关部门、街镇专题研究讨论。2024年11月22日，我局根据市级文件和相关会议精神修改完善《实施方案》，</w:t>
      </w:r>
      <w:r>
        <w:rPr>
          <w:rFonts w:hint="eastAsia" w:ascii="仿宋_GB2312" w:hAnsi="仿宋_GB2312" w:cs="仿宋_GB2312"/>
          <w:szCs w:val="32"/>
        </w:rPr>
        <w:t>并发文向相关部门和各街镇征求意见，</w:t>
      </w:r>
      <w:r>
        <w:rPr>
          <w:rFonts w:hint="eastAsia" w:ascii="仿宋_GB2312" w:hAnsi="仿宋_GB2312" w:cs="仿宋_GB2312"/>
          <w:szCs w:val="32"/>
          <w:lang w:val="en-US" w:eastAsia="zh-CN"/>
        </w:rPr>
        <w:t>目前相关意见正在收集中</w:t>
      </w:r>
      <w:r>
        <w:rPr>
          <w:rFonts w:hint="eastAsia" w:ascii="仿宋_GB2312" w:hAnsi="仿宋_GB2312" w:cs="仿宋_GB2312"/>
          <w:szCs w:val="32"/>
          <w:lang w:eastAsia="zh-CN"/>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黑体" w:hAnsi="宋体" w:eastAsia="黑体"/>
          <w:szCs w:val="32"/>
        </w:rPr>
      </w:pPr>
      <w:r>
        <w:rPr>
          <w:rFonts w:hint="eastAsia" w:ascii="黑体" w:hAnsi="宋体" w:eastAsia="黑体"/>
          <w:szCs w:val="32"/>
        </w:rPr>
        <w:t>三、主要内容和框架</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仿宋_GB2312"/>
          <w:szCs w:val="32"/>
        </w:rPr>
      </w:pPr>
      <w:r>
        <w:rPr>
          <w:rFonts w:hint="eastAsia" w:ascii="仿宋_GB2312"/>
          <w:szCs w:val="32"/>
        </w:rPr>
        <w:t>《</w:t>
      </w:r>
      <w:r>
        <w:rPr>
          <w:rFonts w:hint="eastAsia" w:ascii="仿宋_GB2312"/>
          <w:szCs w:val="32"/>
          <w:lang w:eastAsia="zh-CN"/>
        </w:rPr>
        <w:t>实施方案</w:t>
      </w:r>
      <w:r>
        <w:rPr>
          <w:rFonts w:hint="eastAsia" w:ascii="仿宋_GB2312"/>
          <w:szCs w:val="32"/>
        </w:rPr>
        <w:t>》共分</w:t>
      </w:r>
      <w:r>
        <w:rPr>
          <w:rFonts w:hint="eastAsia" w:ascii="仿宋_GB2312"/>
          <w:szCs w:val="32"/>
          <w:lang w:val="en-US" w:eastAsia="zh-CN"/>
        </w:rPr>
        <w:t>5</w:t>
      </w:r>
      <w:r>
        <w:rPr>
          <w:rFonts w:hint="eastAsia" w:ascii="仿宋_GB2312"/>
          <w:szCs w:val="32"/>
        </w:rPr>
        <w:t>部分，分别为</w:t>
      </w:r>
      <w:r>
        <w:rPr>
          <w:rFonts w:hint="eastAsia" w:ascii="仿宋_GB2312"/>
          <w:szCs w:val="32"/>
          <w:lang w:val="en-US" w:eastAsia="zh-CN"/>
        </w:rPr>
        <w:t>总体目标、主要内容、实施要求、实施监管、组织保障等，</w:t>
      </w:r>
      <w:r>
        <w:rPr>
          <w:rFonts w:hint="eastAsia" w:ascii="仿宋_GB2312"/>
          <w:szCs w:val="32"/>
        </w:rPr>
        <w:t>具体如下：</w:t>
      </w:r>
    </w:p>
    <w:p>
      <w:pPr>
        <w:keepNext w:val="0"/>
        <w:keepLines w:val="0"/>
        <w:pageBreakBefore w:val="0"/>
        <w:widowControl w:val="0"/>
        <w:numPr>
          <w:ilvl w:val="0"/>
          <w:numId w:val="0"/>
        </w:numPr>
        <w:kinsoku/>
        <w:wordWrap/>
        <w:overflowPunct/>
        <w:topLinePunct w:val="0"/>
        <w:autoSpaceDE/>
        <w:autoSpaceDN/>
        <w:bidi w:val="0"/>
        <w:adjustRightInd/>
        <w:spacing w:line="550" w:lineRule="exact"/>
        <w:ind w:firstLine="640" w:firstLineChars="200"/>
        <w:jc w:val="both"/>
        <w:rPr>
          <w:rFonts w:ascii="黑体" w:hAnsi="黑体" w:eastAsia="黑体"/>
          <w:color w:val="auto"/>
          <w:sz w:val="32"/>
          <w:szCs w:val="32"/>
        </w:rPr>
      </w:pPr>
      <w:r>
        <w:rPr>
          <w:rFonts w:hint="eastAsia" w:ascii="楷体_GB2312" w:eastAsia="楷体_GB2312"/>
          <w:szCs w:val="32"/>
          <w:lang w:eastAsia="zh-CN"/>
        </w:rPr>
        <w:t>（</w:t>
      </w:r>
      <w:r>
        <w:rPr>
          <w:rFonts w:hint="eastAsia" w:ascii="楷体_GB2312" w:eastAsia="楷体_GB2312"/>
          <w:szCs w:val="32"/>
          <w:lang w:val="en-US" w:eastAsia="zh-CN"/>
        </w:rPr>
        <w:t>一</w:t>
      </w:r>
      <w:r>
        <w:rPr>
          <w:rFonts w:hint="eastAsia" w:ascii="楷体_GB2312" w:eastAsia="楷体_GB2312"/>
          <w:szCs w:val="32"/>
          <w:lang w:eastAsia="zh-CN"/>
        </w:rPr>
        <w:t>）</w:t>
      </w:r>
      <w:r>
        <w:rPr>
          <w:rFonts w:hint="eastAsia" w:ascii="楷体_GB2312" w:eastAsia="楷体_GB2312"/>
          <w:szCs w:val="32"/>
        </w:rPr>
        <w:t>总</w:t>
      </w:r>
      <w:r>
        <w:rPr>
          <w:rFonts w:hint="eastAsia" w:ascii="楷体_GB2312" w:eastAsia="楷体_GB2312"/>
          <w:szCs w:val="32"/>
          <w:lang w:val="en-US" w:eastAsia="zh-CN"/>
        </w:rPr>
        <w:t>体目标</w:t>
      </w:r>
      <w:r>
        <w:rPr>
          <w:rFonts w:hint="eastAsia" w:ascii="楷体_GB2312" w:eastAsia="楷体_GB2312"/>
          <w:szCs w:val="32"/>
        </w:rPr>
        <w:t>。</w:t>
      </w:r>
      <w:r>
        <w:rPr>
          <w:rFonts w:hint="eastAsia" w:ascii="仿宋_GB2312"/>
          <w:szCs w:val="32"/>
        </w:rPr>
        <w:t>主要内容包括编制</w:t>
      </w:r>
      <w:r>
        <w:rPr>
          <w:rFonts w:hint="eastAsia" w:ascii="仿宋_GB2312"/>
          <w:szCs w:val="32"/>
          <w:lang w:val="en-US" w:eastAsia="zh-CN"/>
        </w:rPr>
        <w:t>原则、导向、路径</w:t>
      </w:r>
      <w:r>
        <w:rPr>
          <w:rFonts w:hint="eastAsia" w:ascii="仿宋_GB2312"/>
          <w:szCs w:val="32"/>
          <w:lang w:eastAsia="zh-CN"/>
        </w:rPr>
        <w:t>，</w:t>
      </w:r>
      <w:r>
        <w:rPr>
          <w:rFonts w:hint="eastAsia" w:ascii="仿宋_GB2312"/>
          <w:szCs w:val="32"/>
          <w:lang w:val="en-US" w:eastAsia="zh-CN"/>
        </w:rPr>
        <w:t>以达到</w:t>
      </w:r>
      <w:r>
        <w:rPr>
          <w:rFonts w:hint="eastAsia" w:ascii="仿宋_GB2312"/>
          <w:szCs w:val="32"/>
          <w:lang w:eastAsia="zh-CN"/>
        </w:rPr>
        <w:t>有效整合城市空间资源并强化监督管理，有序推进鹿城区工业用地功能转变和产业提升的</w:t>
      </w:r>
      <w:r>
        <w:rPr>
          <w:rFonts w:hint="eastAsia" w:ascii="仿宋_GB2312"/>
          <w:szCs w:val="32"/>
          <w:lang w:val="en-US" w:eastAsia="zh-CN"/>
        </w:rPr>
        <w:t>目的</w:t>
      </w:r>
      <w:r>
        <w:rPr>
          <w:rFonts w:hint="eastAsia"/>
          <w:szCs w:val="32"/>
        </w:rPr>
        <w:t>。</w:t>
      </w:r>
    </w:p>
    <w:p>
      <w:pPr>
        <w:keepNext w:val="0"/>
        <w:keepLines w:val="0"/>
        <w:pageBreakBefore w:val="0"/>
        <w:widowControl w:val="0"/>
        <w:numPr>
          <w:ilvl w:val="0"/>
          <w:numId w:val="0"/>
        </w:numPr>
        <w:kinsoku/>
        <w:wordWrap/>
        <w:overflowPunct/>
        <w:topLinePunct w:val="0"/>
        <w:autoSpaceDE/>
        <w:autoSpaceDN/>
        <w:bidi w:val="0"/>
        <w:adjustRightInd/>
        <w:spacing w:line="550" w:lineRule="exact"/>
        <w:ind w:firstLine="640" w:firstLineChars="200"/>
        <w:jc w:val="both"/>
        <w:rPr>
          <w:rFonts w:hint="eastAsia" w:ascii="仿宋_GB2312"/>
          <w:szCs w:val="32"/>
          <w:lang w:val="en-US" w:eastAsia="zh-CN"/>
        </w:rPr>
      </w:pPr>
      <w:r>
        <w:rPr>
          <w:rFonts w:hint="eastAsia" w:ascii="楷体_GB2312" w:eastAsia="楷体_GB2312" w:cs="Times New Roman"/>
          <w:szCs w:val="32"/>
          <w:lang w:val="en-US" w:eastAsia="zh-CN"/>
        </w:rPr>
        <w:t>（二）主要内容</w:t>
      </w:r>
      <w:r>
        <w:rPr>
          <w:rFonts w:hint="eastAsia" w:ascii="楷体_GB2312" w:hAnsi="Times New Roman" w:eastAsia="楷体_GB2312" w:cs="Times New Roman"/>
          <w:szCs w:val="32"/>
          <w:lang w:val="en-US" w:eastAsia="zh-CN"/>
        </w:rPr>
        <w:t>。</w:t>
      </w:r>
      <w:r>
        <w:rPr>
          <w:rFonts w:hint="eastAsia" w:ascii="仿宋_GB2312"/>
          <w:szCs w:val="32"/>
        </w:rPr>
        <w:t>主要内容包括</w:t>
      </w:r>
      <w:r>
        <w:rPr>
          <w:rFonts w:hint="eastAsia" w:ascii="仿宋_GB2312"/>
          <w:szCs w:val="32"/>
          <w:lang w:val="en-US" w:eastAsia="zh-CN"/>
        </w:rPr>
        <w:t>实施方式、实施范围、办理程序等内容。</w:t>
      </w:r>
    </w:p>
    <w:p>
      <w:pPr>
        <w:keepNext w:val="0"/>
        <w:keepLines w:val="0"/>
        <w:pageBreakBefore w:val="0"/>
        <w:widowControl w:val="0"/>
        <w:numPr>
          <w:ilvl w:val="0"/>
          <w:numId w:val="0"/>
        </w:numPr>
        <w:kinsoku/>
        <w:wordWrap/>
        <w:overflowPunct/>
        <w:topLinePunct w:val="0"/>
        <w:autoSpaceDE/>
        <w:autoSpaceDN/>
        <w:bidi w:val="0"/>
        <w:adjustRightInd/>
        <w:spacing w:line="550" w:lineRule="exact"/>
        <w:ind w:firstLine="643" w:firstLineChars="200"/>
        <w:jc w:val="both"/>
        <w:rPr>
          <w:rFonts w:hint="eastAsia"/>
          <w:lang w:val="en-US" w:eastAsia="zh-CN"/>
        </w:rPr>
      </w:pPr>
      <w:r>
        <w:rPr>
          <w:rFonts w:hint="eastAsia"/>
          <w:b/>
          <w:bCs/>
          <w:lang w:val="en-US" w:eastAsia="zh-CN"/>
        </w:rPr>
        <w:t>1.实施方式。</w:t>
      </w:r>
      <w:r>
        <w:rPr>
          <w:rFonts w:hint="eastAsia"/>
          <w:lang w:val="en-US" w:eastAsia="zh-CN"/>
        </w:rPr>
        <w:t>分为正式退改和临时退改两类。</w:t>
      </w:r>
    </w:p>
    <w:p>
      <w:pPr>
        <w:keepNext w:val="0"/>
        <w:keepLines w:val="0"/>
        <w:pageBreakBefore w:val="0"/>
        <w:widowControl w:val="0"/>
        <w:numPr>
          <w:ilvl w:val="0"/>
          <w:numId w:val="0"/>
        </w:numPr>
        <w:kinsoku/>
        <w:wordWrap/>
        <w:overflowPunct/>
        <w:topLinePunct w:val="0"/>
        <w:autoSpaceDE/>
        <w:autoSpaceDN/>
        <w:bidi w:val="0"/>
        <w:adjustRightInd/>
        <w:spacing w:line="550" w:lineRule="exact"/>
        <w:ind w:firstLine="643" w:firstLineChars="200"/>
        <w:jc w:val="both"/>
        <w:rPr>
          <w:rFonts w:hint="eastAsia"/>
          <w:lang w:val="en-US" w:eastAsia="zh-CN"/>
        </w:rPr>
      </w:pPr>
      <w:r>
        <w:rPr>
          <w:rFonts w:hint="eastAsia"/>
          <w:b/>
          <w:bCs/>
          <w:lang w:val="en-US" w:eastAsia="zh-CN"/>
        </w:rPr>
        <w:t>2.实施范围。</w:t>
      </w:r>
      <w:r>
        <w:rPr>
          <w:rFonts w:hint="eastAsia"/>
          <w:lang w:val="en-US" w:eastAsia="zh-CN"/>
        </w:rPr>
        <w:t>全区范围内工业用地，并结合实际划定一般转变区域、有条件转变区域和限制转变区域。</w:t>
      </w:r>
    </w:p>
    <w:p>
      <w:pPr>
        <w:keepNext w:val="0"/>
        <w:keepLines w:val="0"/>
        <w:pageBreakBefore w:val="0"/>
        <w:widowControl w:val="0"/>
        <w:numPr>
          <w:ilvl w:val="0"/>
          <w:numId w:val="0"/>
        </w:numPr>
        <w:kinsoku/>
        <w:wordWrap/>
        <w:overflowPunct/>
        <w:topLinePunct w:val="0"/>
        <w:autoSpaceDE/>
        <w:autoSpaceDN/>
        <w:bidi w:val="0"/>
        <w:adjustRightInd/>
        <w:spacing w:line="550" w:lineRule="exact"/>
        <w:ind w:firstLine="643" w:firstLineChars="200"/>
        <w:jc w:val="both"/>
        <w:rPr>
          <w:rFonts w:hint="default"/>
          <w:lang w:val="en-US" w:eastAsia="zh-CN"/>
        </w:rPr>
      </w:pPr>
      <w:r>
        <w:rPr>
          <w:rFonts w:hint="eastAsia"/>
          <w:b/>
          <w:bCs/>
          <w:lang w:val="en-US" w:eastAsia="zh-CN"/>
        </w:rPr>
        <w:t>3.办理程序。</w:t>
      </w:r>
      <w:r>
        <w:rPr>
          <w:rFonts w:hint="eastAsia"/>
          <w:lang w:val="en-US" w:eastAsia="zh-CN"/>
        </w:rPr>
        <w:t>规范正式退改、临时退改及临时退改续期的办理程序，明确各部门、街镇在办理过程中的具体职责。</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hint="eastAsia" w:ascii="仿宋_GB2312" w:hAnsi="宋体" w:cs="宋体"/>
          <w:kern w:val="0"/>
          <w:szCs w:val="32"/>
        </w:rPr>
      </w:pPr>
      <w:r>
        <w:rPr>
          <w:rFonts w:hint="eastAsia" w:ascii="楷体_GB2312" w:eastAsia="楷体_GB2312"/>
          <w:szCs w:val="32"/>
        </w:rPr>
        <w:t>（</w:t>
      </w:r>
      <w:r>
        <w:rPr>
          <w:rFonts w:hint="eastAsia" w:ascii="楷体_GB2312" w:eastAsia="楷体_GB2312"/>
          <w:szCs w:val="32"/>
          <w:lang w:val="en-US" w:eastAsia="zh-CN"/>
        </w:rPr>
        <w:t>三</w:t>
      </w:r>
      <w:r>
        <w:rPr>
          <w:rFonts w:hint="eastAsia" w:ascii="楷体_GB2312" w:eastAsia="楷体_GB2312"/>
          <w:szCs w:val="32"/>
        </w:rPr>
        <w:t>）</w:t>
      </w:r>
      <w:r>
        <w:rPr>
          <w:rFonts w:hint="eastAsia" w:ascii="楷体_GB2312" w:eastAsia="楷体_GB2312"/>
          <w:szCs w:val="32"/>
          <w:lang w:val="en-US" w:eastAsia="zh-CN"/>
        </w:rPr>
        <w:t>实施要求</w:t>
      </w:r>
      <w:r>
        <w:rPr>
          <w:rFonts w:hint="eastAsia" w:ascii="楷体_GB2312" w:eastAsia="楷体_GB2312"/>
          <w:szCs w:val="32"/>
        </w:rPr>
        <w:t>。</w:t>
      </w:r>
      <w:r>
        <w:rPr>
          <w:rFonts w:hint="eastAsia" w:ascii="仿宋_GB2312"/>
          <w:szCs w:val="32"/>
        </w:rPr>
        <w:t>主要内容</w:t>
      </w:r>
      <w:r>
        <w:rPr>
          <w:rFonts w:hint="eastAsia" w:ascii="仿宋_GB2312"/>
          <w:szCs w:val="32"/>
          <w:lang w:val="en-US" w:eastAsia="zh-CN"/>
        </w:rPr>
        <w:t>为出让金（收益金）相关要求、工业区块线内退改项目的管控要求、新增配套要求和工业企业用于自产自销的建筑管控要求</w:t>
      </w:r>
      <w:r>
        <w:rPr>
          <w:rFonts w:hint="eastAsia" w:ascii="仿宋_GB2312" w:hAnsi="宋体" w:cs="宋体"/>
          <w:kern w:val="0"/>
          <w:szCs w:val="32"/>
        </w:rPr>
        <w:t>。</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rPr>
          <w:rFonts w:hint="default" w:ascii="仿宋_GB2312"/>
          <w:szCs w:val="32"/>
          <w:lang w:val="en-US" w:eastAsia="zh-CN"/>
        </w:rPr>
      </w:pPr>
      <w:r>
        <w:rPr>
          <w:rFonts w:hint="eastAsia"/>
          <w:b/>
          <w:bCs/>
          <w:lang w:val="en-US" w:eastAsia="zh-CN"/>
        </w:rPr>
        <w:t>1.</w:t>
      </w:r>
      <w:r>
        <w:rPr>
          <w:rFonts w:hint="eastAsia" w:ascii="仿宋_GB2312"/>
          <w:b/>
          <w:bCs/>
          <w:szCs w:val="32"/>
          <w:lang w:val="en-US" w:eastAsia="zh-CN"/>
        </w:rPr>
        <w:t>出让金（收益金）相关要求。</w:t>
      </w:r>
      <w:r>
        <w:rPr>
          <w:rFonts w:hint="eastAsia" w:ascii="仿宋_GB2312"/>
          <w:szCs w:val="32"/>
          <w:lang w:val="en-US" w:eastAsia="zh-CN"/>
        </w:rPr>
        <w:t>依照《温州市人民政府办公室印发关于有序推进温州市区工业用地功能转变指导意见的通知》（温政办〔2024〕55号），结合鹿城实际，明确各区域临时退改的收益金标准，并对其他情形的收益金作了规定。</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rPr>
          <w:rFonts w:hint="default" w:ascii="仿宋_GB2312"/>
          <w:szCs w:val="32"/>
          <w:lang w:val="en-US" w:eastAsia="zh-CN"/>
        </w:rPr>
      </w:pPr>
      <w:r>
        <w:rPr>
          <w:rFonts w:hint="eastAsia" w:ascii="仿宋_GB2312"/>
          <w:b/>
          <w:bCs/>
          <w:szCs w:val="32"/>
          <w:lang w:val="en-US" w:eastAsia="zh-CN"/>
        </w:rPr>
        <w:t>2.工业区块线内退改项目的管控要求。</w:t>
      </w:r>
      <w:r>
        <w:rPr>
          <w:rFonts w:hint="eastAsia" w:ascii="仿宋_GB2312"/>
          <w:szCs w:val="32"/>
          <w:lang w:val="en-US" w:eastAsia="zh-CN"/>
        </w:rPr>
        <w:t>各街镇范围实行总量管控，退改部位原则上应位于沿街的建筑；实施正式退改的，实行“占一补一”，属地街镇在申请时需一并提供占补方案。</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rPr>
          <w:rFonts w:hint="default" w:ascii="仿宋_GB2312"/>
          <w:szCs w:val="32"/>
          <w:lang w:val="en-US" w:eastAsia="zh-CN"/>
        </w:rPr>
      </w:pPr>
      <w:r>
        <w:rPr>
          <w:rFonts w:hint="eastAsia" w:ascii="仿宋_GB2312"/>
          <w:b/>
          <w:bCs/>
          <w:szCs w:val="32"/>
          <w:lang w:val="en-US" w:eastAsia="zh-CN"/>
        </w:rPr>
        <w:t>3.新增配套要求。</w:t>
      </w:r>
      <w:r>
        <w:rPr>
          <w:rFonts w:hint="eastAsia" w:ascii="仿宋_GB2312"/>
          <w:szCs w:val="32"/>
          <w:lang w:val="en-US" w:eastAsia="zh-CN"/>
        </w:rPr>
        <w:t>对新增配套设施的范围、面积、期限等要求作了明确规定。</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rPr>
          <w:rFonts w:hint="default" w:ascii="仿宋_GB2312"/>
          <w:szCs w:val="32"/>
          <w:lang w:val="en-US" w:eastAsia="zh-CN"/>
        </w:rPr>
      </w:pPr>
      <w:r>
        <w:rPr>
          <w:rFonts w:hint="eastAsia" w:ascii="仿宋_GB2312"/>
          <w:b/>
          <w:bCs/>
          <w:szCs w:val="32"/>
          <w:lang w:val="en-US" w:eastAsia="zh-CN"/>
        </w:rPr>
        <w:t>4.工业企业用于自产自销的建筑管控要求。</w:t>
      </w:r>
      <w:r>
        <w:rPr>
          <w:rFonts w:hint="eastAsia" w:ascii="仿宋_GB2312"/>
          <w:szCs w:val="32"/>
          <w:lang w:val="en-US" w:eastAsia="zh-CN"/>
        </w:rPr>
        <w:t>明确工业企业用于自产自销的门市部或档口不作为改变房屋用途管理，其建筑面积原则上不大于合法建筑面积的5%，且不超过200平方米。</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hint="eastAsia" w:ascii="仿宋_GB2312" w:hAnsi="宋体" w:cs="宋体"/>
          <w:kern w:val="0"/>
          <w:szCs w:val="32"/>
        </w:rPr>
      </w:pPr>
      <w:r>
        <w:rPr>
          <w:rFonts w:hint="eastAsia" w:ascii="楷体_GB2312" w:eastAsia="楷体_GB2312"/>
          <w:szCs w:val="32"/>
        </w:rPr>
        <w:t>（</w:t>
      </w:r>
      <w:r>
        <w:rPr>
          <w:rFonts w:hint="eastAsia" w:ascii="楷体_GB2312" w:eastAsia="楷体_GB2312"/>
          <w:szCs w:val="32"/>
          <w:lang w:val="en-US" w:eastAsia="zh-CN"/>
        </w:rPr>
        <w:t>四</w:t>
      </w:r>
      <w:r>
        <w:rPr>
          <w:rFonts w:hint="eastAsia" w:ascii="楷体_GB2312" w:eastAsia="楷体_GB2312"/>
          <w:szCs w:val="32"/>
        </w:rPr>
        <w:t>）</w:t>
      </w:r>
      <w:r>
        <w:rPr>
          <w:rFonts w:hint="eastAsia" w:ascii="楷体_GB2312" w:eastAsia="楷体_GB2312"/>
          <w:szCs w:val="32"/>
          <w:lang w:val="en-US" w:eastAsia="zh-CN"/>
        </w:rPr>
        <w:t>实施监管</w:t>
      </w:r>
      <w:r>
        <w:rPr>
          <w:rFonts w:hint="eastAsia" w:ascii="楷体_GB2312" w:eastAsia="楷体_GB2312"/>
          <w:szCs w:val="32"/>
        </w:rPr>
        <w:t>。</w:t>
      </w:r>
      <w:r>
        <w:rPr>
          <w:rFonts w:hint="eastAsia" w:ascii="仿宋_GB2312" w:hAnsi="宋体" w:cs="宋体"/>
          <w:kern w:val="0"/>
          <w:szCs w:val="32"/>
          <w:lang w:val="en-US" w:eastAsia="zh-CN"/>
        </w:rPr>
        <w:t>主要内容为日常监管和历史遗留问题清理处置</w:t>
      </w:r>
      <w:r>
        <w:rPr>
          <w:rFonts w:hint="eastAsia" w:ascii="仿宋_GB2312" w:hAnsi="宋体" w:cs="宋体"/>
          <w:kern w:val="0"/>
          <w:szCs w:val="32"/>
        </w:rPr>
        <w:t>。</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rPr>
          <w:rFonts w:hint="default" w:ascii="仿宋_GB2312" w:hAnsi="宋体" w:cs="宋体"/>
          <w:kern w:val="0"/>
          <w:szCs w:val="32"/>
          <w:lang w:val="en-US" w:eastAsia="zh-CN"/>
        </w:rPr>
      </w:pPr>
      <w:r>
        <w:rPr>
          <w:rFonts w:hint="eastAsia" w:ascii="仿宋_GB2312" w:hAnsi="宋体" w:cs="宋体"/>
          <w:b/>
          <w:bCs/>
          <w:kern w:val="0"/>
          <w:szCs w:val="32"/>
          <w:lang w:val="en-US" w:eastAsia="zh-CN"/>
        </w:rPr>
        <w:t>1.日常监管。</w:t>
      </w:r>
      <w:r>
        <w:rPr>
          <w:rFonts w:hint="eastAsia" w:ascii="仿宋_GB2312" w:hAnsi="宋体" w:cs="宋体"/>
          <w:kern w:val="0"/>
          <w:szCs w:val="32"/>
          <w:lang w:val="en-US" w:eastAsia="zh-CN"/>
        </w:rPr>
        <w:t>各部门、街镇按照职能分工，各司其职做好相应监管工作，在监管中发现擅自改变房屋用途的，及时将线索移交区资规部门或区综合行政执法部门。</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rPr>
          <w:rFonts w:hint="default" w:ascii="仿宋_GB2312" w:hAnsi="宋体" w:cs="宋体"/>
          <w:kern w:val="0"/>
          <w:szCs w:val="32"/>
          <w:lang w:val="en-US" w:eastAsia="zh-CN"/>
        </w:rPr>
      </w:pPr>
      <w:r>
        <w:rPr>
          <w:rFonts w:hint="eastAsia" w:ascii="仿宋_GB2312" w:hAnsi="宋体" w:cs="宋体"/>
          <w:b/>
          <w:bCs/>
          <w:kern w:val="0"/>
          <w:szCs w:val="32"/>
          <w:lang w:val="en-US" w:eastAsia="zh-CN"/>
        </w:rPr>
        <w:t>2.历史遗留问题清理处置。</w:t>
      </w:r>
      <w:r>
        <w:rPr>
          <w:rFonts w:hint="eastAsia" w:ascii="仿宋_GB2312" w:hAnsi="宋体" w:cs="宋体"/>
          <w:kern w:val="0"/>
          <w:szCs w:val="32"/>
          <w:lang w:val="en-US" w:eastAsia="zh-CN"/>
        </w:rPr>
        <w:t>各街镇在2025年5月底前，对辖区范围内未经审批擅自临时改变房屋用途、原协议书已作废的临时改变房屋用途的项目，按照《历史遗留工业用地临时改变房屋用途清理处置实施细则》要求，完成清理处置任务。</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rPr>
          <w:rFonts w:ascii="宋体" w:eastAsia="宋体"/>
          <w:bCs/>
          <w:color w:val="000000"/>
          <w:kern w:val="0"/>
          <w:szCs w:val="32"/>
        </w:rPr>
      </w:pPr>
      <w:r>
        <w:rPr>
          <w:rFonts w:hint="eastAsia" w:ascii="楷体_GB2312" w:eastAsia="楷体_GB2312"/>
          <w:szCs w:val="32"/>
        </w:rPr>
        <w:t>（</w:t>
      </w:r>
      <w:r>
        <w:rPr>
          <w:rFonts w:hint="eastAsia" w:ascii="楷体_GB2312" w:eastAsia="楷体_GB2312"/>
          <w:szCs w:val="32"/>
          <w:lang w:val="en-US" w:eastAsia="zh-CN"/>
        </w:rPr>
        <w:t>五</w:t>
      </w:r>
      <w:r>
        <w:rPr>
          <w:rFonts w:hint="eastAsia" w:ascii="楷体_GB2312" w:eastAsia="楷体_GB2312"/>
          <w:szCs w:val="32"/>
        </w:rPr>
        <w:t>）</w:t>
      </w:r>
      <w:r>
        <w:rPr>
          <w:rFonts w:hint="eastAsia" w:ascii="楷体_GB2312" w:eastAsia="楷体_GB2312"/>
          <w:szCs w:val="32"/>
          <w:lang w:val="en-US" w:eastAsia="zh-CN"/>
        </w:rPr>
        <w:t>组织保障</w:t>
      </w:r>
      <w:r>
        <w:rPr>
          <w:rFonts w:hint="eastAsia" w:ascii="楷体_GB2312" w:eastAsia="楷体_GB2312"/>
          <w:szCs w:val="32"/>
        </w:rPr>
        <w:t>。</w:t>
      </w:r>
      <w:r>
        <w:rPr>
          <w:rFonts w:hint="eastAsia"/>
          <w:bCs/>
          <w:szCs w:val="32"/>
        </w:rPr>
        <w:t>在区资产盘活领导小组下，分设工业用地功能转变工作小组，</w:t>
      </w:r>
      <w:r>
        <w:rPr>
          <w:rFonts w:hint="eastAsia"/>
          <w:bCs/>
          <w:szCs w:val="32"/>
          <w:lang w:val="en-US" w:eastAsia="zh-CN"/>
        </w:rPr>
        <w:t>同时明确各成员单位职责分工</w:t>
      </w:r>
      <w:r>
        <w:rPr>
          <w:rFonts w:hint="eastAsia" w:ascii="宋体" w:hAnsi="宋体"/>
          <w:bCs/>
          <w:color w:val="000000"/>
          <w:kern w:val="0"/>
          <w:szCs w:val="32"/>
        </w:rPr>
        <w:t>。</w:t>
      </w:r>
    </w:p>
    <w:sectPr>
      <w:headerReference r:id="rId3" w:type="default"/>
      <w:footerReference r:id="rId4" w:type="default"/>
      <w:pgSz w:w="11906" w:h="16838"/>
      <w:pgMar w:top="1984" w:right="1531" w:bottom="1984" w:left="1531" w:header="851" w:footer="850"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-25400</wp:posOffset>
              </wp:positionV>
              <wp:extent cx="533400" cy="204470"/>
              <wp:effectExtent l="0" t="0" r="0" b="0"/>
              <wp:wrapNone/>
              <wp:docPr id="4097" name="_x0000_s4097"/>
              <wp:cNvGraphicFramePr/>
              <a:graphic xmlns:a="http://schemas.openxmlformats.org/drawingml/2006/main">
                <a:graphicData uri="http://schemas.microsoft.com/office/word/2010/wordprocessingShape">
                  <wps:wsp>
                    <wps:cNvSpPr/>
                    <wps:spPr>
                      <a:xfrm>
                        <a:off x="0" y="0"/>
                        <a:ext cx="533400" cy="204452"/>
                      </a:xfrm>
                      <a:prstGeom prst="rect">
                        <a:avLst/>
                      </a:prstGeom>
                      <a:noFill/>
                      <a:ln w="9525" cap="flat" cmpd="sng">
                        <a:noFill/>
                        <a:prstDash val="solid"/>
                        <a:miter/>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2pt;height:16.1pt;width:42pt;mso-position-horizontal:outside;mso-position-horizontal-relative:margin;mso-wrap-style:none;z-index:251659264;mso-width-relative:page;mso-height-relative:page;" filled="f" stroked="f" coordsize="21600,21600" o:gfxdata="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9z49EAAAAFAQAADwAAAAAAAAABACAAAAAiAAAAZHJzL2Rvd25yZXYueG1sUEsBAhQA&#10;FAAAAAgAh07iQCXVSwr5AQAA+AMAAA4AAAAAAAAAAQAgAAAAIAEAAGRycy9lMm9Eb2MueG1sUEsF&#10;BgAAAAAGAAYAWQEAAIsFAAAAAA==&#10;">
              <v:fill on="f" focussize="0,0"/>
              <v:stroke on="f" joinstyle="miter"/>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doNotSuppressIndentation/>
    <w:autofitToFirstFixedWidthCell/>
    <w:splitPgBreakAndParaMark/>
    <w:compatSetting w:name="compatibilityMode" w:uri="http://schemas.microsoft.com/office/word" w:val="11"/>
  </w:compat>
  <w:rsids>
    <w:rsidRoot w:val="00000000"/>
    <w:rsid w:val="00F22470"/>
    <w:rsid w:val="1AA67063"/>
    <w:rsid w:val="48B0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unhideWhenUsed="0" w:uiPriority="4294967295" w:semiHidden="0" w:name="heading 4" w:locked="1"/>
    <w:lsdException w:unhideWhenUsed="0" w:uiPriority="4294967295" w:semiHidden="0" w:name="heading 5" w:locked="1"/>
    <w:lsdException w:unhideWhenUsed="0" w:uiPriority="4294967295" w:semiHidden="0" w:name="heading 6" w:locked="1"/>
    <w:lsdException w:unhideWhenUsed="0" w:uiPriority="4294967295" w:semiHidden="0" w:name="heading 7" w:locked="1"/>
    <w:lsdException w:unhideWhenUsed="0" w:uiPriority="4294967295" w:semiHidden="0" w:name="heading 8" w:locked="1"/>
    <w:lsdException w:unhideWhenUsed="0" w:uiPriority="4294967295" w:semiHidden="0" w:name="heading 9" w:locked="1"/>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ocked="1"/>
    <w:lsdException w:unhideWhenUsed="0" w:uiPriority="4294967295" w:semiHidden="0" w:name="toc 2" w:locked="1"/>
    <w:lsdException w:unhideWhenUsed="0" w:uiPriority="4294967295" w:semiHidden="0" w:name="toc 3" w:locked="1"/>
    <w:lsdException w:unhideWhenUsed="0" w:uiPriority="4294967295" w:semiHidden="0" w:name="toc 4" w:locked="1"/>
    <w:lsdException w:unhideWhenUsed="0" w:uiPriority="4294967295" w:semiHidden="0" w:name="toc 5" w:locked="1"/>
    <w:lsdException w:unhideWhenUsed="0" w:uiPriority="4294967295" w:semiHidden="0" w:name="toc 6" w:locked="1"/>
    <w:lsdException w:unhideWhenUsed="0" w:uiPriority="4294967295" w:semiHidden="0" w:name="toc 7" w:locked="1"/>
    <w:lsdException w:unhideWhenUsed="0" w:uiPriority="4294967295" w:semiHidden="0" w:name="toc 8" w:locked="1"/>
    <w:lsdException w:unhideWhenUsed="0" w:uiPriority="4294967295" w:semiHidden="0" w:name="toc 9" w:locked="1"/>
    <w:lsdException w:unhideWhenUsed="0" w:uiPriority="4294967295" w:semiHidden="0" w:name="Normal Indent"/>
    <w:lsdException w:unhideWhenUsed="0" w:uiPriority="4294967295" w:semiHidden="0" w:name="footnote text"/>
    <w:lsdException w:unhideWhenUsed="0" w:uiPriority="4294967295" w:semiHidden="0" w:name="annotation text"/>
    <w:lsdException w:qFormat="1" w:unhideWhenUsed="0" w:uiPriority="0" w:semiHidden="0" w:name="header"/>
    <w:lsdException w:qFormat="1" w:unhideWhenUsed="0" w:uiPriority="0" w:semiHidden="0" w:name="footer"/>
    <w:lsdException w:unhideWhenUsed="0" w:uiPriority="4294967295" w:semiHidden="0" w:name="index heading"/>
    <w:lsdException w:unhideWhenUsed="0" w:uiPriority="4294967295" w:semiHidden="0" w:name="caption" w:locked="1"/>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ocked="1"/>
    <w:lsdException w:unhideWhenUsed="0" w:uiPriority="4294967295" w:semiHidden="0" w:name="Closing"/>
    <w:lsdException w:unhideWhenUsed="0" w:uiPriority="4294967295" w:semiHidden="0" w:name="Signature"/>
    <w:lsdException w:qFormat="1" w:unhideWhenUsed="0" w:uiPriority="0" w:semiHidden="0" w:name="Default Paragraph Font"/>
    <w:lsdException w:unhideWhenUsed="0" w:uiPriority="4294967295" w:semiHidden="0" w:name="Body Text"/>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ocked="1"/>
    <w:lsdException w:unhideWhenUsed="0" w:uiPriority="4294967295" w:semiHidden="0" w:name="Emphasis" w:locked="1"/>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qFormat="1" w:unhideWhenUsed="0" w:uiPriority="0"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unhideWhenUsed="0" w:uiPriority="4294967295"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2"/>
    <w:qFormat/>
    <w:locked/>
    <w:uiPriority w:val="0"/>
    <w:pPr>
      <w:spacing w:before="100" w:beforeAutospacing="1" w:after="100" w:afterAutospacing="1"/>
      <w:jc w:val="left"/>
      <w:outlineLvl w:val="0"/>
    </w:pPr>
    <w:rPr>
      <w:rFonts w:ascii="宋体" w:hAnsi="宋体" w:cs="宋体"/>
      <w:b/>
      <w:color w:val="000000"/>
      <w:kern w:val="44"/>
      <w:sz w:val="48"/>
      <w:szCs w:val="48"/>
    </w:rPr>
  </w:style>
  <w:style w:type="paragraph" w:styleId="3">
    <w:name w:val="heading 2"/>
    <w:basedOn w:val="1"/>
    <w:next w:val="1"/>
    <w:link w:val="13"/>
    <w:qFormat/>
    <w:locked/>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qFormat/>
    <w:locked/>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qFormat/>
    <w:uiPriority w:val="4294967295"/>
    <w:tblPr>
      <w:tblCellMar>
        <w:top w:w="0" w:type="dxa"/>
        <w:left w:w="108" w:type="dxa"/>
        <w:bottom w:w="0" w:type="dxa"/>
        <w:right w:w="108" w:type="dxa"/>
      </w:tblCellMar>
    </w:tblPr>
  </w:style>
  <w:style w:type="paragraph" w:styleId="5">
    <w:name w:val="Body Text Indent 2"/>
    <w:basedOn w:val="1"/>
    <w:qFormat/>
    <w:uiPriority w:val="0"/>
    <w:pPr>
      <w:overflowPunct w:val="0"/>
      <w:autoSpaceDE w:val="0"/>
      <w:autoSpaceDN w:val="0"/>
      <w:adjustRightInd w:val="0"/>
      <w:snapToGrid w:val="0"/>
      <w:spacing w:line="580" w:lineRule="exact"/>
      <w:ind w:firstLine="200" w:firstLineChars="200"/>
    </w:pPr>
    <w:rPr>
      <w:rFonts w:ascii="仿宋_GB2312" w:hAnsi="MS Sans Serif"/>
      <w:kern w:val="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12">
    <w:name w:val="heading 1 Char"/>
    <w:basedOn w:val="11"/>
    <w:link w:val="2"/>
    <w:qFormat/>
    <w:uiPriority w:val="0"/>
    <w:rPr>
      <w:rFonts w:ascii="宋体" w:hAnsi="宋体" w:eastAsia="仿宋_GB2312" w:cs="宋体"/>
      <w:b/>
      <w:color w:val="000000"/>
      <w:kern w:val="44"/>
      <w:sz w:val="48"/>
      <w:szCs w:val="48"/>
      <w:lang w:val="en-US" w:eastAsia="zh-CN" w:bidi="ar-SA"/>
    </w:rPr>
  </w:style>
  <w:style w:type="character" w:customStyle="1" w:styleId="13">
    <w:name w:val="heading 2 Char"/>
    <w:basedOn w:val="11"/>
    <w:link w:val="3"/>
    <w:qFormat/>
    <w:uiPriority w:val="0"/>
    <w:rPr>
      <w:rFonts w:ascii="Times New Roman" w:hAnsi="Times New Roman" w:eastAsia="黑体" w:cs="Times New Roman"/>
      <w:b/>
      <w:bCs/>
      <w:kern w:val="2"/>
      <w:sz w:val="32"/>
      <w:szCs w:val="32"/>
      <w:lang w:val="en-US" w:eastAsia="zh-CN" w:bidi="ar-SA"/>
    </w:rPr>
  </w:style>
  <w:style w:type="character" w:customStyle="1" w:styleId="14">
    <w:name w:val="heading 3 Char"/>
    <w:basedOn w:val="11"/>
    <w:link w:val="4"/>
    <w:qFormat/>
    <w:uiPriority w:val="0"/>
    <w:rPr>
      <w:rFonts w:ascii="Times New Roman" w:hAnsi="Times New Roman" w:eastAsia="仿宋_GB2312" w:cs="Times New Roman"/>
      <w:b/>
      <w:bCs/>
      <w:kern w:val="2"/>
      <w:sz w:val="32"/>
      <w:szCs w:val="32"/>
      <w:lang w:val="en-US" w:eastAsia="zh-CN" w:bidi="ar-SA"/>
    </w:rPr>
  </w:style>
  <w:style w:type="character" w:customStyle="1" w:styleId="15">
    <w:name w:val="Body Text Indent 2 Char1"/>
    <w:qFormat/>
    <w:locked/>
    <w:uiPriority w:val="0"/>
    <w:rPr>
      <w:rFonts w:ascii="仿宋_GB2312" w:hAnsi="MS Sans Serif"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E3123-8787-405E-985E-9D94788B220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Pages>
  <Words>0</Words>
  <Characters>850</Characters>
  <Lines>0</Lines>
  <Paragraphs>19</Paragraphs>
  <TotalTime>1</TotalTime>
  <ScaleCrop>false</ScaleCrop>
  <LinksUpToDate>false</LinksUpToDate>
  <CharactersWithSpaces>1134</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2020-07-31T00:35:00Z</dcterms:created>
  <dc:creator>徐宁</dc:creator>
  <cp:lastModifiedBy>DELL</cp:lastModifiedBy>
  <cp:lastPrinted>2024-11-25T06:10:00Z</cp:lastPrinted>
  <dcterms:modified xsi:type="dcterms:W3CDTF">2024-11-25T07:45:39Z</dcterms:modified>
  <dc:title>关于《温州市鹿城区防汛防台抗旱应急预案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575035EC6EB046E09F4235D81C9B2304</vt:lpwstr>
  </property>
</Properties>
</file>