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2024年平阳县迎峰度夏电力需求侧管理工作实施方案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为统筹做好2024年全县电力电量供需平衡，深化运用“市场+行政”措施，充分挖掘需求侧灵活互动潜力，守牢电力安全保供底线，更好支撑服务全县经济社会高质量发展和奋力推进“强城行动”，特编制本方案。</w:t>
      </w:r>
    </w:p>
    <w:p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一、工作举措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紧盯“保供稳价”工作目标，统筹使用各类需求侧管理措施，综合考虑缺口规模、缺口时段、持续时间等多种因素，分类施策。</w:t>
      </w:r>
    </w:p>
    <w:p>
      <w:pPr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（一）基础措施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强化分时电价引导。各乡镇要落实浙发改价格〔2024〕21号文件要求，在6月1日、9月1日等重要时间节点，有序完成分时电价调整。要强化政策宣贯，推动工商业用户主动开展削峰填谷，力争通过分时电价引导实现最大1万千瓦削峰效果，有效降低全县基础用电负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强化节约用电助力。各乡镇要面向公共机构、商业楼宇等主体，严格落实国务院“夏季26度、冬季20度”的温度设置规定，开展城市“灯光秀”、景观照明等亮化用电合理管控，各乡镇能源监察部门做好现场节能监察。结合全国节能宣传周、举办节能宣传月，启动面向低压居民“e起节电”专项行动，依托网上国网APP，引导居民降低空调等用电需求。依托线上线下多渠道，常态开展节电宣传，引导节电理念，科普节电常识，形成全社会节能减碳的新氛围。</w:t>
      </w:r>
    </w:p>
    <w:p>
      <w:pPr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（二）前置措施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当采取临时增购外来电等措施后，仍需负荷管理措施解决的省级缺口在300万千瓦以内时，优先启用空调负荷和移峰填谷等柔性调控措施，启动前至少提前7天研判，提前1天通知用户。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强化空调负荷调控。各乡镇要协同行业主管部门，加强存量调控型空调用户消缺整改，挖掘增量空调用户调控潜力；要强化管控型空调用户宣传引导，指导用户主动调节空调设备，力争具备最大0.66万千瓦空调制冷负荷调控能力，以缓解高峰用电时段（早峰、腰峰时段各1小时）的供需压力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强化企业错峰检修。各乡镇要会同经信部门，持续深挖企业日（周）移峰填谷潜力，滚动开展企业集中检修计划摸排，在6月前正式印发移峰填谷和集中检修用户方案。要加强业务宣贯及政策支持，力争具备最大8.07万千瓦移峰填谷和0.08万千瓦集中检修能力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（三）主要措施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当采取临时增购外来电等措施后，仍需负荷管理措施解决的省级缺口在300万千瓦至600万千瓦以内时，启用需求响应措施，启动前至少提前7天研判，提前1天通知用户。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5.强化需求响应有效落地。按照“一次申报、周期滚动、日前调用”原则，开展负荷资源年度申报、周计划滚动，实现日前调用、日内调用全域平衡。在市场化邀约型需求响应基础上，试行约定型响应模式，提前储备并滚动迎峰度夏需求响应专项方案，力争具备最大15.83万千瓦响应能力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6.强化虚拟电厂示范落地。开展虚拟电厂建设，将电动汽车充电桩、客户侧储能、自备电厂、柴油发电、景观照明等离散资源纳入建设范围。在用电紧张期间，各乡镇要积极组织客户侧储能、自备电厂、柴油发电等灵活资源顶峰发电，确保虚拟电厂在电力保供中发挥实效。市供电公司要服务虚拟电厂建设运营，引导虚拟电厂资源参与需求响应、辅助服务等市场活动。</w:t>
      </w:r>
    </w:p>
    <w:p>
      <w:pPr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（四）兜底措施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当采取临时增购外来电等措施后，仍需负荷管理措施解决的省级缺口在600万千瓦以上时，启用有序用电措施，启动前至少提前7天研判，提前1天通知用户。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7.强化有序用电刚性执行。各乡镇要在迎峰度夏前修编六级32.3万千瓦有序用电方案。经各乡镇政府确认后上报县政府并正式印发。要强化有序用电刚性执行和“白名单”管理，确需调整的用户需由属地政府至少提前一天向我局正式申请，并补足执行方案。</w:t>
      </w:r>
    </w:p>
    <w:p>
      <w:pPr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（五）应急措施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当出现重要输送通道或重要输变电设备或省内电源机组突发故障，浙江电网或局部供电区出现较大缺额时，灵活采用小时级、分钟级、准秒级可中断等措施，今夏分别储备2.90万、1.25万、16.82万千瓦日内响应资源池。在启动有序用电措施期间，若出现电网故障等突发情况，在日内启用应急机动负荷进行补充，今夏储备3.3万千瓦机动负荷资源池。</w:t>
      </w:r>
    </w:p>
    <w:p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二、保障措施</w:t>
      </w:r>
    </w:p>
    <w:p>
      <w:pPr>
        <w:ind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（一）强化资源管理。</w:t>
      </w:r>
      <w:r>
        <w:rPr>
          <w:rFonts w:hint="default" w:ascii="Times New Roman" w:hAnsi="Times New Roman" w:eastAsia="仿宋_GB2312" w:cs="Times New Roman"/>
        </w:rPr>
        <w:t>各乡镇要全面、准确掌握用户侧储能“家底”，推动实现用户侧储能 装表、计量、采集，试点优化储能充放策略，在电力保供中发挥实效。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ascii="楷体_GB2312" w:hAnsi="楷体_GB2312" w:eastAsia="楷体_GB2312" w:cs="楷体_GB2312"/>
        </w:rPr>
        <w:t>（二）压实目标任务。</w:t>
      </w:r>
      <w:r>
        <w:rPr>
          <w:rFonts w:hint="default" w:ascii="Times New Roman" w:hAnsi="Times New Roman" w:eastAsia="仿宋_GB2312" w:cs="Times New Roman"/>
        </w:rPr>
        <w:t>各乡镇按照省委省政府关于电力保供工作决策部署，细化需求侧管理措施，明确责任分工，强化工作协同，推动各项目标任务落实落细。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ascii="楷体_GB2312" w:hAnsi="楷体_GB2312" w:eastAsia="楷体_GB2312" w:cs="楷体_GB2312"/>
        </w:rPr>
        <w:t>（三）健全激励机制。</w:t>
      </w:r>
      <w:r>
        <w:rPr>
          <w:rFonts w:hint="default" w:ascii="Times New Roman" w:hAnsi="Times New Roman" w:eastAsia="仿宋_GB2312" w:cs="Times New Roman"/>
        </w:rPr>
        <w:t>各乡镇要探索建立需求响应、空调负荷、移峰填谷等专项支持政策，鼓励和引导广大用户自愿参与。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ascii="楷体_GB2312" w:hAnsi="楷体_GB2312" w:eastAsia="楷体_GB2312" w:cs="楷体_GB2312"/>
        </w:rPr>
        <w:t>（四）完善运行体系。</w:t>
      </w:r>
      <w:r>
        <w:rPr>
          <w:rFonts w:hint="default" w:ascii="Times New Roman" w:hAnsi="Times New Roman" w:eastAsia="仿宋_GB2312" w:cs="Times New Roman"/>
        </w:rPr>
        <w:t>各乡镇要加强电力负荷管理中心实体化运行，配齐配强专业人员，加强电力供需预测预警，细化月分析周例会日调度机制，实行值班值守，及时协调突发问题。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ascii="楷体_GB2312" w:hAnsi="楷体_GB2312" w:eastAsia="楷体_GB2312" w:cs="楷体_GB2312"/>
        </w:rPr>
        <w:t>（五）加强风险管控。</w:t>
      </w:r>
      <w:r>
        <w:rPr>
          <w:rFonts w:hint="default" w:ascii="Times New Roman" w:hAnsi="Times New Roman" w:eastAsia="仿宋_GB2312" w:cs="Times New Roman"/>
        </w:rPr>
        <w:t>提前研判台风、高温等因素对电力保供带来的不确定性风险，做到提前预案、系统防控、有效化解。加强宣传引导，密切跟踪舆情，主动回应关切，争取理解支持。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21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2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2024年平阳县负荷管理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目标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FF0000"/>
          <w:kern w:val="0"/>
          <w:sz w:val="44"/>
          <w:szCs w:val="20"/>
          <w:highlight w:val="none"/>
          <w:lang w:val="en-US" w:eastAsia="zh-CN"/>
        </w:rPr>
        <w:t xml:space="preserve">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单位：万千瓦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00"/>
        <w:gridCol w:w="1290"/>
        <w:gridCol w:w="1230"/>
        <w:gridCol w:w="1401"/>
        <w:gridCol w:w="1247"/>
        <w:gridCol w:w="1244"/>
        <w:gridCol w:w="1244"/>
        <w:gridCol w:w="1244"/>
        <w:gridCol w:w="1071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空调负荷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移峰填谷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集中检修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日前削峰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小时级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分钟级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准秒级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有序用电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需求响应（约定型）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需求响应（邀约型）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错避峰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机动负荷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12.55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16.82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3.3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95DF98-4FF6-412A-A137-CB6AC27C71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41A83E-68FD-4710-9DAC-0546569895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89E57A-6223-415D-9D6A-857906500FC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E987A1-BE6A-46D0-9CB1-DE6E663273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11F360D-8247-40EC-9FA9-AFF4745AFF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D3E61EDA-C4E0-4DF1-B078-66981E1B459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2FhYjE5ZjVlNTlhODc0MDY2YWQ1MzI3OWU0ZDIifQ=="/>
  </w:docVars>
  <w:rsids>
    <w:rsidRoot w:val="00000000"/>
    <w:rsid w:val="0B5F4595"/>
    <w:rsid w:val="121F796A"/>
    <w:rsid w:val="37E039CE"/>
    <w:rsid w:val="382A35B6"/>
    <w:rsid w:val="508F1B27"/>
    <w:rsid w:val="57D02B2E"/>
    <w:rsid w:val="6550703B"/>
    <w:rsid w:val="77B66680"/>
    <w:rsid w:val="7C0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0" w:leftChars="0"/>
      <w:outlineLvl w:val="0"/>
    </w:pPr>
    <w:rPr>
      <w:rFonts w:ascii="Calibri" w:hAnsi="Calibri" w:eastAsia="黑体" w:cs="Arial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 w:cs="Arial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kinsoku w:val="0"/>
      <w:autoSpaceDE w:val="0"/>
      <w:autoSpaceDN w:val="0"/>
      <w:adjustRightInd w:val="0"/>
      <w:snapToGrid w:val="0"/>
      <w:spacing w:line="500" w:lineRule="exact"/>
      <w:ind w:firstLine="420"/>
      <w:jc w:val="left"/>
      <w:textAlignment w:val="baseline"/>
    </w:pPr>
    <w:rPr>
      <w:rFonts w:ascii="Times New Roman" w:hAnsi="Times New Roman" w:eastAsia="宋体" w:cs="仿宋"/>
      <w:snapToGrid w:val="0"/>
      <w:color w:val="000000"/>
      <w:kern w:val="0"/>
      <w:sz w:val="28"/>
      <w:szCs w:val="32"/>
    </w:rPr>
  </w:style>
  <w:style w:type="paragraph" w:styleId="5">
    <w:name w:val="Body Text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jc w:val="left"/>
      <w:textAlignment w:val="baseline"/>
    </w:pPr>
    <w:rPr>
      <w:rFonts w:ascii="Arial" w:hAnsi="Arial" w:eastAsia="Arial" w:cs="仿宋"/>
      <w:snapToGrid w:val="0"/>
      <w:color w:val="000000"/>
      <w:kern w:val="0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2008</Words>
  <Characters>2100</Characters>
  <Lines>0</Lines>
  <Paragraphs>0</Paragraphs>
  <TotalTime>4</TotalTime>
  <ScaleCrop>false</ScaleCrop>
  <LinksUpToDate>false</LinksUpToDate>
  <CharactersWithSpaces>2136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2023-09-26T01:03:00Z</dcterms:created>
  <dc:creator>Administrator</dc:creator>
  <cp:lastModifiedBy>柚子</cp:lastModifiedBy>
  <dcterms:modified xsi:type="dcterms:W3CDTF">2024-05-31T03:30:06Z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76A8EE3CAB3B41BF91886DF64A3ACF73_12</vt:lpwstr>
  </property>
</Properties>
</file>