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一、起草背景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根据《中共中央 国务院关于建立国土空间规划体系并监督实施的若干意见》（中发〔2019〕18号）、《中共浙江省委 浙江省人民政府关于加强国土空间规划体系建设并监督实施的意见》（浙委发〔2019〕29号）等文件精神和省、市统一部署，依据省、市、县各级国土空间总体规划，特编制《衢州市衢江区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镇关于公开征求&lt;衢州市衢江区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湖南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镇国土空间总体规划（2021-2035年）&gt;意见建议的公告》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以下简称《规划》）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二、起草依据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《中华人民共和国土地管理法》（2019年修正）；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《中华人民共和国城乡规划法》（2019年修正）；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《中共中央 国务院关于建立国土空间规划体系并监督实施的若干意见》（中发〔2019〕18号）；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《中共浙江省委 浙江省人民政府关于加强国土空间规划体系建设并监督实施的意见》（浙委发〔2019〕29号）；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《浙江省乡镇级国土空间总体规划编制技术要点》（2023.2修订版）；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《浙江省国土空间规划（2021-2035年）》；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《衢州市国土空间总体规划（2021-2035年）》；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国民经济和社会发展第十四个五年规划和二〇三五年远景目标纲要》；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衢州市区国土空间总体规划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（2021-2035年）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其他相关法律法规、政策文件、技术规范、规划成果等。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月启动《规划》编制工作。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日，拟在衢州市衢江区人民政府网站对《规划》进行公开征求意见。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《规划》包含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大方面，主要内容为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规划概述、规划定位与目标、总体格局、优化空间格局、完善支撑体系、镇区空间优化、规划传导与实施保障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FkMGExZmJmN2Q1MzZmZmI1Y2VkNjJkZjM3ZjAifQ=="/>
  </w:docVars>
  <w:rsids>
    <w:rsidRoot w:val="00000000"/>
    <w:rsid w:val="0A2C283C"/>
    <w:rsid w:val="175001E1"/>
    <w:rsid w:val="4EC67121"/>
    <w:rsid w:val="55B7101B"/>
    <w:rsid w:val="5D233F53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651</Characters>
  <Lines>0</Lines>
  <Paragraphs>0</Paragraphs>
  <TotalTime>7</TotalTime>
  <ScaleCrop>false</ScaleCrop>
  <LinksUpToDate>false</LinksUpToDate>
  <CharactersWithSpaces>655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2024-09-27T08:09:00Z</dcterms:created>
  <dc:creator>规划二所</dc:creator>
  <cp:lastModifiedBy>Administrator</cp:lastModifiedBy>
  <dcterms:modified xsi:type="dcterms:W3CDTF">2024-10-08T02:17:48Z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BF92E8B2FACC4AD6B3B42016BE3E7BD0_12</vt:lpwstr>
  </property>
</Properties>
</file>