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5E0B4" w:themeColor="accent6" w:themeTint="66"/>
  <w:body>
    <w:p>
      <w:pPr>
        <w:keepNext w:val="0"/>
        <w:keepLines w:val="0"/>
        <w:pageBreakBefore w:val="0"/>
        <w:widowControl w:val="0"/>
        <w:kinsoku/>
        <w:overflowPunct/>
        <w:topLinePunct w:val="0"/>
        <w:autoSpaceDE/>
        <w:autoSpaceDN/>
        <w:bidi w:val="0"/>
        <w:adjustRightInd w:val="0"/>
        <w:snapToGrid w:val="0"/>
        <w:spacing w:line="560" w:lineRule="exact"/>
        <w:jc w:val="both"/>
        <w:textAlignment w:val="auto"/>
        <w:rPr>
          <w:color w:val="auto"/>
          <w:highlight w:val="none"/>
        </w:rPr>
      </w:pPr>
      <w:r>
        <w:rPr>
          <w:rFonts w:hint="eastAsia" w:ascii="Times New Roman" w:hAnsi="Times New Roman" w:eastAsia="方正小标宋简体" w:cstheme="minorBidi"/>
          <w:snapToGrid/>
          <w:color w:val="auto"/>
          <w:kern w:val="2"/>
          <w:sz w:val="44"/>
          <w:szCs w:val="32"/>
          <w:highlight w:val="none"/>
        </w:rPr>
        <w:t>关于</w:t>
      </w:r>
      <w:r>
        <w:rPr>
          <w:rFonts w:hint="eastAsia" w:ascii="Times New Roman" w:hAnsi="Times New Roman" w:eastAsia="方正小标宋简体" w:cstheme="minorBidi"/>
          <w:snapToGrid/>
          <w:color w:val="auto"/>
          <w:kern w:val="2"/>
          <w:sz w:val="44"/>
          <w:szCs w:val="32"/>
          <w:highlight w:val="none"/>
          <w:lang w:val="en-US" w:eastAsia="zh-CN"/>
        </w:rPr>
        <w:t>发展计算产业 打造算力强区的若干政策</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ascii="楷体_GB2312" w:hAnsi="Times New Roman" w:eastAsia="楷体_GB2312" w:cstheme="minorBidi"/>
          <w:snapToGrid/>
          <w:color w:val="auto"/>
          <w:kern w:val="2"/>
          <w:sz w:val="32"/>
          <w:szCs w:val="32"/>
          <w:highlight w:val="none"/>
        </w:rPr>
      </w:pPr>
      <w:r>
        <w:rPr>
          <w:rFonts w:hint="eastAsia" w:ascii="楷体_GB2312" w:hAnsi="Times New Roman" w:eastAsia="楷体_GB2312" w:cstheme="minorBidi"/>
          <w:snapToGrid/>
          <w:color w:val="auto"/>
          <w:kern w:val="2"/>
          <w:sz w:val="32"/>
          <w:szCs w:val="32"/>
          <w:highlight w:val="none"/>
        </w:rPr>
        <w:t>（</w:t>
      </w:r>
      <w:r>
        <w:rPr>
          <w:rFonts w:hint="eastAsia" w:ascii="楷体_GB2312" w:hAnsi="Times New Roman" w:eastAsia="楷体_GB2312" w:cstheme="minorBidi"/>
          <w:snapToGrid/>
          <w:color w:val="auto"/>
          <w:kern w:val="2"/>
          <w:sz w:val="32"/>
          <w:szCs w:val="32"/>
          <w:highlight w:val="none"/>
          <w:lang w:val="en-US" w:eastAsia="zh-CN"/>
        </w:rPr>
        <w:t>征求意见稿</w:t>
      </w:r>
      <w:r>
        <w:rPr>
          <w:rFonts w:hint="eastAsia" w:ascii="楷体_GB2312" w:hAnsi="Times New Roman" w:eastAsia="楷体_GB2312" w:cstheme="minorBidi"/>
          <w:snapToGrid/>
          <w:color w:val="auto"/>
          <w:kern w:val="2"/>
          <w:sz w:val="32"/>
          <w:szCs w:val="32"/>
          <w:highlight w:val="none"/>
        </w:rPr>
        <w:t>）</w:t>
      </w:r>
    </w:p>
    <w:p>
      <w:pPr>
        <w:keepNext w:val="0"/>
        <w:keepLines w:val="0"/>
        <w:pageBreakBefore w:val="0"/>
        <w:overflowPunct/>
        <w:topLinePunct w:val="0"/>
        <w:bidi w:val="0"/>
        <w:adjustRightInd w:val="0"/>
        <w:snapToGrid w:val="0"/>
        <w:spacing w:before="2" w:line="560" w:lineRule="exact"/>
        <w:ind w:left="80" w:right="55" w:firstLine="620"/>
        <w:jc w:val="both"/>
        <w:rPr>
          <w:rFonts w:ascii="Times New Roman" w:hAnsi="Times New Roman" w:cs="Times New Roman"/>
          <w:snapToGrid/>
          <w:color w:val="auto"/>
          <w:kern w:val="2"/>
          <w:sz w:val="32"/>
          <w:szCs w:val="32"/>
          <w:highlight w:val="none"/>
          <w:lang w:bidi="zh-CN"/>
        </w:rPr>
      </w:pPr>
    </w:p>
    <w:p>
      <w:pPr>
        <w:keepNext w:val="0"/>
        <w:keepLines w:val="0"/>
        <w:pageBreakBefore w:val="0"/>
        <w:overflowPunct/>
        <w:topLinePunct w:val="0"/>
        <w:bidi w:val="0"/>
        <w:adjustRightInd w:val="0"/>
        <w:snapToGrid w:val="0"/>
        <w:spacing w:before="2" w:line="560" w:lineRule="exact"/>
        <w:ind w:right="55"/>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eastAsia="仿宋_GB2312" w:cs="仿宋_GB2312"/>
          <w:snapToGrid/>
          <w:color w:val="auto"/>
          <w:kern w:val="2"/>
          <w:sz w:val="32"/>
          <w:szCs w:val="32"/>
          <w:highlight w:val="none"/>
          <w:lang w:bidi="zh-CN"/>
        </w:rPr>
        <w:t>各街道办事处、区级机关各部门、各直属单位：</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snapToGrid/>
          <w:color w:val="auto"/>
          <w:kern w:val="2"/>
          <w:szCs w:val="32"/>
          <w:highlight w:val="none"/>
          <w:lang w:bidi="zh-CN"/>
        </w:rPr>
      </w:pPr>
      <w:r>
        <w:rPr>
          <w:rFonts w:hint="eastAsia" w:ascii="仿宋_GB2312" w:hAnsi="仿宋_GB2312" w:eastAsia="仿宋_GB2312" w:cs="仿宋_GB2312"/>
          <w:snapToGrid/>
          <w:color w:val="auto"/>
          <w:kern w:val="2"/>
          <w:szCs w:val="32"/>
          <w:highlight w:val="none"/>
          <w:lang w:bidi="zh-CN"/>
        </w:rPr>
        <w:t>为迭代</w:t>
      </w:r>
      <w:r>
        <w:rPr>
          <w:rFonts w:hint="eastAsia" w:ascii="仿宋_GB2312" w:hAnsi="仿宋_GB2312" w:cs="仿宋_GB2312"/>
          <w:snapToGrid/>
          <w:color w:val="auto"/>
          <w:kern w:val="2"/>
          <w:szCs w:val="32"/>
          <w:highlight w:val="none"/>
          <w:lang w:bidi="zh-CN"/>
        </w:rPr>
        <w:t>建设</w:t>
      </w:r>
      <w:r>
        <w:rPr>
          <w:rFonts w:hint="eastAsia" w:ascii="仿宋_GB2312" w:hAnsi="仿宋_GB2312" w:eastAsia="仿宋_GB2312" w:cs="仿宋_GB2312"/>
          <w:snapToGrid/>
          <w:color w:val="auto"/>
          <w:kern w:val="2"/>
          <w:szCs w:val="32"/>
          <w:highlight w:val="none"/>
          <w:lang w:bidi="zh-CN"/>
        </w:rPr>
        <w:t>“数字经济第一区”</w:t>
      </w:r>
      <w:r>
        <w:rPr>
          <w:rFonts w:hint="eastAsia" w:ascii="仿宋_GB2312" w:hAnsi="仿宋_GB2312" w:cs="仿宋_GB2312"/>
          <w:snapToGrid/>
          <w:color w:val="auto"/>
          <w:kern w:val="2"/>
          <w:szCs w:val="32"/>
          <w:highlight w:val="none"/>
          <w:lang w:bidi="zh-CN"/>
        </w:rPr>
        <w:t>，</w:t>
      </w:r>
      <w:r>
        <w:rPr>
          <w:rFonts w:hint="eastAsia" w:ascii="仿宋_GB2312" w:hAnsi="仿宋_GB2312" w:cs="仿宋_GB2312"/>
          <w:snapToGrid/>
          <w:color w:val="auto"/>
          <w:kern w:val="2"/>
          <w:szCs w:val="32"/>
          <w:highlight w:val="none"/>
          <w:lang w:val="en-US" w:bidi="zh-CN"/>
        </w:rPr>
        <w:t>抢抓人工智能发展新机遇，</w:t>
      </w:r>
      <w:r>
        <w:rPr>
          <w:rFonts w:hint="eastAsia" w:ascii="仿宋_GB2312" w:hAnsi="仿宋_GB2312" w:eastAsia="仿宋_GB2312" w:cs="仿宋_GB2312"/>
          <w:snapToGrid/>
          <w:color w:val="auto"/>
          <w:kern w:val="2"/>
          <w:szCs w:val="32"/>
          <w:highlight w:val="none"/>
          <w:lang w:bidi="zh-CN"/>
        </w:rPr>
        <w:t>培育</w:t>
      </w:r>
      <w:r>
        <w:rPr>
          <w:rFonts w:hint="eastAsia" w:ascii="仿宋_GB2312" w:hAnsi="仿宋_GB2312" w:eastAsia="仿宋_GB2312" w:cs="仿宋_GB2312"/>
          <w:snapToGrid/>
          <w:color w:val="auto"/>
          <w:kern w:val="2"/>
          <w:szCs w:val="32"/>
          <w:highlight w:val="none"/>
          <w:lang w:val="en-US" w:bidi="zh-CN"/>
        </w:rPr>
        <w:t>未来产业</w:t>
      </w:r>
      <w:r>
        <w:rPr>
          <w:rFonts w:hint="eastAsia" w:ascii="仿宋_GB2312" w:hAnsi="仿宋_GB2312" w:cs="仿宋_GB2312"/>
          <w:snapToGrid/>
          <w:color w:val="auto"/>
          <w:kern w:val="2"/>
          <w:szCs w:val="32"/>
          <w:highlight w:val="none"/>
          <w:lang w:val="en-US" w:bidi="zh-CN"/>
        </w:rPr>
        <w:t>，</w:t>
      </w:r>
      <w:r>
        <w:rPr>
          <w:rFonts w:hint="eastAsia" w:ascii="仿宋_GB2312" w:hAnsi="仿宋_GB2312" w:eastAsia="仿宋_GB2312" w:cs="仿宋_GB2312"/>
          <w:snapToGrid/>
          <w:color w:val="auto"/>
          <w:kern w:val="2"/>
          <w:szCs w:val="32"/>
          <w:highlight w:val="none"/>
          <w:lang w:val="en-US" w:bidi="zh-CN"/>
        </w:rPr>
        <w:t>构造</w:t>
      </w:r>
      <w:r>
        <w:rPr>
          <w:rFonts w:hint="eastAsia" w:ascii="仿宋_GB2312" w:hAnsi="仿宋_GB2312" w:cs="仿宋_GB2312"/>
          <w:snapToGrid/>
          <w:color w:val="auto"/>
          <w:kern w:val="2"/>
          <w:szCs w:val="32"/>
          <w:highlight w:val="none"/>
          <w:lang w:val="en-US" w:bidi="zh-CN"/>
        </w:rPr>
        <w:t>和优化</w:t>
      </w:r>
      <w:r>
        <w:rPr>
          <w:rFonts w:hint="eastAsia" w:ascii="仿宋_GB2312" w:hAnsi="仿宋_GB2312" w:eastAsia="仿宋_GB2312" w:cs="仿宋_GB2312"/>
          <w:snapToGrid/>
          <w:color w:val="auto"/>
          <w:kern w:val="2"/>
          <w:szCs w:val="32"/>
          <w:highlight w:val="none"/>
          <w:lang w:val="en-US" w:bidi="zh-CN"/>
        </w:rPr>
        <w:t>支撑新质生产力发展的新型基础设施</w:t>
      </w:r>
      <w:r>
        <w:rPr>
          <w:rFonts w:hint="eastAsia" w:ascii="仿宋_GB2312" w:hAnsi="仿宋_GB2312" w:cs="仿宋_GB2312"/>
          <w:snapToGrid/>
          <w:color w:val="auto"/>
          <w:kern w:val="2"/>
          <w:szCs w:val="32"/>
          <w:highlight w:val="none"/>
          <w:lang w:val="en-US" w:bidi="zh-CN"/>
        </w:rPr>
        <w:t>，</w:t>
      </w:r>
      <w:r>
        <w:rPr>
          <w:rFonts w:hint="eastAsia" w:ascii="仿宋_GB2312" w:hAnsi="仿宋_GB2312" w:eastAsia="仿宋_GB2312" w:cs="仿宋_GB2312"/>
          <w:snapToGrid/>
          <w:color w:val="auto"/>
          <w:kern w:val="2"/>
          <w:szCs w:val="32"/>
          <w:highlight w:val="none"/>
          <w:lang w:val="en-US" w:bidi="zh-CN"/>
        </w:rPr>
        <w:t>打造算力强省核心区</w:t>
      </w:r>
      <w:r>
        <w:rPr>
          <w:rFonts w:hint="eastAsia" w:ascii="仿宋_GB2312" w:hAnsi="仿宋_GB2312" w:cs="仿宋_GB2312"/>
          <w:snapToGrid/>
          <w:color w:val="auto"/>
          <w:kern w:val="2"/>
          <w:szCs w:val="32"/>
          <w:highlight w:val="none"/>
          <w:lang w:bidi="zh-CN"/>
        </w:rPr>
        <w:t>。</w:t>
      </w:r>
      <w:r>
        <w:rPr>
          <w:rFonts w:hint="eastAsia" w:ascii="仿宋_GB2312" w:hAnsi="仿宋_GB2312" w:eastAsia="仿宋_GB2312" w:cs="仿宋_GB2312"/>
          <w:snapToGrid/>
          <w:color w:val="auto"/>
          <w:kern w:val="2"/>
          <w:szCs w:val="32"/>
          <w:highlight w:val="none"/>
          <w:lang w:val="en-US" w:bidi="zh-CN"/>
        </w:rPr>
        <w:t>根据国家和省市相关文件精神，结合我区实际，特制定以下若干政策。</w:t>
      </w:r>
    </w:p>
    <w:p>
      <w:pPr>
        <w:keepNext w:val="0"/>
        <w:keepLines w:val="0"/>
        <w:pageBreakBefore w:val="0"/>
        <w:numPr>
          <w:ilvl w:val="0"/>
          <w:numId w:val="0"/>
        </w:numPr>
        <w:overflowPunct/>
        <w:topLinePunct w:val="0"/>
        <w:bidi w:val="0"/>
        <w:adjustRightInd w:val="0"/>
        <w:snapToGrid w:val="0"/>
        <w:spacing w:before="2" w:line="560" w:lineRule="exact"/>
        <w:ind w:left="700" w:leftChars="0" w:right="55" w:rightChars="0"/>
        <w:jc w:val="both"/>
        <w:rPr>
          <w:rFonts w:hint="eastAsia" w:ascii="仿宋_GB2312" w:hAnsi="仿宋_GB2312" w:eastAsia="仿宋_GB2312" w:cs="仿宋_GB2312"/>
          <w:snapToGrid/>
          <w:color w:val="auto"/>
          <w:kern w:val="2"/>
          <w:szCs w:val="32"/>
          <w:highlight w:val="none"/>
          <w:lang w:bidi="zh-CN"/>
        </w:rPr>
      </w:pPr>
      <w:r>
        <w:rPr>
          <w:rFonts w:hint="eastAsia" w:ascii="黑体" w:hAnsi="黑体" w:eastAsia="黑体" w:cs="Times New Roman"/>
          <w:snapToGrid/>
          <w:color w:val="auto"/>
          <w:kern w:val="2"/>
          <w:sz w:val="32"/>
          <w:szCs w:val="32"/>
          <w:highlight w:val="none"/>
          <w:lang w:bidi="zh-CN"/>
        </w:rPr>
        <w:t>一、发展目标</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color w:val="auto"/>
          <w:highlight w:val="none"/>
          <w:lang w:val="en-US" w:bidi="zh-CN"/>
        </w:rPr>
      </w:pPr>
      <w:r>
        <w:rPr>
          <w:rFonts w:hint="eastAsia" w:ascii="仿宋_GB2312" w:hAnsi="仿宋_GB2312" w:eastAsia="仿宋_GB2312" w:cs="仿宋_GB2312"/>
          <w:color w:val="auto"/>
          <w:highlight w:val="none"/>
          <w:lang w:bidi="zh-CN"/>
        </w:rPr>
        <w:t>以</w:t>
      </w:r>
      <w:r>
        <w:rPr>
          <w:rFonts w:hint="eastAsia" w:ascii="仿宋_GB2312" w:hAnsi="仿宋_GB2312" w:cs="仿宋_GB2312"/>
          <w:color w:val="auto"/>
          <w:highlight w:val="none"/>
          <w:lang w:val="en-US" w:bidi="zh-CN"/>
        </w:rPr>
        <w:t>关键</w:t>
      </w:r>
      <w:r>
        <w:rPr>
          <w:rFonts w:hint="eastAsia" w:ascii="仿宋_GB2312" w:hAnsi="仿宋_GB2312" w:eastAsia="仿宋_GB2312" w:cs="仿宋_GB2312"/>
          <w:color w:val="auto"/>
          <w:highlight w:val="none"/>
          <w:lang w:val="en-US" w:bidi="zh-CN"/>
        </w:rPr>
        <w:t>芯片设计制造为牵引，推动云、网、端全链条融合并进和算力、算法、数据三位一体发展，加快“中国视谷”“中国数谷”</w:t>
      </w:r>
      <w:r>
        <w:rPr>
          <w:rFonts w:hint="eastAsia" w:ascii="仿宋_GB2312" w:hAnsi="仿宋_GB2312" w:cs="仿宋_GB2312"/>
          <w:color w:val="auto"/>
          <w:highlight w:val="none"/>
          <w:lang w:val="en-US" w:bidi="zh-CN"/>
        </w:rPr>
        <w:t>“国际零磁科学谷”</w:t>
      </w:r>
      <w:r>
        <w:rPr>
          <w:rFonts w:hint="eastAsia" w:ascii="仿宋_GB2312" w:hAnsi="仿宋_GB2312" w:eastAsia="仿宋_GB2312" w:cs="仿宋_GB2312"/>
          <w:color w:val="auto"/>
          <w:highlight w:val="none"/>
          <w:lang w:val="en-US" w:bidi="zh-CN"/>
        </w:rPr>
        <w:t>等产业地标建设，全力打造全省计算产业高地、算力成本洼地、模型输出源地、数据共享高地。</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snapToGrid/>
          <w:color w:val="auto"/>
          <w:kern w:val="2"/>
          <w:szCs w:val="32"/>
          <w:highlight w:val="none"/>
          <w:lang w:val="en-US" w:bidi="zh-CN"/>
        </w:rPr>
      </w:pPr>
      <w:r>
        <w:rPr>
          <w:rFonts w:hint="eastAsia" w:ascii="仿宋_GB2312" w:hAnsi="仿宋_GB2312" w:eastAsia="仿宋_GB2312" w:cs="仿宋_GB2312"/>
          <w:snapToGrid/>
          <w:color w:val="auto"/>
          <w:kern w:val="2"/>
          <w:szCs w:val="32"/>
          <w:highlight w:val="none"/>
          <w:lang w:bidi="zh-CN"/>
        </w:rPr>
        <w:t>力争到202</w:t>
      </w:r>
      <w:r>
        <w:rPr>
          <w:rFonts w:hint="eastAsia" w:ascii="仿宋_GB2312" w:hAnsi="仿宋_GB2312" w:eastAsia="仿宋_GB2312" w:cs="仿宋_GB2312"/>
          <w:snapToGrid/>
          <w:color w:val="auto"/>
          <w:kern w:val="2"/>
          <w:szCs w:val="32"/>
          <w:highlight w:val="none"/>
          <w:lang w:val="en-US" w:bidi="zh-CN"/>
        </w:rPr>
        <w:t>5</w:t>
      </w:r>
      <w:r>
        <w:rPr>
          <w:rFonts w:hint="eastAsia" w:ascii="仿宋_GB2312" w:hAnsi="仿宋_GB2312" w:eastAsia="仿宋_GB2312" w:cs="仿宋_GB2312"/>
          <w:snapToGrid/>
          <w:color w:val="auto"/>
          <w:kern w:val="2"/>
          <w:szCs w:val="32"/>
          <w:highlight w:val="none"/>
          <w:lang w:bidi="zh-CN"/>
        </w:rPr>
        <w:t>年，全区集成电路产业规模达400亿元，</w:t>
      </w:r>
      <w:r>
        <w:rPr>
          <w:rFonts w:hint="eastAsia" w:ascii="仿宋_GB2312" w:hAnsi="仿宋_GB2312" w:eastAsia="仿宋_GB2312" w:cs="仿宋_GB2312"/>
          <w:color w:val="auto"/>
          <w:highlight w:val="none"/>
          <w:lang w:val="en-US" w:bidi="zh-CN"/>
        </w:rPr>
        <w:t>网络通信产业规模达850亿元；</w:t>
      </w:r>
      <w:r>
        <w:rPr>
          <w:rFonts w:hint="eastAsia" w:ascii="仿宋_GB2312" w:hAnsi="仿宋_GB2312" w:eastAsia="仿宋_GB2312" w:cs="仿宋_GB2312"/>
          <w:color w:val="auto"/>
          <w:highlight w:val="none"/>
          <w:lang w:bidi="zh-CN"/>
        </w:rPr>
        <w:t>培育营收百亿以上企业1家，50亿元以上企业2家，“专精特新企业”40家以上，实施省、市重点研发、协同创新项目30项以上；</w:t>
      </w:r>
      <w:r>
        <w:rPr>
          <w:rFonts w:hint="eastAsia" w:ascii="仿宋_GB2312" w:hAnsi="仿宋_GB2312" w:cs="仿宋_GB2312"/>
          <w:color w:val="auto"/>
          <w:highlight w:val="none"/>
          <w:lang w:val="en-US" w:bidi="zh-CN"/>
        </w:rPr>
        <w:t>聚焦“三数一链”和“沙盒监管”，</w:t>
      </w:r>
      <w:r>
        <w:rPr>
          <w:rFonts w:hint="eastAsia" w:ascii="仿宋_GB2312" w:hAnsi="仿宋_GB2312" w:eastAsia="仿宋_GB2312" w:cs="仿宋_GB2312"/>
          <w:color w:val="auto"/>
          <w:highlight w:val="none"/>
          <w:lang w:val="en-US" w:bidi="zh-CN"/>
        </w:rPr>
        <w:t>形成具有引领性的数据交易、安全管控的规范化流程和规则；</w:t>
      </w:r>
      <w:r>
        <w:rPr>
          <w:rFonts w:hint="eastAsia" w:ascii="仿宋_GB2312" w:hAnsi="仿宋_GB2312" w:cs="仿宋_GB2312"/>
          <w:color w:val="auto"/>
          <w:highlight w:val="none"/>
          <w:lang w:val="en-US" w:bidi="zh-CN"/>
        </w:rPr>
        <w:t>推进杭州人工智能计算中心建设扩容，</w:t>
      </w:r>
      <w:r>
        <w:rPr>
          <w:rFonts w:hint="eastAsia" w:ascii="仿宋_GB2312" w:hAnsi="仿宋_GB2312" w:eastAsia="仿宋_GB2312" w:cs="仿宋_GB2312"/>
          <w:color w:val="auto"/>
          <w:highlight w:val="none"/>
          <w:lang w:val="en-US" w:bidi="zh-CN"/>
        </w:rPr>
        <w:t>基于全栈自主技术路线的公共算力</w:t>
      </w:r>
      <w:r>
        <w:rPr>
          <w:rFonts w:hint="eastAsia" w:ascii="仿宋_GB2312" w:hAnsi="仿宋_GB2312" w:cs="仿宋_GB2312"/>
          <w:color w:val="auto"/>
          <w:highlight w:val="none"/>
          <w:lang w:val="en-US" w:bidi="zh-CN"/>
        </w:rPr>
        <w:t>规模</w:t>
      </w:r>
      <w:r>
        <w:rPr>
          <w:rFonts w:hint="eastAsia" w:ascii="仿宋_GB2312" w:hAnsi="仿宋_GB2312" w:eastAsia="仿宋_GB2312" w:cs="仿宋_GB2312"/>
          <w:color w:val="auto"/>
          <w:highlight w:val="none"/>
          <w:lang w:val="en-US" w:bidi="zh-CN"/>
        </w:rPr>
        <w:t>达到500P，培育孵化5个具有行业影响</w:t>
      </w:r>
      <w:r>
        <w:rPr>
          <w:rFonts w:hint="eastAsia" w:ascii="仿宋_GB2312" w:hAnsi="仿宋_GB2312" w:cs="仿宋_GB2312"/>
          <w:color w:val="auto"/>
          <w:highlight w:val="none"/>
          <w:lang w:val="en-US" w:bidi="zh-CN"/>
        </w:rPr>
        <w:t>力</w:t>
      </w:r>
      <w:r>
        <w:rPr>
          <w:rFonts w:hint="eastAsia" w:ascii="仿宋_GB2312" w:hAnsi="仿宋_GB2312" w:eastAsia="仿宋_GB2312" w:cs="仿宋_GB2312"/>
          <w:color w:val="auto"/>
          <w:highlight w:val="none"/>
          <w:lang w:val="en-US" w:bidi="zh-CN"/>
        </w:rPr>
        <w:t>的专用模型，人工智能赋能标杆企业8家、典型应用场景10个。</w:t>
      </w:r>
    </w:p>
    <w:p>
      <w:pPr>
        <w:keepNext w:val="0"/>
        <w:keepLines w:val="0"/>
        <w:pageBreakBefore w:val="0"/>
        <w:numPr>
          <w:ilvl w:val="0"/>
          <w:numId w:val="0"/>
        </w:numPr>
        <w:overflowPunct/>
        <w:topLinePunct w:val="0"/>
        <w:bidi w:val="0"/>
        <w:adjustRightInd w:val="0"/>
        <w:snapToGrid w:val="0"/>
        <w:spacing w:before="2" w:line="560" w:lineRule="exact"/>
        <w:ind w:left="700" w:leftChars="0" w:right="55" w:rightChars="0"/>
        <w:jc w:val="both"/>
        <w:rPr>
          <w:rFonts w:ascii="黑体" w:hAnsi="黑体" w:eastAsia="黑体" w:cs="Times New Roman"/>
          <w:snapToGrid/>
          <w:color w:val="auto"/>
          <w:kern w:val="2"/>
          <w:sz w:val="32"/>
          <w:szCs w:val="32"/>
          <w:highlight w:val="none"/>
          <w:lang w:bidi="zh-CN"/>
        </w:rPr>
      </w:pPr>
      <w:r>
        <w:rPr>
          <w:rFonts w:hint="eastAsia" w:ascii="黑体" w:hAnsi="黑体" w:eastAsia="黑体" w:cs="Times New Roman"/>
          <w:snapToGrid/>
          <w:color w:val="auto"/>
          <w:kern w:val="2"/>
          <w:sz w:val="32"/>
          <w:szCs w:val="32"/>
          <w:highlight w:val="none"/>
          <w:lang w:bidi="zh-CN"/>
        </w:rPr>
        <w:t>三、政策举措</w:t>
      </w:r>
    </w:p>
    <w:p>
      <w:pPr>
        <w:keepNext w:val="0"/>
        <w:keepLines w:val="0"/>
        <w:pageBreakBefore w:val="0"/>
        <w:numPr>
          <w:ilvl w:val="0"/>
          <w:numId w:val="1"/>
        </w:numPr>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支持关键芯片攻关</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color w:val="auto"/>
          <w:highlight w:val="none"/>
          <w:lang w:val="en-US" w:bidi="zh-CN"/>
        </w:rPr>
      </w:pPr>
      <w:r>
        <w:rPr>
          <w:rFonts w:hint="eastAsia" w:ascii="仿宋_GB2312" w:hAnsi="仿宋_GB2312" w:eastAsia="仿宋_GB2312" w:cs="仿宋_GB2312"/>
          <w:color w:val="auto"/>
          <w:highlight w:val="none"/>
          <w:lang w:val="en-US" w:bidi="zh-CN"/>
        </w:rPr>
        <w:t>1.支持技术攻关。围绕集成电路核心器件、</w:t>
      </w:r>
      <w:r>
        <w:rPr>
          <w:rFonts w:hint="eastAsia" w:ascii="仿宋_GB2312" w:hAnsi="仿宋_GB2312" w:cs="仿宋_GB2312"/>
          <w:color w:val="auto"/>
          <w:highlight w:val="none"/>
          <w:lang w:val="en-US" w:bidi="zh-CN"/>
        </w:rPr>
        <w:t>关键</w:t>
      </w:r>
      <w:r>
        <w:rPr>
          <w:rFonts w:hint="eastAsia" w:ascii="仿宋_GB2312" w:hAnsi="仿宋_GB2312" w:eastAsia="仿宋_GB2312" w:cs="仿宋_GB2312"/>
          <w:color w:val="auto"/>
          <w:highlight w:val="none"/>
          <w:lang w:val="en-US" w:bidi="zh-CN"/>
        </w:rPr>
        <w:t>芯片、关键材料、核心设备、EDA工具等，开展重大科技攻关。鼓励企业牵头承担国家、省、市技术攻关任务，对获批国家、省重大项目的，按要求给予配套资金支持。</w:t>
      </w:r>
      <w:r>
        <w:rPr>
          <w:rFonts w:hint="eastAsia" w:ascii="仿宋_GB2312" w:hAnsi="仿宋_GB2312" w:cs="仿宋_GB2312"/>
          <w:color w:val="auto"/>
          <w:highlight w:val="none"/>
          <w:lang w:val="en-US" w:bidi="zh-CN"/>
        </w:rPr>
        <w:t>（责任单位：经信局）</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2.鼓励产业集聚。对新设立或新引进的企业，经芯火平台审核通过或入驻芯火平台后，按照房租补贴人均面积和单价标准，给予最长三年、最高全额的房租补贴。</w:t>
      </w:r>
      <w:r>
        <w:rPr>
          <w:rFonts w:hint="eastAsia" w:ascii="仿宋_GB2312" w:hAnsi="仿宋_GB2312" w:cs="仿宋_GB2312"/>
          <w:color w:val="auto"/>
          <w:highlight w:val="none"/>
          <w:lang w:val="en-US" w:bidi="zh-CN"/>
        </w:rPr>
        <w:t>（责任单位：经信局）</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3.强化基础支撑。对开展EDA工具技术攻关，自主研发投入1000万元以上并实现实际销售的企业，经评审，按照不超过其年度自主研发投入的15%给予补助，最高补助2000万元。对集成电路企业购买EDA工具的，按照不超过实际发生费用的20%给予补助，每家企业年度最高补助100万元；对购买本地企业自主研发EDA工具的，按照不超过实际发生费用的50%给予补助，每家企业年度最高补助250万元。对购买IP开展</w:t>
      </w:r>
      <w:r>
        <w:rPr>
          <w:rFonts w:hint="eastAsia" w:ascii="仿宋_GB2312" w:hAnsi="仿宋_GB2312" w:cs="仿宋_GB2312"/>
          <w:b w:val="0"/>
          <w:bCs w:val="0"/>
          <w:snapToGrid/>
          <w:color w:val="auto"/>
          <w:kern w:val="2"/>
          <w:sz w:val="32"/>
          <w:szCs w:val="32"/>
          <w:highlight w:val="none"/>
          <w:lang w:val="en-US" w:bidi="zh-CN"/>
        </w:rPr>
        <w:t>关键</w:t>
      </w:r>
      <w:r>
        <w:rPr>
          <w:rFonts w:hint="eastAsia" w:ascii="仿宋_GB2312" w:hAnsi="仿宋_GB2312" w:eastAsia="仿宋_GB2312" w:cs="仿宋_GB2312"/>
          <w:b w:val="0"/>
          <w:bCs w:val="0"/>
          <w:snapToGrid/>
          <w:color w:val="auto"/>
          <w:kern w:val="2"/>
          <w:sz w:val="32"/>
          <w:szCs w:val="32"/>
          <w:highlight w:val="none"/>
          <w:lang w:val="en-US" w:bidi="zh-CN"/>
        </w:rPr>
        <w:t>芯片、先进或特色工艺研发的集成电路企业，按照不超过其购买IP直接费用的20%给予补助，每家企业年度最高补助200万元。</w:t>
      </w:r>
      <w:r>
        <w:rPr>
          <w:rFonts w:hint="eastAsia" w:ascii="仿宋_GB2312" w:hAnsi="仿宋_GB2312" w:cs="仿宋_GB2312"/>
          <w:color w:val="auto"/>
          <w:highlight w:val="none"/>
          <w:lang w:val="en-US" w:bidi="zh-CN"/>
        </w:rPr>
        <w:t>（责任单位：经信局）</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4.加大流片支持。对重点支持领域的</w:t>
      </w:r>
      <w:r>
        <w:rPr>
          <w:rFonts w:hint="eastAsia" w:ascii="仿宋_GB2312" w:hAnsi="仿宋_GB2312" w:cs="仿宋_GB2312"/>
          <w:b w:val="0"/>
          <w:bCs w:val="0"/>
          <w:snapToGrid/>
          <w:color w:val="auto"/>
          <w:kern w:val="2"/>
          <w:sz w:val="32"/>
          <w:szCs w:val="32"/>
          <w:highlight w:val="none"/>
          <w:lang w:val="en-US" w:bidi="zh-CN"/>
        </w:rPr>
        <w:t>关键</w:t>
      </w:r>
      <w:r>
        <w:rPr>
          <w:rFonts w:hint="eastAsia" w:ascii="仿宋_GB2312" w:hAnsi="仿宋_GB2312" w:eastAsia="仿宋_GB2312" w:cs="仿宋_GB2312"/>
          <w:b w:val="0"/>
          <w:bCs w:val="0"/>
          <w:snapToGrid/>
          <w:color w:val="auto"/>
          <w:kern w:val="2"/>
          <w:sz w:val="32"/>
          <w:szCs w:val="32"/>
          <w:highlight w:val="none"/>
          <w:lang w:val="en-US" w:bidi="zh-CN"/>
        </w:rPr>
        <w:t>芯片产品，首次流片费用 1000万元以上的，按照不超过其流片费用的 15%给予补助，每家企业年度最高补助 2000万元；首次流片费用 1000万元以下的，按照不超过其流片费用的 30%给予补助，每家企业年度最高补助300万元。</w:t>
      </w:r>
      <w:r>
        <w:rPr>
          <w:rFonts w:hint="eastAsia" w:ascii="仿宋_GB2312" w:hAnsi="仿宋_GB2312" w:cs="仿宋_GB2312"/>
          <w:color w:val="auto"/>
          <w:highlight w:val="none"/>
          <w:lang w:val="en-US" w:bidi="zh-CN"/>
        </w:rPr>
        <w:t>（责任单位：经信局）</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5.推动自主可控。对集成电路核心设备、关键材料等自主研发投入5000万元以上并实现实际销售的企业，经评审，按照不超过其年度研发投入的15%给予补助，最高补助5000万元。鼓励材料、装备企业申报各级产业项目，给予相应配套支持。</w:t>
      </w:r>
      <w:r>
        <w:rPr>
          <w:rFonts w:hint="eastAsia" w:ascii="仿宋_GB2312" w:hAnsi="仿宋_GB2312" w:cs="仿宋_GB2312"/>
          <w:color w:val="auto"/>
          <w:highlight w:val="none"/>
          <w:lang w:val="en-US" w:bidi="zh-CN"/>
        </w:rPr>
        <w:t>（责任单位：经信局）</w:t>
      </w:r>
    </w:p>
    <w:p>
      <w:pPr>
        <w:keepNext w:val="0"/>
        <w:keepLines w:val="0"/>
        <w:pageBreakBefore w:val="0"/>
        <w:numPr>
          <w:ilvl w:val="0"/>
          <w:numId w:val="1"/>
        </w:numPr>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建设算力支撑体系</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1.扩容通用算力。鼓励企业、高校院所和第三方机构参与人工智能算力中心、算力中心高速泛在互联网络、多云算力调度平台、应用适配中心等算力基础设施建设，推动智算中心合理布局，加快部署适应模型训练所需的软硬件环境，提升“算力+算法”综合服务支撑能力，构建多元异构、算网协同、融合调度、绿色低碳的算力支撑体系。</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2.部署边缘算力。鼓励贴近应用场景布局高效边缘算力中心，满足视觉智能、自动驾驶、智能工厂、智慧金融等低时延、高可靠业务应用需求。</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3.强化算力供给。对于使用“杭州人工智能计算中心”等平台算力服务资源的用户，需要进行试用和迁移适配的，鼓励算力服务机构提供免费试用期、免费迁移适配服务。对于使用杭州人工智能计算中心算力资源的，按照服务合同金额的50%给予算力补贴，单个主体年度补贴金额不超过100万元。</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keepNext w:val="0"/>
        <w:keepLines w:val="0"/>
        <w:pageBreakBefore w:val="0"/>
        <w:numPr>
          <w:ilvl w:val="0"/>
          <w:numId w:val="1"/>
        </w:numPr>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cs="仿宋_GB2312"/>
          <w:b w:val="0"/>
          <w:bCs w:val="0"/>
          <w:snapToGrid/>
          <w:color w:val="auto"/>
          <w:kern w:val="2"/>
          <w:sz w:val="32"/>
          <w:szCs w:val="32"/>
          <w:highlight w:val="none"/>
          <w:lang w:val="en-US" w:bidi="zh-CN"/>
        </w:rPr>
        <w:t>深</w:t>
      </w:r>
      <w:r>
        <w:rPr>
          <w:rFonts w:hint="eastAsia" w:ascii="仿宋_GB2312" w:hAnsi="仿宋_GB2312" w:eastAsia="仿宋_GB2312" w:cs="仿宋_GB2312"/>
          <w:b w:val="0"/>
          <w:bCs w:val="0"/>
          <w:snapToGrid/>
          <w:color w:val="auto"/>
          <w:kern w:val="2"/>
          <w:sz w:val="32"/>
          <w:szCs w:val="32"/>
          <w:highlight w:val="none"/>
          <w:lang w:val="en-US" w:bidi="zh-CN"/>
        </w:rPr>
        <w:t>化数据要素</w:t>
      </w:r>
      <w:r>
        <w:rPr>
          <w:rFonts w:hint="eastAsia" w:ascii="仿宋_GB2312" w:hAnsi="仿宋_GB2312" w:cs="仿宋_GB2312"/>
          <w:b w:val="0"/>
          <w:bCs w:val="0"/>
          <w:snapToGrid/>
          <w:color w:val="auto"/>
          <w:kern w:val="2"/>
          <w:sz w:val="32"/>
          <w:szCs w:val="32"/>
          <w:highlight w:val="none"/>
          <w:lang w:val="en-US" w:bidi="zh-CN"/>
        </w:rPr>
        <w:t>改革</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1.壮大交易平台。鼓励不同主体参与公共数据资源开发利用，支持承建国家级、区域性数据交易场所和行业性数据交易平台，构建公共数据产品和服务价格形成、收益分享机制，推动政务数据安全有序开放。经认定，给予平台年交易额（不含关联企业交易额）1%的运营补贴，单家平台企业年度补贴不超过100万元。</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2.促进数据开放。支持企业、高校院所和第三方机构建立高质量、开放式、安全可靠的人工智能训练数据集、标准测试数据集等资源库，鼓励接入数据交易或共享平台，推动公共数据、行业数据逐步实现分级分领域脱敏开放。对于数据集、资源库被区内超过3家非关联企业调用的，经认定，按照单次流通收益的10%给予奖励，单家企业年度奖励不超过100万元。</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pStyle w:val="2"/>
        <w:keepNext w:val="0"/>
        <w:keepLines w:val="0"/>
        <w:pageBreakBefore w:val="0"/>
        <w:overflowPunct/>
        <w:topLinePunct w:val="0"/>
        <w:bidi w:val="0"/>
        <w:adjustRightInd w:val="0"/>
        <w:snapToGrid w:val="0"/>
        <w:spacing w:line="560" w:lineRule="exact"/>
        <w:ind w:firstLine="64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3.强化数据安全。引导企业加强对数据安全及隐私保护技术的研究，参与我区数据安全管控体系建设，推动实现网络、平台、系统、数据、业务和管理立体防护，探索利用数据治理工具或平台打造数据资源全生命周期安全保障体系。</w:t>
      </w:r>
      <w:r>
        <w:rPr>
          <w:rFonts w:hint="eastAsia" w:ascii="仿宋_GB2312" w:hAnsi="仿宋_GB2312" w:cs="仿宋_GB2312"/>
          <w:b w:val="0"/>
          <w:bCs w:val="0"/>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cs="仿宋_GB2312"/>
          <w:b w:val="0"/>
          <w:bCs w:val="0"/>
          <w:snapToGrid/>
          <w:color w:val="auto"/>
          <w:kern w:val="2"/>
          <w:sz w:val="32"/>
          <w:szCs w:val="32"/>
          <w:highlight w:val="none"/>
          <w:lang w:val="en-US" w:bidi="zh-CN"/>
        </w:rPr>
        <w:t>）</w:t>
      </w:r>
    </w:p>
    <w:p>
      <w:pPr>
        <w:keepNext w:val="0"/>
        <w:keepLines w:val="0"/>
        <w:pageBreakBefore w:val="0"/>
        <w:numPr>
          <w:ilvl w:val="0"/>
          <w:numId w:val="1"/>
        </w:numPr>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b w:val="0"/>
          <w:bCs w:val="0"/>
          <w:snapToGrid/>
          <w:color w:val="auto"/>
          <w:kern w:val="2"/>
          <w:sz w:val="32"/>
          <w:szCs w:val="32"/>
          <w:highlight w:val="none"/>
          <w:lang w:val="en-US" w:bidi="zh-CN"/>
        </w:rPr>
      </w:pPr>
      <w:r>
        <w:rPr>
          <w:rFonts w:hint="eastAsia" w:ascii="仿宋_GB2312" w:hAnsi="仿宋_GB2312" w:eastAsia="仿宋_GB2312" w:cs="仿宋_GB2312"/>
          <w:b w:val="0"/>
          <w:bCs w:val="0"/>
          <w:snapToGrid/>
          <w:color w:val="auto"/>
          <w:kern w:val="2"/>
          <w:sz w:val="32"/>
          <w:szCs w:val="32"/>
          <w:highlight w:val="none"/>
          <w:lang w:val="en-US" w:bidi="zh-CN"/>
        </w:rPr>
        <w:t>优化产业发展生态</w:t>
      </w:r>
    </w:p>
    <w:p>
      <w:pPr>
        <w:keepNext w:val="0"/>
        <w:keepLines w:val="0"/>
        <w:pageBreakBefore w:val="0"/>
        <w:overflowPunct/>
        <w:topLinePunct w:val="0"/>
        <w:bidi w:val="0"/>
        <w:adjustRightInd w:val="0"/>
        <w:snapToGrid w:val="0"/>
        <w:spacing w:before="2" w:line="560" w:lineRule="exact"/>
        <w:ind w:left="80" w:right="55" w:firstLine="62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val="en-US" w:bidi="zh-CN"/>
        </w:rPr>
        <w:t>1.</w:t>
      </w:r>
      <w:r>
        <w:rPr>
          <w:rFonts w:hint="eastAsia" w:ascii="仿宋_GB2312" w:hAnsi="仿宋_GB2312" w:eastAsia="仿宋_GB2312" w:cs="仿宋_GB2312"/>
          <w:snapToGrid/>
          <w:color w:val="auto"/>
          <w:kern w:val="2"/>
          <w:sz w:val="32"/>
          <w:szCs w:val="32"/>
          <w:highlight w:val="none"/>
          <w:lang w:bidi="zh-CN"/>
        </w:rPr>
        <w:t>支持平台</w:t>
      </w:r>
      <w:r>
        <w:rPr>
          <w:rFonts w:hint="eastAsia" w:ascii="仿宋_GB2312" w:hAnsi="仿宋_GB2312" w:eastAsia="仿宋_GB2312" w:cs="仿宋_GB2312"/>
          <w:snapToGrid/>
          <w:color w:val="auto"/>
          <w:kern w:val="2"/>
          <w:sz w:val="32"/>
          <w:szCs w:val="32"/>
          <w:highlight w:val="none"/>
          <w:lang w:val="en-US" w:bidi="zh-CN"/>
        </w:rPr>
        <w:t>运营</w:t>
      </w:r>
      <w:r>
        <w:rPr>
          <w:rFonts w:hint="eastAsia" w:ascii="仿宋_GB2312" w:hAnsi="仿宋_GB2312" w:eastAsia="仿宋_GB2312" w:cs="仿宋_GB2312"/>
          <w:snapToGrid/>
          <w:color w:val="auto"/>
          <w:kern w:val="2"/>
          <w:sz w:val="32"/>
          <w:szCs w:val="32"/>
          <w:highlight w:val="none"/>
          <w:lang w:bidi="zh-CN"/>
        </w:rPr>
        <w:t>。对经认定的提供EDA工具和IP核、设计解决方案、先进工艺流片、先进封测服务、测试验证等设备，用于</w:t>
      </w:r>
      <w:r>
        <w:rPr>
          <w:rFonts w:hint="eastAsia" w:ascii="仿宋_GB2312" w:hAnsi="仿宋_GB2312" w:cs="仿宋_GB2312"/>
          <w:snapToGrid/>
          <w:color w:val="auto"/>
          <w:kern w:val="2"/>
          <w:sz w:val="32"/>
          <w:szCs w:val="32"/>
          <w:highlight w:val="none"/>
          <w:lang w:val="en-US" w:bidi="zh-CN"/>
        </w:rPr>
        <w:t>关键</w:t>
      </w:r>
      <w:r>
        <w:rPr>
          <w:rFonts w:hint="eastAsia" w:ascii="仿宋_GB2312" w:hAnsi="仿宋_GB2312" w:eastAsia="仿宋_GB2312" w:cs="仿宋_GB2312"/>
          <w:snapToGrid/>
          <w:color w:val="auto"/>
          <w:kern w:val="2"/>
          <w:sz w:val="32"/>
          <w:szCs w:val="32"/>
          <w:highlight w:val="none"/>
          <w:lang w:bidi="zh-CN"/>
        </w:rPr>
        <w:t>芯片支撑服务的集成电路公共技术平台，</w:t>
      </w:r>
      <w:r>
        <w:rPr>
          <w:rFonts w:hint="eastAsia" w:ascii="仿宋_GB2312" w:hAnsi="仿宋_GB2312" w:eastAsia="仿宋_GB2312" w:cs="仿宋_GB2312"/>
          <w:snapToGrid/>
          <w:color w:val="auto"/>
          <w:kern w:val="2"/>
          <w:sz w:val="32"/>
          <w:szCs w:val="32"/>
          <w:highlight w:val="none"/>
          <w:lang w:val="en-US" w:bidi="zh-CN"/>
        </w:rPr>
        <w:t>按照最高不超过</w:t>
      </w:r>
      <w:r>
        <w:rPr>
          <w:rFonts w:hint="eastAsia" w:ascii="仿宋_GB2312" w:hAnsi="仿宋_GB2312" w:eastAsia="仿宋_GB2312" w:cs="仿宋_GB2312"/>
          <w:snapToGrid/>
          <w:color w:val="auto"/>
          <w:kern w:val="2"/>
          <w:sz w:val="32"/>
          <w:szCs w:val="32"/>
          <w:highlight w:val="none"/>
          <w:lang w:bidi="zh-CN"/>
        </w:rPr>
        <w:t>其研发设备、软件等投入的30%</w:t>
      </w:r>
      <w:r>
        <w:rPr>
          <w:rFonts w:hint="eastAsia" w:ascii="仿宋_GB2312" w:hAnsi="仿宋_GB2312" w:eastAsia="仿宋_GB2312" w:cs="仿宋_GB2312"/>
          <w:snapToGrid/>
          <w:color w:val="auto"/>
          <w:kern w:val="2"/>
          <w:sz w:val="32"/>
          <w:szCs w:val="32"/>
          <w:highlight w:val="none"/>
          <w:lang w:val="en-US" w:bidi="zh-CN"/>
        </w:rPr>
        <w:t>给予</w:t>
      </w:r>
      <w:r>
        <w:rPr>
          <w:rFonts w:hint="eastAsia" w:ascii="仿宋_GB2312" w:hAnsi="仿宋_GB2312" w:eastAsia="仿宋_GB2312" w:cs="仿宋_GB2312"/>
          <w:snapToGrid/>
          <w:color w:val="auto"/>
          <w:kern w:val="2"/>
          <w:sz w:val="32"/>
          <w:szCs w:val="32"/>
          <w:highlight w:val="none"/>
          <w:lang w:bidi="zh-CN"/>
        </w:rPr>
        <w:t>补助，最高补助2000万元。经认定的公共服务平台为区内</w:t>
      </w:r>
      <w:r>
        <w:rPr>
          <w:rFonts w:hint="eastAsia" w:ascii="仿宋_GB2312" w:hAnsi="仿宋_GB2312" w:eastAsia="仿宋_GB2312" w:cs="仿宋_GB2312"/>
          <w:snapToGrid/>
          <w:color w:val="auto"/>
          <w:kern w:val="2"/>
          <w:sz w:val="32"/>
          <w:szCs w:val="32"/>
          <w:highlight w:val="none"/>
          <w:lang w:val="en-US" w:bidi="zh-CN"/>
        </w:rPr>
        <w:t>集成电路企业</w:t>
      </w:r>
      <w:r>
        <w:rPr>
          <w:rFonts w:hint="eastAsia" w:ascii="仿宋_GB2312" w:hAnsi="仿宋_GB2312" w:eastAsia="仿宋_GB2312" w:cs="仿宋_GB2312"/>
          <w:snapToGrid/>
          <w:color w:val="auto"/>
          <w:kern w:val="2"/>
          <w:sz w:val="32"/>
          <w:szCs w:val="32"/>
          <w:highlight w:val="none"/>
          <w:lang w:bidi="zh-CN"/>
        </w:rPr>
        <w:t>提供服务的（服务双方须无投资关联情况）</w:t>
      </w:r>
      <w:r>
        <w:rPr>
          <w:rFonts w:hint="eastAsia" w:ascii="仿宋_GB2312" w:hAnsi="仿宋_GB2312" w:eastAsia="仿宋_GB2312" w:cs="仿宋_GB2312"/>
          <w:snapToGrid/>
          <w:color w:val="auto"/>
          <w:kern w:val="2"/>
          <w:sz w:val="32"/>
          <w:szCs w:val="32"/>
          <w:highlight w:val="none"/>
          <w:lang w:val="en-US" w:bidi="zh-CN"/>
        </w:rPr>
        <w:t>可纳入区创新券载体，按照不超过经认定登记的技术服务合同金额的30%给予补助，每家企业年度</w:t>
      </w:r>
      <w:r>
        <w:rPr>
          <w:rFonts w:hint="eastAsia" w:ascii="仿宋_GB2312" w:hAnsi="仿宋_GB2312" w:eastAsia="仿宋_GB2312" w:cs="仿宋_GB2312"/>
          <w:snapToGrid/>
          <w:color w:val="auto"/>
          <w:kern w:val="2"/>
          <w:sz w:val="32"/>
          <w:szCs w:val="32"/>
          <w:highlight w:val="none"/>
          <w:lang w:bidi="zh-CN"/>
        </w:rPr>
        <w:t>最高补助</w:t>
      </w:r>
      <w:r>
        <w:rPr>
          <w:rFonts w:hint="eastAsia" w:ascii="仿宋_GB2312" w:hAnsi="仿宋_GB2312" w:eastAsia="仿宋_GB2312" w:cs="仿宋_GB2312"/>
          <w:snapToGrid/>
          <w:color w:val="auto"/>
          <w:kern w:val="2"/>
          <w:sz w:val="32"/>
          <w:szCs w:val="32"/>
          <w:highlight w:val="none"/>
          <w:lang w:val="en-US" w:bidi="zh-CN"/>
        </w:rPr>
        <w:t>50万元。（责任单位：经信局）</w:t>
      </w:r>
    </w:p>
    <w:p>
      <w:pPr>
        <w:keepNext w:val="0"/>
        <w:keepLines w:val="0"/>
        <w:pageBreakBefore w:val="0"/>
        <w:overflowPunct/>
        <w:topLinePunct w:val="0"/>
        <w:bidi w:val="0"/>
        <w:adjustRightInd w:val="0"/>
        <w:snapToGrid w:val="0"/>
        <w:spacing w:before="2" w:line="560" w:lineRule="exact"/>
        <w:ind w:left="80" w:right="55" w:firstLine="62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eastAsia="仿宋_GB2312" w:cs="仿宋_GB2312"/>
          <w:snapToGrid/>
          <w:color w:val="auto"/>
          <w:kern w:val="2"/>
          <w:sz w:val="32"/>
          <w:szCs w:val="32"/>
          <w:highlight w:val="none"/>
          <w:lang w:val="en-US" w:bidi="zh-CN"/>
        </w:rPr>
        <w:t>2.</w:t>
      </w:r>
      <w:r>
        <w:rPr>
          <w:rFonts w:hint="eastAsia" w:ascii="仿宋_GB2312" w:hAnsi="仿宋_GB2312" w:eastAsia="仿宋_GB2312" w:cs="仿宋_GB2312"/>
          <w:snapToGrid/>
          <w:color w:val="auto"/>
          <w:kern w:val="2"/>
          <w:sz w:val="32"/>
          <w:szCs w:val="32"/>
          <w:highlight w:val="none"/>
          <w:lang w:bidi="zh-CN"/>
        </w:rPr>
        <w:t>鼓励荣誉创建。</w:t>
      </w:r>
      <w:r>
        <w:rPr>
          <w:rFonts w:hint="eastAsia" w:ascii="仿宋_GB2312" w:hAnsi="仿宋_GB2312" w:eastAsia="仿宋_GB2312" w:cs="仿宋_GB2312"/>
          <w:snapToGrid/>
          <w:color w:val="auto"/>
          <w:kern w:val="2"/>
          <w:sz w:val="32"/>
          <w:szCs w:val="32"/>
          <w:highlight w:val="none"/>
          <w:lang w:val="en-US" w:bidi="zh-CN"/>
        </w:rPr>
        <w:t>鼓励集成电路、人工智能相关平台参与各类资质认定和在我区布局，对国家级、省级高能级平台给予场地租赁、活动举办、项目建设等专项支持，每年根据</w:t>
      </w:r>
      <w:r>
        <w:rPr>
          <w:rFonts w:hint="eastAsia" w:ascii="仿宋_GB2312" w:hAnsi="仿宋_GB2312" w:eastAsia="仿宋_GB2312" w:cs="仿宋_GB2312"/>
          <w:i w:val="0"/>
          <w:iCs w:val="0"/>
          <w:caps w:val="0"/>
          <w:snapToGrid/>
          <w:color w:val="auto"/>
          <w:spacing w:val="0"/>
          <w:kern w:val="2"/>
          <w:sz w:val="32"/>
          <w:szCs w:val="32"/>
          <w:highlight w:val="none"/>
          <w:shd w:val="clear" w:fill="auto"/>
          <w:lang w:bidi="zh-CN"/>
        </w:rPr>
        <w:t>实际支出最高补助500万元</w:t>
      </w:r>
      <w:r>
        <w:rPr>
          <w:rFonts w:hint="eastAsia" w:ascii="仿宋_GB2312" w:hAnsi="仿宋_GB2312" w:eastAsia="仿宋_GB2312" w:cs="仿宋_GB2312"/>
          <w:snapToGrid/>
          <w:color w:val="auto"/>
          <w:kern w:val="2"/>
          <w:sz w:val="32"/>
          <w:szCs w:val="32"/>
          <w:highlight w:val="none"/>
          <w:lang w:bidi="zh-CN"/>
        </w:rPr>
        <w:t>。</w:t>
      </w:r>
      <w:r>
        <w:rPr>
          <w:rFonts w:hint="eastAsia" w:ascii="仿宋_GB2312" w:hAnsi="仿宋_GB2312" w:eastAsia="仿宋_GB2312" w:cs="仿宋_GB2312"/>
          <w:snapToGrid/>
          <w:color w:val="auto"/>
          <w:kern w:val="2"/>
          <w:sz w:val="32"/>
          <w:szCs w:val="32"/>
          <w:highlight w:val="none"/>
          <w:lang w:val="en-US" w:bidi="zh-CN"/>
        </w:rPr>
        <w:t>（责任单位：经信局</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eastAsia="仿宋_GB2312" w:cs="仿宋_GB2312"/>
          <w:snapToGrid/>
          <w:color w:val="auto"/>
          <w:kern w:val="2"/>
          <w:sz w:val="32"/>
          <w:szCs w:val="32"/>
          <w:highlight w:val="none"/>
          <w:lang w:val="en-US" w:bidi="zh-CN"/>
        </w:rPr>
        <w:t>）</w:t>
      </w:r>
    </w:p>
    <w:p>
      <w:pPr>
        <w:keepNext w:val="0"/>
        <w:keepLines w:val="0"/>
        <w:pageBreakBefore w:val="0"/>
        <w:overflowPunct/>
        <w:topLinePunct w:val="0"/>
        <w:bidi w:val="0"/>
        <w:adjustRightInd w:val="0"/>
        <w:snapToGrid w:val="0"/>
        <w:spacing w:before="2" w:line="560" w:lineRule="exact"/>
        <w:ind w:left="80" w:right="55" w:firstLine="62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val="en-US" w:bidi="zh-CN"/>
        </w:rPr>
        <w:t>3.鼓励终端应用。支持“芯机联动”，鼓励终端厂商、系统方案集成商试用自主研发的集成电路产品、设备、材料，对使用非关联集成电路企业的首次上市产品，设备、材料类当年度采购金额累计达500万元以上，按当年采购金额每500万元补助10万元的标准，每家企业最高补助100万元；芯片、模组类当年度采购金额累计达300万元以上，按照最高不超过当年采购金额的30%给予补助，每家企业最高补助150万元。（责任单位：经信局）</w:t>
      </w:r>
    </w:p>
    <w:p>
      <w:pPr>
        <w:keepNext w:val="0"/>
        <w:keepLines w:val="0"/>
        <w:pageBreakBefore w:val="0"/>
        <w:overflowPunct/>
        <w:topLinePunct w:val="0"/>
        <w:bidi w:val="0"/>
        <w:adjustRightInd w:val="0"/>
        <w:snapToGrid w:val="0"/>
        <w:spacing w:before="2" w:line="560" w:lineRule="exact"/>
        <w:ind w:left="80" w:right="55" w:firstLine="62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val="en-US" w:bidi="zh-CN"/>
        </w:rPr>
        <w:t>4.拓展场景应用。</w:t>
      </w:r>
      <w:r>
        <w:rPr>
          <w:rFonts w:hint="eastAsia" w:ascii="仿宋_GB2312" w:hAnsi="仿宋_GB2312" w:eastAsia="仿宋_GB2312" w:cs="仿宋_GB2312"/>
          <w:snapToGrid/>
          <w:color w:val="auto"/>
          <w:kern w:val="2"/>
          <w:sz w:val="32"/>
          <w:szCs w:val="32"/>
          <w:highlight w:val="none"/>
          <w:lang w:val="en-US" w:eastAsia="zh-CN" w:bidi="zh-CN"/>
        </w:rPr>
        <w:t>对于开发具有较强功能泛化能力、满足多场景识别要求、可为下游应用开发提供预训练的基础模型且实现一定规模商用的，经认定给予一年内不超过10P的专属算力资源奖励。对在我区落地并推广的人工智能重大应用成果，经认定分别给予最高50万元、30万元、10万元一次性奖励。鼓励制造业企业利用人工智能技术实现全要素、全流程智能化升级，每年评选一批智能改造标杆企业按照“未来工厂”相关规定给予支持。</w:t>
      </w:r>
      <w:r>
        <w:rPr>
          <w:rFonts w:hint="eastAsia" w:ascii="仿宋_GB2312" w:hAnsi="仿宋_GB2312" w:eastAsia="仿宋_GB2312" w:cs="仿宋_GB2312"/>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发改</w:t>
      </w:r>
      <w:r>
        <w:rPr>
          <w:rFonts w:hint="eastAsia" w:ascii="仿宋_GB2312" w:hAnsi="仿宋_GB2312" w:eastAsia="仿宋_GB2312" w:cs="仿宋_GB2312"/>
          <w:snapToGrid/>
          <w:color w:val="auto"/>
          <w:kern w:val="2"/>
          <w:sz w:val="32"/>
          <w:szCs w:val="32"/>
          <w:highlight w:val="none"/>
          <w:lang w:val="en-US" w:bidi="zh-CN"/>
        </w:rPr>
        <w:t>局）</w:t>
      </w:r>
    </w:p>
    <w:p>
      <w:pPr>
        <w:keepNext w:val="0"/>
        <w:keepLines w:val="0"/>
        <w:pageBreakBefore w:val="0"/>
        <w:numPr>
          <w:ilvl w:val="0"/>
          <w:numId w:val="0"/>
        </w:numPr>
        <w:overflowPunct/>
        <w:topLinePunct w:val="0"/>
        <w:bidi w:val="0"/>
        <w:adjustRightInd w:val="0"/>
        <w:snapToGrid w:val="0"/>
        <w:spacing w:before="2" w:line="560" w:lineRule="exact"/>
        <w:ind w:right="55" w:rightChars="0" w:firstLine="640" w:firstLineChars="20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cs="仿宋_GB2312"/>
          <w:b w:val="0"/>
          <w:bCs w:val="0"/>
          <w:snapToGrid/>
          <w:color w:val="auto"/>
          <w:kern w:val="2"/>
          <w:sz w:val="32"/>
          <w:szCs w:val="32"/>
          <w:highlight w:val="none"/>
          <w:lang w:val="en-US" w:bidi="zh-CN"/>
        </w:rPr>
        <w:t>（五）强化资源服务保障</w:t>
      </w:r>
    </w:p>
    <w:p>
      <w:pPr>
        <w:keepNext w:val="0"/>
        <w:keepLines w:val="0"/>
        <w:pageBreakBefore w:val="0"/>
        <w:numPr>
          <w:ilvl w:val="0"/>
          <w:numId w:val="0"/>
        </w:numPr>
        <w:overflowPunct/>
        <w:topLinePunct w:val="0"/>
        <w:bidi w:val="0"/>
        <w:adjustRightInd w:val="0"/>
        <w:snapToGrid w:val="0"/>
        <w:spacing w:before="2" w:line="560" w:lineRule="exact"/>
        <w:ind w:right="55" w:rightChars="0" w:firstLine="640" w:firstLineChars="20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cs="仿宋_GB2312"/>
          <w:snapToGrid/>
          <w:color w:val="auto"/>
          <w:kern w:val="2"/>
          <w:sz w:val="32"/>
          <w:szCs w:val="32"/>
          <w:highlight w:val="none"/>
          <w:lang w:val="en-US" w:bidi="zh-CN"/>
        </w:rPr>
        <w:t>1</w:t>
      </w:r>
      <w:r>
        <w:rPr>
          <w:rFonts w:hint="eastAsia" w:ascii="仿宋_GB2312" w:hAnsi="仿宋_GB2312" w:eastAsia="仿宋_GB2312" w:cs="仿宋_GB2312"/>
          <w:snapToGrid/>
          <w:color w:val="auto"/>
          <w:kern w:val="2"/>
          <w:sz w:val="32"/>
          <w:szCs w:val="32"/>
          <w:highlight w:val="none"/>
          <w:lang w:val="en-US" w:bidi="zh-CN"/>
        </w:rPr>
        <w:t>.</w:t>
      </w:r>
      <w:r>
        <w:rPr>
          <w:rFonts w:hint="eastAsia" w:ascii="仿宋_GB2312" w:hAnsi="仿宋_GB2312" w:eastAsia="仿宋_GB2312" w:cs="仿宋_GB2312"/>
          <w:snapToGrid/>
          <w:color w:val="auto"/>
          <w:kern w:val="2"/>
          <w:sz w:val="32"/>
          <w:szCs w:val="32"/>
          <w:highlight w:val="none"/>
          <w:lang w:bidi="zh-CN"/>
        </w:rPr>
        <w:t>发挥基金作用。充分发挥产业基金的引领撬动作用，通过股权直投或设立行业母基金、参与子基金等方式，加大对集成电路、</w:t>
      </w:r>
      <w:r>
        <w:rPr>
          <w:rFonts w:hint="eastAsia" w:ascii="仿宋_GB2312" w:hAnsi="仿宋_GB2312" w:eastAsia="仿宋_GB2312" w:cs="仿宋_GB2312"/>
          <w:snapToGrid/>
          <w:color w:val="auto"/>
          <w:kern w:val="2"/>
          <w:sz w:val="32"/>
          <w:szCs w:val="32"/>
          <w:highlight w:val="none"/>
          <w:lang w:val="en-US" w:bidi="zh-CN"/>
        </w:rPr>
        <w:t>人工智能</w:t>
      </w:r>
      <w:r>
        <w:rPr>
          <w:rFonts w:hint="eastAsia" w:ascii="仿宋_GB2312" w:hAnsi="仿宋_GB2312" w:eastAsia="仿宋_GB2312" w:cs="仿宋_GB2312"/>
          <w:snapToGrid/>
          <w:color w:val="auto"/>
          <w:kern w:val="2"/>
          <w:sz w:val="32"/>
          <w:szCs w:val="32"/>
          <w:highlight w:val="none"/>
          <w:lang w:bidi="zh-CN"/>
        </w:rPr>
        <w:t>企业的投资力度。对具有创新能力和发展前景的企业，区高新金投集团可以直接投资的方式参与其股权融资。探索与产业链龙头企业共同组建行业基金，扶持产业链上下游创新企业。鼓励并引导各类创业投资和产业投资基金投向集成电路产业领域。</w:t>
      </w:r>
      <w:r>
        <w:rPr>
          <w:rFonts w:hint="eastAsia" w:ascii="仿宋_GB2312" w:hAnsi="仿宋_GB2312" w:eastAsia="仿宋_GB2312" w:cs="仿宋_GB2312"/>
          <w:snapToGrid/>
          <w:color w:val="auto"/>
          <w:kern w:val="2"/>
          <w:sz w:val="32"/>
          <w:szCs w:val="32"/>
          <w:highlight w:val="none"/>
          <w:lang w:val="en-US" w:bidi="zh-CN"/>
        </w:rPr>
        <w:t>鼓励企业通过境内外上市、并购重组、发行债券等方式扩大直接融资。鼓励商业银行加大对人工智能企业的金融支持力度，支持人工智能中小微企业发展。（责任单位：</w:t>
      </w:r>
      <w:r>
        <w:rPr>
          <w:rFonts w:hint="eastAsia" w:ascii="仿宋_GB2312" w:hAnsi="仿宋_GB2312" w:cs="仿宋_GB2312"/>
          <w:snapToGrid/>
          <w:color w:val="auto"/>
          <w:kern w:val="2"/>
          <w:sz w:val="32"/>
          <w:szCs w:val="32"/>
          <w:highlight w:val="none"/>
          <w:lang w:val="en-US" w:bidi="zh-CN"/>
        </w:rPr>
        <w:t>发改局、</w:t>
      </w:r>
      <w:r>
        <w:rPr>
          <w:rFonts w:hint="eastAsia" w:ascii="仿宋_GB2312" w:hAnsi="仿宋_GB2312" w:eastAsia="仿宋_GB2312" w:cs="仿宋_GB2312"/>
          <w:snapToGrid/>
          <w:color w:val="auto"/>
          <w:kern w:val="2"/>
          <w:sz w:val="32"/>
          <w:szCs w:val="32"/>
          <w:highlight w:val="none"/>
          <w:lang w:bidi="zh-CN"/>
        </w:rPr>
        <w:t>高新金投集团</w:t>
      </w:r>
      <w:r>
        <w:rPr>
          <w:rFonts w:hint="eastAsia" w:ascii="仿宋_GB2312" w:hAnsi="仿宋_GB2312" w:eastAsia="仿宋_GB2312" w:cs="仿宋_GB2312"/>
          <w:snapToGrid/>
          <w:color w:val="auto"/>
          <w:kern w:val="2"/>
          <w:sz w:val="32"/>
          <w:szCs w:val="32"/>
          <w:highlight w:val="none"/>
          <w:lang w:val="en-US" w:bidi="zh-CN"/>
        </w:rPr>
        <w:t>）</w:t>
      </w:r>
    </w:p>
    <w:p>
      <w:pPr>
        <w:keepNext w:val="0"/>
        <w:keepLines w:val="0"/>
        <w:pageBreakBefore w:val="0"/>
        <w:numPr>
          <w:ilvl w:val="0"/>
          <w:numId w:val="0"/>
        </w:numPr>
        <w:overflowPunct/>
        <w:topLinePunct w:val="0"/>
        <w:bidi w:val="0"/>
        <w:adjustRightInd w:val="0"/>
        <w:snapToGrid w:val="0"/>
        <w:spacing w:before="2" w:line="560" w:lineRule="exact"/>
        <w:ind w:right="55" w:rightChars="0" w:firstLine="640" w:firstLineChars="20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cs="仿宋_GB2312"/>
          <w:snapToGrid/>
          <w:color w:val="auto"/>
          <w:kern w:val="2"/>
          <w:sz w:val="32"/>
          <w:szCs w:val="32"/>
          <w:highlight w:val="none"/>
          <w:lang w:val="en-US" w:bidi="zh-CN"/>
        </w:rPr>
        <w:t>2</w:t>
      </w:r>
      <w:r>
        <w:rPr>
          <w:rFonts w:hint="eastAsia" w:ascii="仿宋_GB2312" w:hAnsi="仿宋_GB2312" w:eastAsia="仿宋_GB2312" w:cs="仿宋_GB2312"/>
          <w:snapToGrid/>
          <w:color w:val="auto"/>
          <w:kern w:val="2"/>
          <w:sz w:val="32"/>
          <w:szCs w:val="32"/>
          <w:highlight w:val="none"/>
          <w:lang w:val="en-US" w:bidi="zh-CN"/>
        </w:rPr>
        <w:t>.</w:t>
      </w:r>
      <w:r>
        <w:rPr>
          <w:rFonts w:hint="eastAsia" w:ascii="仿宋_GB2312" w:hAnsi="仿宋_GB2312" w:eastAsia="仿宋_GB2312" w:cs="仿宋_GB2312"/>
          <w:snapToGrid/>
          <w:color w:val="auto"/>
          <w:kern w:val="2"/>
          <w:sz w:val="32"/>
          <w:szCs w:val="32"/>
          <w:highlight w:val="none"/>
          <w:lang w:bidi="zh-CN"/>
        </w:rPr>
        <w:t>支持金融服务。对集成电路、</w:t>
      </w:r>
      <w:r>
        <w:rPr>
          <w:rFonts w:hint="eastAsia" w:ascii="仿宋_GB2312" w:hAnsi="仿宋_GB2312" w:eastAsia="仿宋_GB2312" w:cs="仿宋_GB2312"/>
          <w:snapToGrid/>
          <w:color w:val="auto"/>
          <w:kern w:val="2"/>
          <w:sz w:val="32"/>
          <w:szCs w:val="32"/>
          <w:highlight w:val="none"/>
          <w:lang w:val="en-US" w:bidi="zh-CN"/>
        </w:rPr>
        <w:t>人工智能</w:t>
      </w:r>
      <w:r>
        <w:rPr>
          <w:rFonts w:hint="eastAsia" w:ascii="仿宋_GB2312" w:hAnsi="仿宋_GB2312" w:eastAsia="仿宋_GB2312" w:cs="仿宋_GB2312"/>
          <w:snapToGrid/>
          <w:color w:val="auto"/>
          <w:kern w:val="2"/>
          <w:sz w:val="32"/>
          <w:szCs w:val="32"/>
          <w:highlight w:val="none"/>
          <w:lang w:bidi="zh-CN"/>
        </w:rPr>
        <w:t>企业自设立或引进三年内使用银行贷款的，按照银行同期LPR利率给予利息补贴，补贴贷款额度最高不超过500万元。</w:t>
      </w:r>
      <w:r>
        <w:rPr>
          <w:rFonts w:hint="eastAsia" w:ascii="仿宋_GB2312" w:hAnsi="仿宋_GB2312" w:eastAsia="仿宋_GB2312" w:cs="仿宋_GB2312"/>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经信局、发改局</w:t>
      </w:r>
      <w:r>
        <w:rPr>
          <w:rFonts w:hint="eastAsia" w:ascii="仿宋_GB2312" w:hAnsi="仿宋_GB2312" w:eastAsia="仿宋_GB2312" w:cs="仿宋_GB2312"/>
          <w:snapToGrid/>
          <w:color w:val="auto"/>
          <w:kern w:val="2"/>
          <w:sz w:val="32"/>
          <w:szCs w:val="32"/>
          <w:highlight w:val="none"/>
          <w:lang w:val="en-US" w:bidi="zh-CN"/>
        </w:rPr>
        <w:t>）</w:t>
      </w:r>
    </w:p>
    <w:p>
      <w:pPr>
        <w:keepNext w:val="0"/>
        <w:keepLines w:val="0"/>
        <w:pageBreakBefore w:val="0"/>
        <w:numPr>
          <w:ilvl w:val="0"/>
          <w:numId w:val="0"/>
        </w:numPr>
        <w:overflowPunct/>
        <w:topLinePunct w:val="0"/>
        <w:bidi w:val="0"/>
        <w:adjustRightInd w:val="0"/>
        <w:snapToGrid w:val="0"/>
        <w:spacing w:before="2" w:line="560" w:lineRule="exact"/>
        <w:ind w:right="55" w:rightChars="0" w:firstLine="640" w:firstLineChars="20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cs="仿宋_GB2312"/>
          <w:snapToGrid/>
          <w:color w:val="auto"/>
          <w:kern w:val="2"/>
          <w:sz w:val="32"/>
          <w:szCs w:val="32"/>
          <w:highlight w:val="none"/>
          <w:lang w:val="en-US" w:bidi="zh-CN"/>
        </w:rPr>
        <w:t>3</w:t>
      </w:r>
      <w:r>
        <w:rPr>
          <w:rFonts w:hint="eastAsia" w:ascii="仿宋_GB2312" w:hAnsi="仿宋_GB2312" w:eastAsia="仿宋_GB2312" w:cs="仿宋_GB2312"/>
          <w:snapToGrid/>
          <w:color w:val="auto"/>
          <w:kern w:val="2"/>
          <w:sz w:val="32"/>
          <w:szCs w:val="32"/>
          <w:highlight w:val="none"/>
          <w:lang w:val="en-US" w:bidi="zh-CN"/>
        </w:rPr>
        <w:t>.</w:t>
      </w:r>
      <w:r>
        <w:rPr>
          <w:rFonts w:hint="eastAsia" w:ascii="仿宋_GB2312" w:hAnsi="仿宋_GB2312" w:eastAsia="仿宋_GB2312" w:cs="仿宋_GB2312"/>
          <w:snapToGrid/>
          <w:color w:val="auto"/>
          <w:kern w:val="2"/>
          <w:sz w:val="32"/>
          <w:szCs w:val="32"/>
          <w:highlight w:val="none"/>
          <w:lang w:bidi="zh-CN"/>
        </w:rPr>
        <w:t>加快人才引育。鼓励企业引进高精尖缺人才，对新引进人才入选省、市顶尖人才计划的，给予最高100万元的奖励。鼓励以才引才，集成电路、</w:t>
      </w:r>
      <w:r>
        <w:rPr>
          <w:rFonts w:hint="eastAsia" w:ascii="仿宋_GB2312" w:hAnsi="仿宋_GB2312" w:eastAsia="仿宋_GB2312" w:cs="仿宋_GB2312"/>
          <w:snapToGrid/>
          <w:color w:val="auto"/>
          <w:kern w:val="2"/>
          <w:sz w:val="32"/>
          <w:szCs w:val="32"/>
          <w:highlight w:val="none"/>
          <w:lang w:val="en-US" w:bidi="zh-CN"/>
        </w:rPr>
        <w:t>人工智能</w:t>
      </w:r>
      <w:r>
        <w:rPr>
          <w:rFonts w:hint="eastAsia" w:ascii="仿宋_GB2312" w:hAnsi="仿宋_GB2312" w:eastAsia="仿宋_GB2312" w:cs="仿宋_GB2312"/>
          <w:snapToGrid/>
          <w:color w:val="auto"/>
          <w:kern w:val="2"/>
          <w:sz w:val="32"/>
          <w:szCs w:val="32"/>
          <w:highlight w:val="none"/>
          <w:lang w:bidi="zh-CN"/>
        </w:rPr>
        <w:t>产业人才推荐同产业紧缺人才落地的，给予推荐人最高10万元荐才奖励。对人才在个人安居、子女教育等方面给予重点保障，进一步规范人才流动秩序。</w:t>
      </w:r>
      <w:r>
        <w:rPr>
          <w:rFonts w:hint="eastAsia" w:ascii="仿宋_GB2312" w:hAnsi="仿宋_GB2312" w:eastAsia="仿宋_GB2312" w:cs="仿宋_GB2312"/>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人才办</w:t>
      </w:r>
      <w:r>
        <w:rPr>
          <w:rFonts w:hint="eastAsia" w:ascii="仿宋_GB2312" w:hAnsi="仿宋_GB2312" w:eastAsia="仿宋_GB2312" w:cs="仿宋_GB2312"/>
          <w:snapToGrid/>
          <w:color w:val="auto"/>
          <w:kern w:val="2"/>
          <w:sz w:val="32"/>
          <w:szCs w:val="32"/>
          <w:highlight w:val="none"/>
          <w:lang w:val="en-US" w:bidi="zh-CN"/>
        </w:rPr>
        <w:t>）</w:t>
      </w:r>
    </w:p>
    <w:p>
      <w:pPr>
        <w:keepNext w:val="0"/>
        <w:keepLines w:val="0"/>
        <w:pageBreakBefore w:val="0"/>
        <w:numPr>
          <w:ilvl w:val="0"/>
          <w:numId w:val="0"/>
        </w:numPr>
        <w:overflowPunct/>
        <w:topLinePunct w:val="0"/>
        <w:bidi w:val="0"/>
        <w:adjustRightInd w:val="0"/>
        <w:snapToGrid w:val="0"/>
        <w:spacing w:before="2" w:line="560" w:lineRule="exact"/>
        <w:ind w:right="55" w:rightChars="0" w:firstLine="640" w:firstLineChars="20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cs="仿宋_GB2312"/>
          <w:snapToGrid/>
          <w:color w:val="auto"/>
          <w:kern w:val="2"/>
          <w:sz w:val="32"/>
          <w:szCs w:val="32"/>
          <w:highlight w:val="none"/>
          <w:lang w:val="en-US" w:bidi="zh-CN"/>
        </w:rPr>
        <w:t>4</w:t>
      </w:r>
      <w:r>
        <w:rPr>
          <w:rFonts w:hint="eastAsia" w:ascii="仿宋_GB2312" w:hAnsi="仿宋_GB2312" w:eastAsia="仿宋_GB2312" w:cs="仿宋_GB2312"/>
          <w:snapToGrid/>
          <w:color w:val="auto"/>
          <w:kern w:val="2"/>
          <w:sz w:val="32"/>
          <w:szCs w:val="32"/>
          <w:highlight w:val="none"/>
          <w:lang w:val="en-US" w:bidi="zh-CN"/>
        </w:rPr>
        <w:t>.</w:t>
      </w:r>
      <w:r>
        <w:rPr>
          <w:rFonts w:hint="eastAsia" w:ascii="仿宋_GB2312" w:hAnsi="仿宋_GB2312" w:cs="仿宋_GB2312"/>
          <w:snapToGrid/>
          <w:color w:val="auto"/>
          <w:kern w:val="2"/>
          <w:sz w:val="32"/>
          <w:szCs w:val="32"/>
          <w:highlight w:val="none"/>
          <w:lang w:val="en-US" w:bidi="zh-CN"/>
        </w:rPr>
        <w:t>保护</w:t>
      </w:r>
      <w:r>
        <w:rPr>
          <w:rFonts w:hint="eastAsia" w:ascii="仿宋_GB2312" w:hAnsi="仿宋_GB2312" w:eastAsia="仿宋_GB2312" w:cs="仿宋_GB2312"/>
          <w:snapToGrid/>
          <w:color w:val="auto"/>
          <w:kern w:val="2"/>
          <w:sz w:val="32"/>
          <w:szCs w:val="32"/>
          <w:highlight w:val="none"/>
          <w:lang w:bidi="zh-CN"/>
        </w:rPr>
        <w:t>知识产权。鼓励企业申请发明专利、软件著作权</w:t>
      </w:r>
      <w:r>
        <w:rPr>
          <w:rFonts w:hint="eastAsia" w:ascii="仿宋_GB2312" w:hAnsi="仿宋_GB2312" w:eastAsia="仿宋_GB2312" w:cs="仿宋_GB2312"/>
          <w:snapToGrid/>
          <w:color w:val="auto"/>
          <w:kern w:val="2"/>
          <w:sz w:val="32"/>
          <w:szCs w:val="32"/>
          <w:highlight w:val="none"/>
          <w:lang w:val="en-US" w:bidi="zh-CN"/>
        </w:rPr>
        <w:t>和</w:t>
      </w:r>
      <w:r>
        <w:rPr>
          <w:rFonts w:hint="eastAsia" w:ascii="仿宋_GB2312" w:hAnsi="仿宋_GB2312" w:eastAsia="仿宋_GB2312" w:cs="仿宋_GB2312"/>
          <w:snapToGrid/>
          <w:color w:val="auto"/>
          <w:kern w:val="2"/>
          <w:sz w:val="32"/>
          <w:szCs w:val="32"/>
          <w:highlight w:val="none"/>
          <w:lang w:bidi="zh-CN"/>
        </w:rPr>
        <w:t>集成电路布图设计登记证书</w:t>
      </w:r>
      <w:r>
        <w:rPr>
          <w:rFonts w:hint="eastAsia" w:ascii="仿宋_GB2312" w:hAnsi="仿宋_GB2312" w:eastAsia="仿宋_GB2312" w:cs="仿宋_GB2312"/>
          <w:snapToGrid/>
          <w:color w:val="auto"/>
          <w:kern w:val="2"/>
          <w:sz w:val="32"/>
          <w:szCs w:val="32"/>
          <w:highlight w:val="none"/>
          <w:lang w:val="en-US" w:bidi="zh-CN"/>
        </w:rPr>
        <w:t>等权证</w:t>
      </w:r>
      <w:r>
        <w:rPr>
          <w:rFonts w:hint="eastAsia" w:ascii="仿宋_GB2312" w:hAnsi="仿宋_GB2312" w:eastAsia="仿宋_GB2312" w:cs="仿宋_GB2312"/>
          <w:snapToGrid/>
          <w:color w:val="auto"/>
          <w:kern w:val="2"/>
          <w:sz w:val="32"/>
          <w:szCs w:val="32"/>
          <w:highlight w:val="none"/>
          <w:lang w:bidi="zh-CN"/>
        </w:rPr>
        <w:t>，形成核心知识产权。企业主导、参与制定国际标准并发布的，分别给予企业100万元、50万元奖励；参与国家标准、行业标准制定并发布的，分别给予企业20万元、10万元奖励；主导、参与制定“浙江制造”标准并发布的，分别给予企业10万元、5万元的奖励。对新获得或提名国家、省、市、区政府质量奖的，给予最高200万的奖励。</w:t>
      </w:r>
      <w:r>
        <w:rPr>
          <w:rFonts w:hint="eastAsia" w:ascii="仿宋_GB2312" w:hAnsi="仿宋_GB2312" w:eastAsia="仿宋_GB2312" w:cs="仿宋_GB2312"/>
          <w:snapToGrid/>
          <w:color w:val="auto"/>
          <w:kern w:val="2"/>
          <w:sz w:val="32"/>
          <w:szCs w:val="32"/>
          <w:highlight w:val="none"/>
          <w:lang w:val="en-US" w:bidi="zh-CN"/>
        </w:rPr>
        <w:t>（责任单位：</w:t>
      </w:r>
      <w:r>
        <w:rPr>
          <w:rFonts w:hint="eastAsia" w:ascii="仿宋_GB2312" w:hAnsi="仿宋_GB2312" w:cs="仿宋_GB2312"/>
          <w:snapToGrid/>
          <w:color w:val="auto"/>
          <w:kern w:val="2"/>
          <w:sz w:val="32"/>
          <w:szCs w:val="32"/>
          <w:highlight w:val="none"/>
          <w:lang w:val="en-US" w:bidi="zh-CN"/>
        </w:rPr>
        <w:t>市监局</w:t>
      </w:r>
      <w:r>
        <w:rPr>
          <w:rFonts w:hint="eastAsia" w:ascii="仿宋_GB2312" w:hAnsi="仿宋_GB2312" w:eastAsia="仿宋_GB2312" w:cs="仿宋_GB2312"/>
          <w:snapToGrid/>
          <w:color w:val="auto"/>
          <w:kern w:val="2"/>
          <w:sz w:val="32"/>
          <w:szCs w:val="32"/>
          <w:highlight w:val="none"/>
          <w:lang w:val="en-US" w:bidi="zh-CN"/>
        </w:rPr>
        <w:t>）</w:t>
      </w:r>
    </w:p>
    <w:p>
      <w:pPr>
        <w:keepNext w:val="0"/>
        <w:keepLines w:val="0"/>
        <w:pageBreakBefore w:val="0"/>
        <w:numPr>
          <w:ilvl w:val="0"/>
          <w:numId w:val="0"/>
        </w:numPr>
        <w:overflowPunct/>
        <w:topLinePunct w:val="0"/>
        <w:bidi w:val="0"/>
        <w:adjustRightInd w:val="0"/>
        <w:snapToGrid w:val="0"/>
        <w:spacing w:before="2" w:line="560" w:lineRule="exact"/>
        <w:ind w:left="700" w:leftChars="0" w:right="55" w:rightChars="0"/>
        <w:jc w:val="both"/>
        <w:rPr>
          <w:rFonts w:ascii="黑体" w:hAnsi="黑体" w:eastAsia="黑体" w:cs="Times New Roman"/>
          <w:snapToGrid/>
          <w:color w:val="auto"/>
          <w:kern w:val="2"/>
          <w:sz w:val="32"/>
          <w:szCs w:val="32"/>
          <w:highlight w:val="none"/>
          <w:lang w:bidi="zh-CN"/>
        </w:rPr>
      </w:pPr>
      <w:r>
        <w:rPr>
          <w:rFonts w:hint="eastAsia" w:ascii="黑体" w:hAnsi="黑体" w:eastAsia="黑体" w:cs="Times New Roman"/>
          <w:snapToGrid/>
          <w:color w:val="auto"/>
          <w:kern w:val="2"/>
          <w:sz w:val="32"/>
          <w:szCs w:val="32"/>
          <w:highlight w:val="none"/>
          <w:lang w:bidi="zh-CN"/>
        </w:rPr>
        <w:t>四、实施附则</w:t>
      </w:r>
    </w:p>
    <w:p>
      <w:pPr>
        <w:keepNext w:val="0"/>
        <w:keepLines w:val="0"/>
        <w:pageBreakBefore w:val="0"/>
        <w:overflowPunct/>
        <w:topLinePunct w:val="0"/>
        <w:bidi w:val="0"/>
        <w:adjustRightInd w:val="0"/>
        <w:snapToGrid w:val="0"/>
        <w:spacing w:before="2" w:line="560" w:lineRule="exact"/>
        <w:ind w:left="80" w:right="55" w:firstLine="62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eastAsia="仿宋_GB2312" w:cs="仿宋_GB2312"/>
          <w:snapToGrid/>
          <w:color w:val="auto"/>
          <w:kern w:val="2"/>
          <w:sz w:val="32"/>
          <w:szCs w:val="32"/>
          <w:highlight w:val="none"/>
          <w:lang w:bidi="zh-CN"/>
        </w:rPr>
        <w:t>1.本意见适用于在高新区（滨江）内从事重点支持领域方向的集成电路设计、制造、封测、装备、</w:t>
      </w:r>
      <w:r>
        <w:rPr>
          <w:rFonts w:hint="eastAsia" w:ascii="仿宋_GB2312" w:hAnsi="仿宋_GB2312" w:eastAsia="仿宋_GB2312" w:cs="仿宋_GB2312"/>
          <w:snapToGrid/>
          <w:color w:val="auto"/>
          <w:kern w:val="2"/>
          <w:sz w:val="32"/>
          <w:szCs w:val="32"/>
          <w:highlight w:val="none"/>
          <w:lang w:val="en-US" w:bidi="zh-CN"/>
        </w:rPr>
        <w:t>材料和从事人工智能产品研发、生产、销售及相关服务的企事业单位和经认定的机构</w:t>
      </w:r>
      <w:r>
        <w:rPr>
          <w:rFonts w:hint="eastAsia" w:ascii="仿宋_GB2312" w:hAnsi="仿宋_GB2312" w:eastAsia="仿宋_GB2312" w:cs="仿宋_GB2312"/>
          <w:snapToGrid/>
          <w:color w:val="auto"/>
          <w:kern w:val="2"/>
          <w:sz w:val="32"/>
          <w:szCs w:val="32"/>
          <w:highlight w:val="none"/>
          <w:lang w:bidi="zh-CN"/>
        </w:rPr>
        <w:t>。</w:t>
      </w:r>
    </w:p>
    <w:p>
      <w:pPr>
        <w:keepNext w:val="0"/>
        <w:keepLines w:val="0"/>
        <w:pageBreakBefore w:val="0"/>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bidi="zh-CN"/>
        </w:rPr>
        <w:t>2.本意见所涉补贴含市、区两级资金，同一项目按照“从高、从优、不重复”原则执行。</w:t>
      </w:r>
    </w:p>
    <w:p>
      <w:pPr>
        <w:keepNext w:val="0"/>
        <w:keepLines w:val="0"/>
        <w:pageBreakBefore w:val="0"/>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eastAsia="仿宋_GB2312" w:cs="仿宋_GB2312"/>
          <w:snapToGrid/>
          <w:color w:val="auto"/>
          <w:kern w:val="2"/>
          <w:sz w:val="32"/>
          <w:szCs w:val="32"/>
          <w:highlight w:val="none"/>
          <w:lang w:bidi="zh-CN"/>
        </w:rPr>
        <w:t>3.本意见所涉新型产业创新组织政策适用范围参照《关于推动创新链产业链“两链”深度</w:t>
      </w:r>
      <w:bookmarkStart w:id="0" w:name="_GoBack"/>
      <w:bookmarkEnd w:id="0"/>
      <w:r>
        <w:rPr>
          <w:rFonts w:hint="eastAsia" w:ascii="仿宋_GB2312" w:hAnsi="仿宋_GB2312" w:eastAsia="仿宋_GB2312" w:cs="仿宋_GB2312"/>
          <w:snapToGrid/>
          <w:color w:val="auto"/>
          <w:kern w:val="2"/>
          <w:sz w:val="32"/>
          <w:szCs w:val="32"/>
          <w:highlight w:val="none"/>
          <w:lang w:bidi="zh-CN"/>
        </w:rPr>
        <w:t>融合的若干措施》（杭高新区〔2022〕7号）执行。</w:t>
      </w:r>
    </w:p>
    <w:p>
      <w:pPr>
        <w:keepNext w:val="0"/>
        <w:keepLines w:val="0"/>
        <w:pageBreakBefore w:val="0"/>
        <w:overflowPunct/>
        <w:topLinePunct w:val="0"/>
        <w:bidi w:val="0"/>
        <w:adjustRightInd w:val="0"/>
        <w:snapToGrid w:val="0"/>
        <w:spacing w:before="2" w:line="560" w:lineRule="exact"/>
        <w:ind w:right="55" w:firstLine="640" w:firstLineChars="200"/>
        <w:jc w:val="both"/>
        <w:rPr>
          <w:rFonts w:hint="eastAsia" w:ascii="仿宋_GB2312" w:hAnsi="仿宋_GB2312" w:eastAsia="仿宋_GB2312" w:cs="仿宋_GB2312"/>
          <w:snapToGrid/>
          <w:color w:val="auto"/>
          <w:kern w:val="2"/>
          <w:sz w:val="32"/>
          <w:szCs w:val="32"/>
          <w:highlight w:val="none"/>
          <w:lang w:bidi="zh-CN"/>
        </w:rPr>
      </w:pPr>
      <w:r>
        <w:rPr>
          <w:rFonts w:hint="eastAsia" w:ascii="仿宋_GB2312" w:hAnsi="仿宋_GB2312" w:cs="仿宋_GB2312"/>
          <w:snapToGrid/>
          <w:color w:val="auto"/>
          <w:kern w:val="2"/>
          <w:sz w:val="32"/>
          <w:szCs w:val="32"/>
          <w:highlight w:val="none"/>
          <w:lang w:val="en-US" w:bidi="zh-CN"/>
        </w:rPr>
        <w:t>4</w:t>
      </w:r>
      <w:r>
        <w:rPr>
          <w:rFonts w:hint="eastAsia" w:ascii="仿宋_GB2312" w:hAnsi="仿宋_GB2312" w:eastAsia="仿宋_GB2312" w:cs="仿宋_GB2312"/>
          <w:snapToGrid/>
          <w:color w:val="auto"/>
          <w:kern w:val="2"/>
          <w:sz w:val="32"/>
          <w:szCs w:val="32"/>
          <w:highlight w:val="none"/>
          <w:lang w:bidi="zh-CN"/>
        </w:rPr>
        <w:t>.本意见自</w:t>
      </w:r>
      <w:r>
        <w:rPr>
          <w:rFonts w:hint="eastAsia" w:ascii="仿宋_GB2312" w:hAnsi="仿宋_GB2312" w:eastAsia="仿宋_GB2312" w:cs="仿宋_GB2312"/>
          <w:snapToGrid/>
          <w:color w:val="auto"/>
          <w:kern w:val="2"/>
          <w:sz w:val="32"/>
          <w:szCs w:val="32"/>
          <w:highlight w:val="none"/>
          <w:lang w:val="en-US" w:bidi="zh-CN"/>
        </w:rPr>
        <w:t>2024年   月    日</w:t>
      </w:r>
      <w:r>
        <w:rPr>
          <w:rFonts w:hint="eastAsia" w:ascii="仿宋_GB2312" w:hAnsi="仿宋_GB2312" w:eastAsia="仿宋_GB2312" w:cs="仿宋_GB2312"/>
          <w:snapToGrid/>
          <w:color w:val="auto"/>
          <w:kern w:val="2"/>
          <w:sz w:val="32"/>
          <w:szCs w:val="32"/>
          <w:highlight w:val="none"/>
          <w:lang w:bidi="zh-CN"/>
        </w:rPr>
        <w:t>起施行。具体由区经信局会同财政局负责牵头实施。</w:t>
      </w:r>
    </w:p>
    <w:p>
      <w:pPr>
        <w:pStyle w:val="2"/>
        <w:keepNext w:val="0"/>
        <w:keepLines w:val="0"/>
        <w:pageBreakBefore w:val="0"/>
        <w:overflowPunct/>
        <w:topLinePunct w:val="0"/>
        <w:bidi w:val="0"/>
        <w:adjustRightInd w:val="0"/>
        <w:snapToGrid w:val="0"/>
        <w:spacing w:line="560" w:lineRule="exact"/>
        <w:ind w:left="0" w:leftChars="0" w:firstLine="0" w:firstLineChars="0"/>
        <w:rPr>
          <w:rFonts w:hint="eastAsia" w:ascii="仿宋_GB2312" w:hAnsi="仿宋_GB2312" w:eastAsia="仿宋_GB2312" w:cs="仿宋_GB2312"/>
          <w:snapToGrid/>
          <w:color w:val="auto"/>
          <w:kern w:val="2"/>
          <w:sz w:val="32"/>
          <w:szCs w:val="32"/>
          <w:highlight w:val="none"/>
          <w:lang w:bidi="zh-CN"/>
        </w:rPr>
      </w:pPr>
    </w:p>
    <w:p>
      <w:pPr>
        <w:keepNext w:val="0"/>
        <w:keepLines w:val="0"/>
        <w:pageBreakBefore w:val="0"/>
        <w:wordWrap w:val="0"/>
        <w:overflowPunct/>
        <w:topLinePunct w:val="0"/>
        <w:bidi w:val="0"/>
        <w:adjustRightInd w:val="0"/>
        <w:snapToGrid w:val="0"/>
        <w:spacing w:before="110" w:line="560" w:lineRule="exact"/>
        <w:ind w:right="498"/>
        <w:jc w:val="right"/>
        <w:rPr>
          <w:rFonts w:hint="default"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bidi="zh-CN"/>
        </w:rPr>
        <w:t>杭州高新技术产业开发区管理委员会</w:t>
      </w:r>
      <w:r>
        <w:rPr>
          <w:rFonts w:hint="eastAsia" w:ascii="仿宋_GB2312" w:hAnsi="仿宋_GB2312" w:cs="仿宋_GB2312"/>
          <w:snapToGrid/>
          <w:color w:val="auto"/>
          <w:kern w:val="2"/>
          <w:sz w:val="32"/>
          <w:szCs w:val="32"/>
          <w:highlight w:val="none"/>
          <w:lang w:val="en-US" w:bidi="zh-CN"/>
        </w:rPr>
        <w:t xml:space="preserve">  </w:t>
      </w:r>
    </w:p>
    <w:p>
      <w:pPr>
        <w:keepNext w:val="0"/>
        <w:keepLines w:val="0"/>
        <w:pageBreakBefore w:val="0"/>
        <w:overflowPunct/>
        <w:topLinePunct w:val="0"/>
        <w:bidi w:val="0"/>
        <w:adjustRightInd w:val="0"/>
        <w:snapToGrid w:val="0"/>
        <w:spacing w:before="110" w:line="560" w:lineRule="exact"/>
        <w:ind w:right="498"/>
        <w:jc w:val="both"/>
        <w:rPr>
          <w:rFonts w:hint="default" w:ascii="仿宋_GB2312" w:hAnsi="仿宋_GB2312" w:eastAsia="仿宋_GB2312" w:cs="仿宋_GB2312"/>
          <w:snapToGrid/>
          <w:color w:val="auto"/>
          <w:kern w:val="2"/>
          <w:sz w:val="32"/>
          <w:szCs w:val="32"/>
          <w:highlight w:val="none"/>
          <w:lang w:val="en-US" w:bidi="zh-CN"/>
        </w:rPr>
      </w:pPr>
      <w:r>
        <w:rPr>
          <w:rFonts w:hint="eastAsia" w:ascii="仿宋_GB2312" w:hAnsi="仿宋_GB2312" w:eastAsia="仿宋_GB2312" w:cs="仿宋_GB2312"/>
          <w:snapToGrid/>
          <w:color w:val="auto"/>
          <w:kern w:val="2"/>
          <w:sz w:val="32"/>
          <w:szCs w:val="32"/>
          <w:highlight w:val="none"/>
          <w:lang w:bidi="zh-CN"/>
        </w:rPr>
        <w:t xml:space="preserve">                  杭 州 市 滨 江 区 人 民 政 府</w:t>
      </w:r>
      <w:r>
        <w:rPr>
          <w:rFonts w:hint="eastAsia" w:ascii="仿宋_GB2312" w:hAnsi="仿宋_GB2312" w:cs="仿宋_GB2312"/>
          <w:snapToGrid/>
          <w:color w:val="auto"/>
          <w:kern w:val="2"/>
          <w:sz w:val="32"/>
          <w:szCs w:val="32"/>
          <w:highlight w:val="none"/>
          <w:lang w:val="en-US" w:bidi="zh-CN"/>
        </w:rPr>
        <w:t xml:space="preserve"> </w:t>
      </w:r>
    </w:p>
    <w:p>
      <w:pPr>
        <w:keepNext w:val="0"/>
        <w:keepLines w:val="0"/>
        <w:pageBreakBefore w:val="0"/>
        <w:wordWrap w:val="0"/>
        <w:overflowPunct/>
        <w:topLinePunct w:val="0"/>
        <w:bidi w:val="0"/>
        <w:adjustRightInd w:val="0"/>
        <w:snapToGrid w:val="0"/>
        <w:spacing w:line="560" w:lineRule="exact"/>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color w:val="auto"/>
          <w:kern w:val="2"/>
          <w:sz w:val="32"/>
          <w:szCs w:val="32"/>
          <w:highlight w:val="none"/>
          <w:lang w:bidi="zh-CN"/>
        </w:rPr>
        <w:t>202</w:t>
      </w:r>
      <w:r>
        <w:rPr>
          <w:rFonts w:hint="eastAsia" w:ascii="仿宋_GB2312" w:hAnsi="仿宋_GB2312" w:eastAsia="仿宋_GB2312" w:cs="仿宋_GB2312"/>
          <w:snapToGrid/>
          <w:color w:val="auto"/>
          <w:kern w:val="2"/>
          <w:sz w:val="32"/>
          <w:szCs w:val="32"/>
          <w:highlight w:val="none"/>
          <w:lang w:val="en-US" w:bidi="zh-CN"/>
        </w:rPr>
        <w:t>4</w:t>
      </w:r>
      <w:r>
        <w:rPr>
          <w:rFonts w:hint="eastAsia" w:ascii="仿宋_GB2312" w:hAnsi="仿宋_GB2312" w:eastAsia="仿宋_GB2312" w:cs="仿宋_GB2312"/>
          <w:snapToGrid/>
          <w:color w:val="auto"/>
          <w:kern w:val="2"/>
          <w:sz w:val="32"/>
          <w:szCs w:val="32"/>
          <w:highlight w:val="none"/>
          <w:lang w:bidi="zh-CN"/>
        </w:rPr>
        <w:t>年</w:t>
      </w:r>
      <w:r>
        <w:rPr>
          <w:rFonts w:hint="eastAsia" w:ascii="仿宋_GB2312" w:hAnsi="仿宋_GB2312" w:cs="仿宋_GB2312"/>
          <w:snapToGrid/>
          <w:color w:val="auto"/>
          <w:kern w:val="2"/>
          <w:sz w:val="32"/>
          <w:szCs w:val="32"/>
          <w:highlight w:val="none"/>
          <w:lang w:val="en-US" w:bidi="zh-CN"/>
        </w:rPr>
        <w:t>3</w:t>
      </w:r>
      <w:r>
        <w:rPr>
          <w:rFonts w:hint="eastAsia" w:ascii="仿宋_GB2312" w:hAnsi="仿宋_GB2312" w:eastAsia="仿宋_GB2312" w:cs="仿宋_GB2312"/>
          <w:snapToGrid/>
          <w:color w:val="auto"/>
          <w:kern w:val="2"/>
          <w:sz w:val="32"/>
          <w:szCs w:val="32"/>
          <w:highlight w:val="none"/>
          <w:lang w:bidi="zh-CN"/>
        </w:rPr>
        <w:t xml:space="preserve">月  日             </w:t>
      </w:r>
    </w:p>
    <w:sectPr>
      <w:footerReference r:id="rId3" w:type="default"/>
      <w:pgSz w:w="11910" w:h="16840"/>
      <w:pgMar w:top="1701" w:right="1701" w:bottom="1418" w:left="1701" w:header="0" w:footer="1134"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A31DDB-B4B3-46DA-9505-B5B9D4A704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6B4A7B5-C48D-4E83-ABBA-3179998B9686}"/>
  </w:font>
  <w:font w:name="方正小标宋简体">
    <w:panose1 w:val="02000000000000000000"/>
    <w:charset w:val="86"/>
    <w:family w:val="auto"/>
    <w:pitch w:val="default"/>
    <w:sig w:usb0="00000001" w:usb1="08000000" w:usb2="00000000" w:usb3="00000000" w:csb0="00040000" w:csb1="00000000"/>
    <w:embedRegular r:id="rId3" w:fontKey="{B059F28D-2509-4E60-96AD-E5E259088A0D}"/>
  </w:font>
  <w:font w:name="楷体_GB2312">
    <w:panose1 w:val="02010609030101010101"/>
    <w:charset w:val="86"/>
    <w:family w:val="modern"/>
    <w:pitch w:val="default"/>
    <w:sig w:usb0="00000001" w:usb1="080E0000" w:usb2="00000000" w:usb3="00000000" w:csb0="00040000" w:csb1="00000000"/>
    <w:embedRegular r:id="rId4" w:fontKey="{FF64B899-2E41-4302-BF18-8F0CECC0AC47}"/>
  </w:font>
  <w:font w:name="仿宋">
    <w:panose1 w:val="02010609060101010101"/>
    <w:charset w:val="86"/>
    <w:family w:val="modern"/>
    <w:pitch w:val="default"/>
    <w:sig w:usb0="800002BF" w:usb1="38CF7CFA" w:usb2="00000016" w:usb3="00000000" w:csb0="00040001" w:csb1="00000000"/>
    <w:embedRegular r:id="rId5" w:fontKey="{EE779A95-D666-48E2-A27A-BC86C6A483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w:t>
                    </w:r>
                    <w:r>
                      <w:rPr>
                        <w:rFonts w:asciiTheme="minorEastAsia" w:hAnsiTheme="minorEastAsia" w:eastAsia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8B1B"/>
    <w:multiLevelType w:val="singleLevel"/>
    <w:tmpl w:val="82EF8B1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hhMjk4NzAzMWY3MGQ4ODQ5ZDc2YjkyYmRiN2U3ODEifQ=="/>
  </w:docVars>
  <w:rsids>
    <w:rsidRoot w:val="005C0020"/>
    <w:rsid w:val="000015F1"/>
    <w:rsid w:val="00004B8E"/>
    <w:rsid w:val="00047D35"/>
    <w:rsid w:val="000539C8"/>
    <w:rsid w:val="0008245E"/>
    <w:rsid w:val="000E18C6"/>
    <w:rsid w:val="00112059"/>
    <w:rsid w:val="0012473F"/>
    <w:rsid w:val="001548A5"/>
    <w:rsid w:val="001552EE"/>
    <w:rsid w:val="00165D23"/>
    <w:rsid w:val="00173DB1"/>
    <w:rsid w:val="001C6114"/>
    <w:rsid w:val="001F2A79"/>
    <w:rsid w:val="001F3145"/>
    <w:rsid w:val="00216FF5"/>
    <w:rsid w:val="00221576"/>
    <w:rsid w:val="00233186"/>
    <w:rsid w:val="00252BF4"/>
    <w:rsid w:val="00291CA0"/>
    <w:rsid w:val="002D2B7B"/>
    <w:rsid w:val="002E2CEA"/>
    <w:rsid w:val="002F785C"/>
    <w:rsid w:val="00311516"/>
    <w:rsid w:val="0031355A"/>
    <w:rsid w:val="00313826"/>
    <w:rsid w:val="00314320"/>
    <w:rsid w:val="0032059C"/>
    <w:rsid w:val="003214E5"/>
    <w:rsid w:val="00334026"/>
    <w:rsid w:val="00366B88"/>
    <w:rsid w:val="00382223"/>
    <w:rsid w:val="003D07A4"/>
    <w:rsid w:val="003D4865"/>
    <w:rsid w:val="00416B53"/>
    <w:rsid w:val="004A3F0F"/>
    <w:rsid w:val="004D34FA"/>
    <w:rsid w:val="004E064D"/>
    <w:rsid w:val="004F15CB"/>
    <w:rsid w:val="004F612B"/>
    <w:rsid w:val="00512D1B"/>
    <w:rsid w:val="00513FB9"/>
    <w:rsid w:val="005232DB"/>
    <w:rsid w:val="00523704"/>
    <w:rsid w:val="00544B0F"/>
    <w:rsid w:val="005575AA"/>
    <w:rsid w:val="00567FC4"/>
    <w:rsid w:val="005C0020"/>
    <w:rsid w:val="005C0207"/>
    <w:rsid w:val="005C3668"/>
    <w:rsid w:val="005C66B8"/>
    <w:rsid w:val="005D660A"/>
    <w:rsid w:val="005F202E"/>
    <w:rsid w:val="006033D8"/>
    <w:rsid w:val="0066292A"/>
    <w:rsid w:val="00663A52"/>
    <w:rsid w:val="00673F52"/>
    <w:rsid w:val="00680318"/>
    <w:rsid w:val="0068219F"/>
    <w:rsid w:val="006A70A7"/>
    <w:rsid w:val="006D1339"/>
    <w:rsid w:val="006D25C4"/>
    <w:rsid w:val="006D32BE"/>
    <w:rsid w:val="006E16E5"/>
    <w:rsid w:val="00723AA3"/>
    <w:rsid w:val="00746551"/>
    <w:rsid w:val="007527A5"/>
    <w:rsid w:val="0075397A"/>
    <w:rsid w:val="00761D07"/>
    <w:rsid w:val="007677EB"/>
    <w:rsid w:val="00772D3A"/>
    <w:rsid w:val="007C0C1E"/>
    <w:rsid w:val="007F46C7"/>
    <w:rsid w:val="00816D87"/>
    <w:rsid w:val="00820D91"/>
    <w:rsid w:val="008542A4"/>
    <w:rsid w:val="00874144"/>
    <w:rsid w:val="0088614F"/>
    <w:rsid w:val="008872D5"/>
    <w:rsid w:val="0096506B"/>
    <w:rsid w:val="009A728A"/>
    <w:rsid w:val="009C2E40"/>
    <w:rsid w:val="009D0537"/>
    <w:rsid w:val="009D5480"/>
    <w:rsid w:val="009E015B"/>
    <w:rsid w:val="009E2921"/>
    <w:rsid w:val="009E2E3A"/>
    <w:rsid w:val="00A038D0"/>
    <w:rsid w:val="00A0393B"/>
    <w:rsid w:val="00A8584D"/>
    <w:rsid w:val="00AA0C5C"/>
    <w:rsid w:val="00AB71FE"/>
    <w:rsid w:val="00AD3B2F"/>
    <w:rsid w:val="00AF531C"/>
    <w:rsid w:val="00B0008C"/>
    <w:rsid w:val="00B0103B"/>
    <w:rsid w:val="00B06F08"/>
    <w:rsid w:val="00B510B0"/>
    <w:rsid w:val="00B61FA4"/>
    <w:rsid w:val="00B67489"/>
    <w:rsid w:val="00BB7048"/>
    <w:rsid w:val="00BE3B88"/>
    <w:rsid w:val="00C37E60"/>
    <w:rsid w:val="00C463DA"/>
    <w:rsid w:val="00C9080F"/>
    <w:rsid w:val="00CB52DE"/>
    <w:rsid w:val="00CE2309"/>
    <w:rsid w:val="00D3220F"/>
    <w:rsid w:val="00D373ED"/>
    <w:rsid w:val="00D51477"/>
    <w:rsid w:val="00D60D57"/>
    <w:rsid w:val="00D63B0E"/>
    <w:rsid w:val="00D766BE"/>
    <w:rsid w:val="00D8050F"/>
    <w:rsid w:val="00D904BA"/>
    <w:rsid w:val="00DB541F"/>
    <w:rsid w:val="00DC24BD"/>
    <w:rsid w:val="00DC5E37"/>
    <w:rsid w:val="00E371CB"/>
    <w:rsid w:val="00E62056"/>
    <w:rsid w:val="00E63498"/>
    <w:rsid w:val="00E6710E"/>
    <w:rsid w:val="00E70BD0"/>
    <w:rsid w:val="00E75B4B"/>
    <w:rsid w:val="00E81932"/>
    <w:rsid w:val="00E9051D"/>
    <w:rsid w:val="00EA2CAA"/>
    <w:rsid w:val="00EC5884"/>
    <w:rsid w:val="00F042BA"/>
    <w:rsid w:val="00F26449"/>
    <w:rsid w:val="00F53B53"/>
    <w:rsid w:val="00F6648F"/>
    <w:rsid w:val="00F92464"/>
    <w:rsid w:val="00FB4607"/>
    <w:rsid w:val="00FC320F"/>
    <w:rsid w:val="00FC34AE"/>
    <w:rsid w:val="00FD779C"/>
    <w:rsid w:val="00FE391C"/>
    <w:rsid w:val="00FF4BD2"/>
    <w:rsid w:val="0138166C"/>
    <w:rsid w:val="01E943A0"/>
    <w:rsid w:val="02455088"/>
    <w:rsid w:val="025D2916"/>
    <w:rsid w:val="02CF7A3A"/>
    <w:rsid w:val="032D436F"/>
    <w:rsid w:val="04090D29"/>
    <w:rsid w:val="04AD0346"/>
    <w:rsid w:val="04EB48D3"/>
    <w:rsid w:val="063266C1"/>
    <w:rsid w:val="064918B1"/>
    <w:rsid w:val="06FA3AA0"/>
    <w:rsid w:val="06FE09DA"/>
    <w:rsid w:val="078608E3"/>
    <w:rsid w:val="079E6376"/>
    <w:rsid w:val="08DE2F72"/>
    <w:rsid w:val="0A561A7F"/>
    <w:rsid w:val="0AFC1352"/>
    <w:rsid w:val="0B31727D"/>
    <w:rsid w:val="0B8415DD"/>
    <w:rsid w:val="0CD21ED4"/>
    <w:rsid w:val="0D4C612B"/>
    <w:rsid w:val="0DA918CD"/>
    <w:rsid w:val="0DB01ECE"/>
    <w:rsid w:val="0E5771AE"/>
    <w:rsid w:val="0ED168E7"/>
    <w:rsid w:val="0F0B4DA7"/>
    <w:rsid w:val="10B47313"/>
    <w:rsid w:val="11BB312E"/>
    <w:rsid w:val="123B25E3"/>
    <w:rsid w:val="124D2729"/>
    <w:rsid w:val="12725EF2"/>
    <w:rsid w:val="12BA6938"/>
    <w:rsid w:val="12CC40BC"/>
    <w:rsid w:val="14060DE1"/>
    <w:rsid w:val="168A12E2"/>
    <w:rsid w:val="16F271C0"/>
    <w:rsid w:val="17936E30"/>
    <w:rsid w:val="17C84600"/>
    <w:rsid w:val="18003D99"/>
    <w:rsid w:val="19847484"/>
    <w:rsid w:val="19F704E3"/>
    <w:rsid w:val="1A7320E1"/>
    <w:rsid w:val="1A916CD3"/>
    <w:rsid w:val="1B7428F1"/>
    <w:rsid w:val="1CB37E88"/>
    <w:rsid w:val="1DEA52D0"/>
    <w:rsid w:val="1E126598"/>
    <w:rsid w:val="1E6B3366"/>
    <w:rsid w:val="206770AC"/>
    <w:rsid w:val="20A73C7C"/>
    <w:rsid w:val="20AA6F98"/>
    <w:rsid w:val="20E808D0"/>
    <w:rsid w:val="2129610F"/>
    <w:rsid w:val="21D27278"/>
    <w:rsid w:val="21FA5CFD"/>
    <w:rsid w:val="2265586D"/>
    <w:rsid w:val="22981C8A"/>
    <w:rsid w:val="22D64075"/>
    <w:rsid w:val="23F45838"/>
    <w:rsid w:val="242B4894"/>
    <w:rsid w:val="245E2574"/>
    <w:rsid w:val="25311A36"/>
    <w:rsid w:val="259A7857"/>
    <w:rsid w:val="26105AEF"/>
    <w:rsid w:val="26FC4AB8"/>
    <w:rsid w:val="286F6351"/>
    <w:rsid w:val="28B3569E"/>
    <w:rsid w:val="28D177B8"/>
    <w:rsid w:val="2A88659C"/>
    <w:rsid w:val="2BCF3D57"/>
    <w:rsid w:val="2C302A48"/>
    <w:rsid w:val="2C4C3F30"/>
    <w:rsid w:val="2DD56D57"/>
    <w:rsid w:val="2DF67CA3"/>
    <w:rsid w:val="2F0A6B02"/>
    <w:rsid w:val="307A6987"/>
    <w:rsid w:val="30EF5FDC"/>
    <w:rsid w:val="31456F95"/>
    <w:rsid w:val="3194163F"/>
    <w:rsid w:val="31C81974"/>
    <w:rsid w:val="32584F3D"/>
    <w:rsid w:val="32DE3E56"/>
    <w:rsid w:val="33A855B9"/>
    <w:rsid w:val="343148AE"/>
    <w:rsid w:val="34361DEE"/>
    <w:rsid w:val="34993DD1"/>
    <w:rsid w:val="34A71D15"/>
    <w:rsid w:val="353F5AA9"/>
    <w:rsid w:val="35902FA2"/>
    <w:rsid w:val="35E37040"/>
    <w:rsid w:val="36723C5D"/>
    <w:rsid w:val="36F566A9"/>
    <w:rsid w:val="37561A7B"/>
    <w:rsid w:val="376D0FF4"/>
    <w:rsid w:val="39273424"/>
    <w:rsid w:val="398E6FFF"/>
    <w:rsid w:val="3A4104DD"/>
    <w:rsid w:val="3A802DEC"/>
    <w:rsid w:val="3A8A77C7"/>
    <w:rsid w:val="3B0E5C90"/>
    <w:rsid w:val="3C1C3D9E"/>
    <w:rsid w:val="3CA55CF4"/>
    <w:rsid w:val="3CDDB058"/>
    <w:rsid w:val="3CFB70E0"/>
    <w:rsid w:val="3DA70690"/>
    <w:rsid w:val="3DD0090C"/>
    <w:rsid w:val="3E86719B"/>
    <w:rsid w:val="3FA23805"/>
    <w:rsid w:val="40491ED2"/>
    <w:rsid w:val="41C17102"/>
    <w:rsid w:val="41E356A7"/>
    <w:rsid w:val="41F5083D"/>
    <w:rsid w:val="42937435"/>
    <w:rsid w:val="435C1AAA"/>
    <w:rsid w:val="438576C5"/>
    <w:rsid w:val="441A653C"/>
    <w:rsid w:val="44B00516"/>
    <w:rsid w:val="44F06DC0"/>
    <w:rsid w:val="451A3E3D"/>
    <w:rsid w:val="452D591E"/>
    <w:rsid w:val="45B04682"/>
    <w:rsid w:val="4605689B"/>
    <w:rsid w:val="463A37C2"/>
    <w:rsid w:val="46D62F99"/>
    <w:rsid w:val="46FD0433"/>
    <w:rsid w:val="48FF1DA2"/>
    <w:rsid w:val="4929464F"/>
    <w:rsid w:val="49B542D6"/>
    <w:rsid w:val="4ABF5418"/>
    <w:rsid w:val="4B29302C"/>
    <w:rsid w:val="4C34368B"/>
    <w:rsid w:val="4C7E73A7"/>
    <w:rsid w:val="4C893A3D"/>
    <w:rsid w:val="4D064D2D"/>
    <w:rsid w:val="4D4B18DC"/>
    <w:rsid w:val="4F7D417A"/>
    <w:rsid w:val="4F9A62A6"/>
    <w:rsid w:val="52B91BC5"/>
    <w:rsid w:val="53634C01"/>
    <w:rsid w:val="5564083F"/>
    <w:rsid w:val="55CD1878"/>
    <w:rsid w:val="57585785"/>
    <w:rsid w:val="5824666E"/>
    <w:rsid w:val="58C116A0"/>
    <w:rsid w:val="5A7B6B65"/>
    <w:rsid w:val="5AD92744"/>
    <w:rsid w:val="5B4F263B"/>
    <w:rsid w:val="5C5B6DBD"/>
    <w:rsid w:val="5DB83B00"/>
    <w:rsid w:val="5E2751A9"/>
    <w:rsid w:val="5F5D2E4C"/>
    <w:rsid w:val="5FBA27AC"/>
    <w:rsid w:val="60411174"/>
    <w:rsid w:val="609F116B"/>
    <w:rsid w:val="613B0F6B"/>
    <w:rsid w:val="613F6CAD"/>
    <w:rsid w:val="61B75A0A"/>
    <w:rsid w:val="61FA2BD4"/>
    <w:rsid w:val="628D3A49"/>
    <w:rsid w:val="63107E65"/>
    <w:rsid w:val="63770981"/>
    <w:rsid w:val="64760C38"/>
    <w:rsid w:val="653463FD"/>
    <w:rsid w:val="6609450D"/>
    <w:rsid w:val="66CD6B09"/>
    <w:rsid w:val="67565C81"/>
    <w:rsid w:val="67AC03D4"/>
    <w:rsid w:val="67FD7E47"/>
    <w:rsid w:val="68AC3660"/>
    <w:rsid w:val="695F03D5"/>
    <w:rsid w:val="6A1178F5"/>
    <w:rsid w:val="6A537326"/>
    <w:rsid w:val="6A745C1A"/>
    <w:rsid w:val="6ACB7804"/>
    <w:rsid w:val="6BCFBC90"/>
    <w:rsid w:val="6C063838"/>
    <w:rsid w:val="6CB95B66"/>
    <w:rsid w:val="6D357E14"/>
    <w:rsid w:val="6D6B37C5"/>
    <w:rsid w:val="6DB93944"/>
    <w:rsid w:val="6EBF142E"/>
    <w:rsid w:val="6F1E8BFD"/>
    <w:rsid w:val="6F6E0609"/>
    <w:rsid w:val="700C2451"/>
    <w:rsid w:val="70384FF4"/>
    <w:rsid w:val="70451ADA"/>
    <w:rsid w:val="71211F2C"/>
    <w:rsid w:val="71484149"/>
    <w:rsid w:val="717464FF"/>
    <w:rsid w:val="71C1726B"/>
    <w:rsid w:val="72362C4A"/>
    <w:rsid w:val="733E1EC7"/>
    <w:rsid w:val="73D94D40"/>
    <w:rsid w:val="757A4300"/>
    <w:rsid w:val="75B90985"/>
    <w:rsid w:val="7634625D"/>
    <w:rsid w:val="766C3E48"/>
    <w:rsid w:val="76F64E09"/>
    <w:rsid w:val="776F6FC2"/>
    <w:rsid w:val="77EB3293"/>
    <w:rsid w:val="786D419A"/>
    <w:rsid w:val="786F5C73"/>
    <w:rsid w:val="78954206"/>
    <w:rsid w:val="791660EE"/>
    <w:rsid w:val="7952563E"/>
    <w:rsid w:val="7AC219A6"/>
    <w:rsid w:val="7AF5762E"/>
    <w:rsid w:val="7B8E6410"/>
    <w:rsid w:val="7B9F061D"/>
    <w:rsid w:val="7BDF3AE6"/>
    <w:rsid w:val="7BF768EB"/>
    <w:rsid w:val="7C507B69"/>
    <w:rsid w:val="7D6A4C5A"/>
    <w:rsid w:val="7D902913"/>
    <w:rsid w:val="7D99125C"/>
    <w:rsid w:val="7DAC5273"/>
    <w:rsid w:val="7DAE0FEB"/>
    <w:rsid w:val="7DD200EA"/>
    <w:rsid w:val="7DD7E7CC"/>
    <w:rsid w:val="7E0429B9"/>
    <w:rsid w:val="7F10151A"/>
    <w:rsid w:val="7F1A37E8"/>
    <w:rsid w:val="7F5E5495"/>
    <w:rsid w:val="7FB84310"/>
    <w:rsid w:val="7FCA4CCD"/>
    <w:rsid w:val="7FFD2F9B"/>
    <w:rsid w:val="7FFFCD38"/>
    <w:rsid w:val="B97FF342"/>
    <w:rsid w:val="BF3552D7"/>
    <w:rsid w:val="DFF3078F"/>
    <w:rsid w:val="EFF70AEC"/>
    <w:rsid w:val="F6CF16AC"/>
    <w:rsid w:val="F7D7343F"/>
    <w:rsid w:val="FF0BFC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仿宋_GB2312" w:cs="Arial"/>
      <w:snapToGrid w:val="0"/>
      <w:color w:val="000000"/>
      <w:sz w:val="28"/>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rPr>
      <w:sz w:val="32"/>
      <w:szCs w:val="24"/>
    </w:rPr>
  </w:style>
  <w:style w:type="paragraph" w:styleId="3">
    <w:name w:val="annotation text"/>
    <w:basedOn w:val="1"/>
    <w:autoRedefine/>
    <w:qFormat/>
    <w:uiPriority w:val="0"/>
    <w:pPr>
      <w:jc w:val="left"/>
    </w:pPr>
  </w:style>
  <w:style w:type="paragraph" w:styleId="4">
    <w:name w:val="footer"/>
    <w:basedOn w:val="1"/>
    <w:link w:val="10"/>
    <w:autoRedefine/>
    <w:qFormat/>
    <w:uiPriority w:val="0"/>
    <w:pPr>
      <w:tabs>
        <w:tab w:val="center" w:pos="4153"/>
        <w:tab w:val="right" w:pos="8306"/>
      </w:tabs>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jc w:val="center"/>
    </w:pPr>
    <w:rPr>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页眉 字符"/>
    <w:basedOn w:val="7"/>
    <w:link w:val="5"/>
    <w:autoRedefine/>
    <w:qFormat/>
    <w:uiPriority w:val="0"/>
    <w:rPr>
      <w:rFonts w:ascii="Arial" w:hAnsi="Arial" w:eastAsia="Arial" w:cs="Arial"/>
      <w:snapToGrid w:val="0"/>
      <w:color w:val="000000"/>
      <w:sz w:val="18"/>
      <w:szCs w:val="18"/>
    </w:rPr>
  </w:style>
  <w:style w:type="character" w:customStyle="1" w:styleId="10">
    <w:name w:val="页脚 字符"/>
    <w:basedOn w:val="7"/>
    <w:link w:val="4"/>
    <w:autoRedefine/>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2882</Words>
  <Characters>3023</Characters>
  <Lines>26</Lines>
  <Paragraphs>7</Paragraphs>
  <TotalTime>2</TotalTime>
  <ScaleCrop>false</ScaleCrop>
  <LinksUpToDate>false</LinksUpToDate>
  <CharactersWithSpaces>3107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2022-08-06T22:21:00Z</dcterms:created>
  <dc:creator>Kingsoft-PDF</dc:creator>
  <cp:keywords>62ecb6d31d1b040015e3ace6</cp:keywords>
  <cp:lastModifiedBy>经信</cp:lastModifiedBy>
  <cp:lastPrinted>2024-03-14T02:53:00Z</cp:lastPrinted>
  <dcterms:modified xsi:type="dcterms:W3CDTF">2024-03-19T09:35:27Z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2022-08-05T14:21:23Z</vt:filetime>
  </property>
  <property fmtid="{D5CDD505-2E9C-101B-9397-08002B2CF9AE}" pid="4" name="KSOProductBuildVer">
    <vt:lpwstr>2052-12.1.0.16412</vt:lpwstr>
  </property>
  <property fmtid="{D5CDD505-2E9C-101B-9397-08002B2CF9AE}" pid="5" name="ICV">
    <vt:lpwstr>2B80DBC53D3F40CEB276BC9075FA355A_13</vt:lpwstr>
  </property>
  <property fmtid="{D5CDD505-2E9C-101B-9397-08002B2CF9AE}" pid="6" name="woTemplateTypoMode" linkTarget="0">
    <vt:lpwstr>web</vt:lpwstr>
  </property>
  <property fmtid="{D5CDD505-2E9C-101B-9397-08002B2CF9AE}" pid="7" name="woTemplate" linkTarget="0">
    <vt:i4>1</vt:i4>
  </property>
</Properties>
</file>