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《关于对越城区、滨海新区重点建设项目减免城市市政基础设施配套费的实施意见》</w:t>
      </w:r>
    </w:p>
    <w:p>
      <w:pPr>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起草</w:t>
      </w:r>
      <w:r>
        <w:rPr>
          <w:rFonts w:hint="eastAsia" w:ascii="Times New Roman" w:hAnsi="Times New Roman" w:eastAsia="方正小标宋简体" w:cs="Times New Roman"/>
          <w:sz w:val="44"/>
          <w:szCs w:val="44"/>
          <w:lang w:eastAsia="zh-CN"/>
        </w:rPr>
        <w:t>说明</w:t>
      </w:r>
    </w:p>
    <w:p>
      <w:pPr>
        <w:pStyle w:val="2"/>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区建设交通局</w:t>
      </w:r>
    </w:p>
    <w:p>
      <w:pPr>
        <w:ind w:firstLine="640" w:firstLineChars="200"/>
        <w:rPr>
          <w:rFonts w:ascii="Times New Roman" w:hAnsi="Times New Roman" w:eastAsia="黑体" w:cs="Times New Roman"/>
          <w:sz w:val="32"/>
          <w:szCs w:val="32"/>
        </w:rPr>
      </w:pPr>
    </w:p>
    <w:p>
      <w:pPr>
        <w:numPr>
          <w:ilvl w:val="0"/>
          <w:numId w:val="1"/>
        </w:numPr>
        <w:spacing w:line="57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起草背景</w:t>
      </w:r>
    </w:p>
    <w:p>
      <w:pPr>
        <w:spacing w:line="574"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2021年，为切实提升我区营商环境，经滨海新区主任办公会议、越城区常务会议</w:t>
      </w:r>
      <w:r>
        <w:rPr>
          <w:rFonts w:hint="eastAsia" w:ascii="Times New Roman" w:hAnsi="Times New Roman" w:eastAsia="仿宋_GB2312" w:cs="Times New Roman"/>
          <w:sz w:val="32"/>
          <w:szCs w:val="36"/>
        </w:rPr>
        <w:t>审议</w:t>
      </w:r>
      <w:r>
        <w:rPr>
          <w:rFonts w:ascii="Times New Roman" w:hAnsi="Times New Roman" w:eastAsia="仿宋_GB2312" w:cs="Times New Roman"/>
          <w:sz w:val="32"/>
          <w:szCs w:val="36"/>
        </w:rPr>
        <w:t>通过，于2021年4月15日以越城区人民政府办公室和滨海新区管委会办公室名义联合印发了《关于对越城区、滨海新区重点建设项目减免城市市政基础设施配套费的实施意见》（越政办发〔2021〕20号）</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执行时间自2021年1月1日至2021年12月31日止。</w:t>
      </w:r>
    </w:p>
    <w:p>
      <w:pPr>
        <w:spacing w:line="574"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为进一步降低企业投资成本，提振企业发展信心，更好地开展招商选资工作。2022年以来，我局已多次与滨海新区规建局沟通对接，建议延长《实施意见》执行时间2年。2022年6月6日，滨海新区管委会主任办公会议已审议通过，同意延长《关于对越城区、滨海新区重点建设项目减免城市市政基础设施配套费的实施意见》（越政办发﹝2021﹞20号）执行时间2年，即自2022年1月1日至2023年12月31日止。</w:t>
      </w:r>
    </w:p>
    <w:p>
      <w:pPr>
        <w:spacing w:line="574" w:lineRule="exact"/>
        <w:ind w:firstLine="640" w:firstLineChars="200"/>
        <w:rPr>
          <w:rFonts w:ascii="Times New Roman" w:hAnsi="Times New Roman" w:eastAsia="仿宋_GB2312" w:cs="Times New Roman"/>
          <w:sz w:val="32"/>
          <w:szCs w:val="36"/>
        </w:rPr>
      </w:pPr>
      <w:r>
        <w:rPr>
          <w:rFonts w:hint="eastAsia" w:ascii="Times New Roman" w:hAnsi="Times New Roman" w:eastAsia="黑体" w:cs="Times New Roman"/>
          <w:sz w:val="32"/>
          <w:szCs w:val="32"/>
        </w:rPr>
        <w:t>二、主要内容</w:t>
      </w:r>
    </w:p>
    <w:p>
      <w:pPr>
        <w:spacing w:line="574"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w:t>
      </w:r>
      <w:r>
        <w:rPr>
          <w:rFonts w:hint="eastAsia" w:ascii="Times New Roman" w:hAnsi="Times New Roman" w:eastAsia="仿宋_GB2312" w:cs="Times New Roman"/>
          <w:sz w:val="32"/>
          <w:szCs w:val="36"/>
        </w:rPr>
        <w:t>关于对越城区、滨海新区重点建设项目减免城市市政基础设施配套费的实施意见</w:t>
      </w:r>
      <w:r>
        <w:rPr>
          <w:rFonts w:ascii="Times New Roman" w:hAnsi="Times New Roman" w:eastAsia="仿宋_GB2312" w:cs="Times New Roman"/>
          <w:sz w:val="32"/>
          <w:szCs w:val="36"/>
        </w:rPr>
        <w:t>》对越城区、滨海新区范围内建设项目的配套费征收标准、减免对象、审批程序、适用范围等情况进行了明确</w:t>
      </w:r>
      <w:r>
        <w:rPr>
          <w:rFonts w:hint="eastAsia" w:ascii="Times New Roman" w:hAnsi="Times New Roman" w:eastAsia="仿宋_GB2312" w:cs="Times New Roman"/>
          <w:sz w:val="32"/>
          <w:szCs w:val="36"/>
        </w:rPr>
        <w:t>和规定。主要内容与越政办发〔2021〕20号文件一致，如政策执行期间有国家、省、市新政策出台的，按照国家、省、市新政策执行。</w:t>
      </w:r>
    </w:p>
    <w:p>
      <w:pPr>
        <w:spacing w:line="574" w:lineRule="exact"/>
        <w:ind w:firstLine="643" w:firstLineChars="200"/>
        <w:rPr>
          <w:rFonts w:ascii="仿宋_GB2312" w:hAnsi="楷体" w:eastAsia="仿宋_GB2312" w:cs="楷体"/>
          <w:sz w:val="32"/>
          <w:szCs w:val="36"/>
        </w:rPr>
      </w:pPr>
      <w:r>
        <w:rPr>
          <w:rFonts w:hint="eastAsia" w:ascii="楷体_GB2312" w:hAnsi="楷体_GB2312" w:eastAsia="楷体_GB2312" w:cs="楷体_GB2312"/>
          <w:b/>
          <w:bCs/>
          <w:sz w:val="32"/>
          <w:szCs w:val="36"/>
        </w:rPr>
        <w:t>（一）确定征收标准：</w:t>
      </w:r>
      <w:r>
        <w:rPr>
          <w:rFonts w:hint="eastAsia" w:ascii="仿宋_GB2312" w:hAnsi="仿宋_GB2312" w:eastAsia="仿宋_GB2312" w:cs="仿宋_GB2312"/>
          <w:sz w:val="32"/>
          <w:szCs w:val="32"/>
        </w:rPr>
        <w:t>征收标准按绍市建设计〔2012〕68号文件规定，住宅60元/平方米，非住宅110元/平方米，住宅改经营性非住宅50元/平方米。对由越城区、滨海新区征收的城市市政基础设施配套费按以上收费标准的70%征收。</w:t>
      </w:r>
    </w:p>
    <w:p>
      <w:pPr>
        <w:spacing w:line="574" w:lineRule="exact"/>
        <w:ind w:firstLine="643" w:firstLineChars="200"/>
        <w:rPr>
          <w:rFonts w:ascii="楷体_GB2312" w:hAnsi="楷体_GB2312" w:eastAsia="楷体_GB2312" w:cs="楷体_GB2312"/>
          <w:b/>
          <w:bCs/>
          <w:sz w:val="32"/>
          <w:szCs w:val="36"/>
        </w:rPr>
      </w:pPr>
      <w:r>
        <w:rPr>
          <w:rFonts w:hint="eastAsia" w:ascii="楷体_GB2312" w:hAnsi="楷体_GB2312" w:eastAsia="楷体_GB2312" w:cs="楷体_GB2312"/>
          <w:b/>
          <w:bCs/>
          <w:sz w:val="32"/>
          <w:szCs w:val="36"/>
        </w:rPr>
        <w:t>（二）明确10类减免对象：</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1.绍市建设计〔2012〕68号文件规定可减、免征项目。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2.越城区、滨海新区国有企业投资的建设项目。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3.固定资产投资在1亿元以上且列入市级及以上的重点项目、重大产业项目。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4.固定资产投资在1亿元以上且属于境内外上市企业（含新三板上市企业）投资的其主营业务范围内项目。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5.固定资产投资在1亿元以上且属于国家级高新技术企业投资的其主营业务范围内项目。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6.实到外资在1000万美元以上的外资项目。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7.列入“市县长项目工程”。</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8.列入市级及以上重大服务业项目（不包括房地产项目）。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9.固定资产投资1亿元以上规上工业企业的“零土地”技术改造项目。</w:t>
      </w:r>
    </w:p>
    <w:p>
      <w:pPr>
        <w:tabs>
          <w:tab w:val="left" w:pos="1980"/>
        </w:tabs>
        <w:spacing w:line="574" w:lineRule="exact"/>
        <w:ind w:firstLine="640" w:firstLineChars="200"/>
        <w:jc w:val="left"/>
        <w:rPr>
          <w:rFonts w:ascii="仿宋_GB2312" w:hAnsi="仿宋" w:eastAsia="仿宋_GB2312"/>
          <w:sz w:val="32"/>
          <w:szCs w:val="36"/>
        </w:rPr>
      </w:pPr>
      <w:r>
        <w:rPr>
          <w:rFonts w:hint="eastAsia" w:ascii="仿宋_GB2312" w:hAnsi="仿宋" w:eastAsia="仿宋_GB2312"/>
          <w:sz w:val="32"/>
          <w:szCs w:val="36"/>
        </w:rPr>
        <w:t>10.经越城区政府或滨海新区管委会讨论同意减免的项目。</w:t>
      </w:r>
    </w:p>
    <w:p>
      <w:pPr>
        <w:spacing w:line="574" w:lineRule="exact"/>
        <w:ind w:firstLine="643" w:firstLineChars="200"/>
      </w:pPr>
      <w:r>
        <w:rPr>
          <w:rFonts w:hint="eastAsia" w:ascii="楷体_GB2312" w:hAnsi="楷体_GB2312" w:eastAsia="楷体_GB2312" w:cs="楷体_GB2312"/>
          <w:b/>
          <w:bCs/>
          <w:sz w:val="32"/>
          <w:szCs w:val="36"/>
        </w:rPr>
        <w:t>（三）明确适用范围：</w:t>
      </w:r>
      <w:r>
        <w:rPr>
          <w:rFonts w:hint="eastAsia" w:ascii="仿宋_GB2312" w:hAnsi="宋体" w:eastAsia="仿宋_GB2312" w:cs="宋体"/>
          <w:kern w:val="0"/>
          <w:sz w:val="32"/>
          <w:szCs w:val="32"/>
        </w:rPr>
        <w:t>根据征收标准，对越城区、滨海新区范围内所有建设项目，自2022年1月1日至2023年12月31日办理建筑工程施工许可证，并属于减免对象为第一类的按照绍市建设计〔2012〕68号文件规定进行减免，第二至第九类减免对象之一的项目予以免缴城市基础设施配套费。对越城区政府或滨海新区管委会讨论同意减免的项目，按相关会议精神执行。</w:t>
      </w:r>
    </w:p>
    <w:p>
      <w:pPr>
        <w:spacing w:line="57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起草过程</w:t>
      </w:r>
    </w:p>
    <w:p>
      <w:pPr>
        <w:pStyle w:val="9"/>
        <w:spacing w:line="574" w:lineRule="exact"/>
        <w:ind w:firstLine="640" w:firstLineChars="200"/>
        <w:jc w:val="both"/>
        <w:rPr>
          <w:rFonts w:eastAsia="黑体" w:cs="Times New Roman"/>
          <w:b w:val="0"/>
          <w:bCs w:val="0"/>
          <w:sz w:val="32"/>
          <w:szCs w:val="32"/>
        </w:rPr>
      </w:pPr>
      <w:r>
        <w:rPr>
          <w:rFonts w:hint="eastAsia" w:eastAsia="仿宋_GB2312" w:cs="Times New Roman"/>
          <w:b w:val="0"/>
          <w:bCs w:val="0"/>
          <w:kern w:val="2"/>
          <w:sz w:val="32"/>
          <w:szCs w:val="36"/>
        </w:rPr>
        <w:t>根据《浙江省政府办公厅关于进一步深化企业减负担降成本改革的若干意见》（浙政办发〔2021〕37号）和《浙江省人民政府办公厅关于减负强企激发企业发展活力的意见》（浙政办发〔2022〕8号）精神，结合我区实际，形成了《关于对越城区、滨海新区重点建设项目减免城市市政基础设施配套费的实施意见》的征求意见稿。</w:t>
      </w:r>
    </w:p>
    <w:p>
      <w:pPr>
        <w:pStyle w:val="9"/>
        <w:spacing w:line="240" w:lineRule="auto"/>
        <w:ind w:firstLine="640" w:firstLineChars="200"/>
        <w:jc w:val="left"/>
        <w:rPr>
          <w:rFonts w:eastAsia="仿宋_GB2312" w:cs="Times New Roman"/>
          <w:b w:val="0"/>
          <w:bCs w:val="0"/>
          <w:kern w:val="2"/>
          <w:sz w:val="32"/>
          <w:szCs w:val="36"/>
        </w:rPr>
      </w:pPr>
      <w:bookmarkStart w:id="0" w:name="_GoBack"/>
      <w:bookmarkEnd w:id="0"/>
    </w:p>
    <w:p>
      <w:pPr>
        <w:rPr>
          <w:rFonts w:ascii="Times New Roman" w:hAnsi="Times New Roman" w:cs="Times New Roman"/>
        </w:rPr>
      </w:pPr>
    </w:p>
    <w:p>
      <w:pPr>
        <w:pStyle w:val="9"/>
        <w:rPr>
          <w:rFonts w:cs="Times New Roman"/>
        </w:rPr>
      </w:pPr>
    </w:p>
    <w:p>
      <w:pPr>
        <w:pStyle w:val="15"/>
        <w:rPr>
          <w:rFonts w:ascii="Times New Roman" w:hAnsi="Times New Roman" w:eastAsia="仿宋_GB2312" w:cs="Times New Roman"/>
          <w:sz w:val="32"/>
          <w:szCs w:val="32"/>
        </w:rPr>
        <w:sectPr>
          <w:footerReference r:id="rId3" w:type="default"/>
          <w:pgSz w:w="11906" w:h="16838"/>
          <w:pgMar w:top="1111" w:right="1474" w:bottom="850" w:left="1588" w:header="851" w:footer="992" w:gutter="0"/>
          <w:pgNumType w:fmt="numberInDash"/>
          <w:cols w:space="0" w:num="1"/>
          <w:docGrid w:type="lines" w:linePitch="312" w:charSpace="0"/>
        </w:sectPr>
      </w:pPr>
    </w:p>
    <w:p>
      <w:pPr>
        <w:autoSpaceDE w:val="0"/>
        <w:autoSpaceDN w:val="0"/>
        <w:rPr>
          <w:rFonts w:ascii="方正小标宋简体" w:hAnsi="仿宋_GB2312" w:eastAsia="仿宋_GB2312" w:cs="仿宋_GB2312"/>
          <w:sz w:val="13"/>
          <w:szCs w:val="32"/>
          <w:lang w:val="zh-CN" w:bidi="zh-CN"/>
        </w:rPr>
      </w:pPr>
    </w:p>
    <w:p>
      <w:pPr>
        <w:autoSpaceDE w:val="0"/>
        <w:autoSpaceDN w:val="0"/>
        <w:spacing w:line="20" w:lineRule="exact"/>
        <w:ind w:left="128"/>
        <w:rPr>
          <w:rFonts w:ascii="方正小标宋简体" w:hAnsi="仿宋_GB2312" w:eastAsia="仿宋_GB2312" w:cs="仿宋_GB2312"/>
          <w:sz w:val="2"/>
          <w:szCs w:val="32"/>
          <w:lang w:val="zh-CN" w:bidi="zh-CN"/>
        </w:rPr>
      </w:pPr>
    </w:p>
    <w:p>
      <w:pPr>
        <w:autoSpaceDE w:val="0"/>
        <w:autoSpaceDN w:val="0"/>
        <w:spacing w:line="20" w:lineRule="exact"/>
        <w:ind w:left="118"/>
        <w:rPr>
          <w:rFonts w:ascii="仿宋_GB2312" w:hAnsi="仿宋_GB2312" w:eastAsia="仿宋_GB2312" w:cs="仿宋_GB2312"/>
          <w:sz w:val="2"/>
          <w:szCs w:val="32"/>
          <w:lang w:val="zh-CN" w:bidi="zh-CN"/>
        </w:rPr>
      </w:pPr>
    </w:p>
    <w:p>
      <w:pPr>
        <w:pStyle w:val="15"/>
        <w:rPr>
          <w:rFonts w:ascii="Times New Roman" w:hAnsi="Times New Roman" w:eastAsia="仿宋_GB2312" w:cs="Times New Roman"/>
          <w:sz w:val="32"/>
          <w:szCs w:val="32"/>
        </w:rPr>
      </w:pPr>
    </w:p>
    <w:sectPr>
      <w:footerReference r:id="rId4" w:type="default"/>
      <w:type w:val="continuous"/>
      <w:pgSz w:w="11910" w:h="16840"/>
      <w:pgMar w:top="1580" w:right="1200" w:bottom="1860" w:left="146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38" o:spid="_x0000_s103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rPr>
        <w:rFonts w:ascii="仿宋_GB2312" w:hAnsi="仿宋_GB2312" w:eastAsia="仿宋_GB2312" w:cs="仿宋_GB2312"/>
        <w:sz w:val="20"/>
        <w:szCs w:val="32"/>
        <w:lang w:val="zh-CN" w:bidi="zh-CN"/>
      </w:rPr>
    </w:pPr>
    <w:r>
      <w:rPr>
        <w:rFonts w:ascii="仿宋_GB2312" w:hAnsi="仿宋_GB2312" w:eastAsia="仿宋_GB2312" w:cs="仿宋_GB2312"/>
        <w:sz w:val="32"/>
        <w:szCs w:val="32"/>
        <w:lang w:val="zh-CN" w:bidi="zh-CN"/>
      </w:rPr>
      <w:pict>
        <v:shape id="_x0000_s1036" o:spid="_x0000_s1036" o:spt="202" type="#_x0000_t202" style="position:absolute;left:0pt;margin-top:0pt;height:16.05pt;width:37.1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autoSpaceDE w:val="0"/>
                  <w:autoSpaceDN w:val="0"/>
                  <w:spacing w:line="321" w:lineRule="exact"/>
                  <w:ind w:left="20"/>
                  <w:jc w:val="left"/>
                  <w:rPr>
                    <w:rFonts w:ascii="宋体" w:hAnsi="仿宋_GB2312" w:eastAsia="仿宋_GB2312" w:cs="仿宋_GB2312"/>
                    <w:kern w:val="0"/>
                    <w:sz w:val="28"/>
                    <w:lang w:val="zh-CN" w:bidi="zh-CN"/>
                  </w:rPr>
                </w:pPr>
                <w:r>
                  <w:rPr>
                    <w:rFonts w:ascii="宋体" w:hAnsi="仿宋_GB2312" w:eastAsia="仿宋_GB2312" w:cs="仿宋_GB2312"/>
                    <w:kern w:val="0"/>
                    <w:sz w:val="28"/>
                    <w:lang w:val="zh-CN" w:bidi="zh-CN"/>
                  </w:rPr>
                  <w:fldChar w:fldCharType="begin"/>
                </w:r>
                <w:r>
                  <w:rPr>
                    <w:rFonts w:ascii="宋体" w:hAnsi="仿宋_GB2312" w:eastAsia="仿宋_GB2312" w:cs="仿宋_GB2312"/>
                    <w:kern w:val="0"/>
                    <w:sz w:val="28"/>
                    <w:lang w:val="zh-CN" w:bidi="zh-CN"/>
                  </w:rPr>
                  <w:instrText xml:space="preserve"> PAGE  \* MERGEFORMAT </w:instrText>
                </w:r>
                <w:r>
                  <w:rPr>
                    <w:rFonts w:ascii="宋体" w:hAnsi="仿宋_GB2312" w:eastAsia="仿宋_GB2312" w:cs="仿宋_GB2312"/>
                    <w:kern w:val="0"/>
                    <w:sz w:val="28"/>
                    <w:lang w:val="zh-CN" w:bidi="zh-CN"/>
                  </w:rPr>
                  <w:fldChar w:fldCharType="separate"/>
                </w:r>
                <w:r>
                  <w:rPr>
                    <w:rFonts w:ascii="宋体" w:hAnsi="仿宋_GB2312" w:eastAsia="仿宋_GB2312" w:cs="仿宋_GB2312"/>
                    <w:kern w:val="0"/>
                    <w:sz w:val="28"/>
                    <w:lang w:val="zh-CN" w:bidi="zh-CN"/>
                  </w:rPr>
                  <w:t>- 5 -</w:t>
                </w:r>
                <w:r>
                  <w:rPr>
                    <w:rFonts w:ascii="宋体" w:hAnsi="仿宋_GB2312" w:eastAsia="仿宋_GB2312" w:cs="仿宋_GB2312"/>
                    <w:kern w:val="0"/>
                    <w:sz w:val="28"/>
                    <w:lang w:val="zh-CN" w:bidi="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B3F05"/>
    <w:multiLevelType w:val="singleLevel"/>
    <w:tmpl w:val="ABBB3F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1ZjI2NGRjZTQzZGY2NjM4ZWU5YjllYjAwM2VmNzYifQ=="/>
  </w:docVars>
  <w:rsids>
    <w:rsidRoot w:val="00172A27"/>
    <w:rsid w:val="000001D9"/>
    <w:rsid w:val="000173E6"/>
    <w:rsid w:val="00017557"/>
    <w:rsid w:val="000669E7"/>
    <w:rsid w:val="000B185C"/>
    <w:rsid w:val="001149CB"/>
    <w:rsid w:val="00172A27"/>
    <w:rsid w:val="00191F4A"/>
    <w:rsid w:val="001C3BEB"/>
    <w:rsid w:val="001D454A"/>
    <w:rsid w:val="001E1804"/>
    <w:rsid w:val="001E7C73"/>
    <w:rsid w:val="00291ED2"/>
    <w:rsid w:val="002B67A8"/>
    <w:rsid w:val="00325330"/>
    <w:rsid w:val="00373AB7"/>
    <w:rsid w:val="003A7F6C"/>
    <w:rsid w:val="00412893"/>
    <w:rsid w:val="004406CA"/>
    <w:rsid w:val="004561AF"/>
    <w:rsid w:val="004D5225"/>
    <w:rsid w:val="005053D5"/>
    <w:rsid w:val="00593179"/>
    <w:rsid w:val="00597D6D"/>
    <w:rsid w:val="005A331B"/>
    <w:rsid w:val="005C09E7"/>
    <w:rsid w:val="005E7CDA"/>
    <w:rsid w:val="005F6367"/>
    <w:rsid w:val="00620912"/>
    <w:rsid w:val="00625A99"/>
    <w:rsid w:val="006647FD"/>
    <w:rsid w:val="006D62BF"/>
    <w:rsid w:val="007244B5"/>
    <w:rsid w:val="00726931"/>
    <w:rsid w:val="00766A39"/>
    <w:rsid w:val="007755FB"/>
    <w:rsid w:val="00787AD0"/>
    <w:rsid w:val="007C07FA"/>
    <w:rsid w:val="007C3C0A"/>
    <w:rsid w:val="00847B55"/>
    <w:rsid w:val="008E4B3B"/>
    <w:rsid w:val="008F5D24"/>
    <w:rsid w:val="00957378"/>
    <w:rsid w:val="009717F0"/>
    <w:rsid w:val="009935F4"/>
    <w:rsid w:val="009A59B5"/>
    <w:rsid w:val="009B2CBE"/>
    <w:rsid w:val="009B3DC2"/>
    <w:rsid w:val="00A06541"/>
    <w:rsid w:val="00A14E83"/>
    <w:rsid w:val="00A26E47"/>
    <w:rsid w:val="00A2748B"/>
    <w:rsid w:val="00A92C51"/>
    <w:rsid w:val="00AA456E"/>
    <w:rsid w:val="00AF085B"/>
    <w:rsid w:val="00AF31BC"/>
    <w:rsid w:val="00B37C52"/>
    <w:rsid w:val="00B91494"/>
    <w:rsid w:val="00B92849"/>
    <w:rsid w:val="00BA34D1"/>
    <w:rsid w:val="00BB6094"/>
    <w:rsid w:val="00BF4041"/>
    <w:rsid w:val="00C076AD"/>
    <w:rsid w:val="00C152DC"/>
    <w:rsid w:val="00C94CDD"/>
    <w:rsid w:val="00CB0927"/>
    <w:rsid w:val="00CB66E0"/>
    <w:rsid w:val="00CE2A28"/>
    <w:rsid w:val="00CF38D1"/>
    <w:rsid w:val="00D11F82"/>
    <w:rsid w:val="00D62E22"/>
    <w:rsid w:val="00D914A0"/>
    <w:rsid w:val="00DD2066"/>
    <w:rsid w:val="00E31051"/>
    <w:rsid w:val="00E335F1"/>
    <w:rsid w:val="00F06A90"/>
    <w:rsid w:val="00F8286C"/>
    <w:rsid w:val="00FB5894"/>
    <w:rsid w:val="014377C8"/>
    <w:rsid w:val="018E242B"/>
    <w:rsid w:val="01B55E2D"/>
    <w:rsid w:val="02A55ADA"/>
    <w:rsid w:val="02B96311"/>
    <w:rsid w:val="02FA4CE6"/>
    <w:rsid w:val="03011590"/>
    <w:rsid w:val="03232D3C"/>
    <w:rsid w:val="03C44B92"/>
    <w:rsid w:val="04332A0F"/>
    <w:rsid w:val="05C356D0"/>
    <w:rsid w:val="05D842E7"/>
    <w:rsid w:val="05E67330"/>
    <w:rsid w:val="05EA6CD5"/>
    <w:rsid w:val="06225823"/>
    <w:rsid w:val="065D0093"/>
    <w:rsid w:val="07263237"/>
    <w:rsid w:val="0B221134"/>
    <w:rsid w:val="0BB75E4C"/>
    <w:rsid w:val="0C2B7BF8"/>
    <w:rsid w:val="0C604F74"/>
    <w:rsid w:val="0C7A76A9"/>
    <w:rsid w:val="0C8A4C3C"/>
    <w:rsid w:val="0C9074FC"/>
    <w:rsid w:val="0C9A1A35"/>
    <w:rsid w:val="0D676CDF"/>
    <w:rsid w:val="0E3943A1"/>
    <w:rsid w:val="0E483013"/>
    <w:rsid w:val="0E55689B"/>
    <w:rsid w:val="0E904EA9"/>
    <w:rsid w:val="0EC90D91"/>
    <w:rsid w:val="0F7F61BD"/>
    <w:rsid w:val="0F881B96"/>
    <w:rsid w:val="11426628"/>
    <w:rsid w:val="12336AE2"/>
    <w:rsid w:val="12CA7C9F"/>
    <w:rsid w:val="130E64CC"/>
    <w:rsid w:val="140E345C"/>
    <w:rsid w:val="1424407A"/>
    <w:rsid w:val="1443729A"/>
    <w:rsid w:val="15081932"/>
    <w:rsid w:val="15C65C80"/>
    <w:rsid w:val="170F670A"/>
    <w:rsid w:val="175E48CC"/>
    <w:rsid w:val="17686547"/>
    <w:rsid w:val="179F31CF"/>
    <w:rsid w:val="17B0674B"/>
    <w:rsid w:val="182A1F5A"/>
    <w:rsid w:val="183B6592"/>
    <w:rsid w:val="18A327BE"/>
    <w:rsid w:val="199A0781"/>
    <w:rsid w:val="1A1E28A6"/>
    <w:rsid w:val="1A290DBD"/>
    <w:rsid w:val="1BC615B6"/>
    <w:rsid w:val="1D7847C9"/>
    <w:rsid w:val="1DA14652"/>
    <w:rsid w:val="1DC54CF1"/>
    <w:rsid w:val="1E03002B"/>
    <w:rsid w:val="1E952ABF"/>
    <w:rsid w:val="1FA62F74"/>
    <w:rsid w:val="1FF71E08"/>
    <w:rsid w:val="20140AAE"/>
    <w:rsid w:val="20164DC3"/>
    <w:rsid w:val="203A445B"/>
    <w:rsid w:val="204E2DFB"/>
    <w:rsid w:val="206B78F8"/>
    <w:rsid w:val="20EB55AD"/>
    <w:rsid w:val="217A19FF"/>
    <w:rsid w:val="22651317"/>
    <w:rsid w:val="22962CF3"/>
    <w:rsid w:val="22D52063"/>
    <w:rsid w:val="22F236EA"/>
    <w:rsid w:val="232F0AD3"/>
    <w:rsid w:val="23B8231A"/>
    <w:rsid w:val="23CC6786"/>
    <w:rsid w:val="23E45284"/>
    <w:rsid w:val="23ED2D4D"/>
    <w:rsid w:val="23F50940"/>
    <w:rsid w:val="25800A75"/>
    <w:rsid w:val="259E7A31"/>
    <w:rsid w:val="26CB4382"/>
    <w:rsid w:val="26FD2549"/>
    <w:rsid w:val="270119FF"/>
    <w:rsid w:val="27C32806"/>
    <w:rsid w:val="27FB670F"/>
    <w:rsid w:val="28F77216"/>
    <w:rsid w:val="297719DD"/>
    <w:rsid w:val="29840FEE"/>
    <w:rsid w:val="29A7775A"/>
    <w:rsid w:val="2A60459B"/>
    <w:rsid w:val="2B3842B1"/>
    <w:rsid w:val="2B866E43"/>
    <w:rsid w:val="2C355C6B"/>
    <w:rsid w:val="2C546F10"/>
    <w:rsid w:val="2C78729E"/>
    <w:rsid w:val="2CA10937"/>
    <w:rsid w:val="2D3E0EC1"/>
    <w:rsid w:val="2DB56A35"/>
    <w:rsid w:val="2EC40436"/>
    <w:rsid w:val="2EE160D8"/>
    <w:rsid w:val="2F60738E"/>
    <w:rsid w:val="2F9D7924"/>
    <w:rsid w:val="2FB86B64"/>
    <w:rsid w:val="2FC64F85"/>
    <w:rsid w:val="30E9436F"/>
    <w:rsid w:val="32945046"/>
    <w:rsid w:val="32C20B2E"/>
    <w:rsid w:val="33096BDB"/>
    <w:rsid w:val="338C0ECE"/>
    <w:rsid w:val="339E260F"/>
    <w:rsid w:val="33F95E17"/>
    <w:rsid w:val="345D3994"/>
    <w:rsid w:val="34BC5CE4"/>
    <w:rsid w:val="35AB392C"/>
    <w:rsid w:val="35C4173A"/>
    <w:rsid w:val="35DB3A32"/>
    <w:rsid w:val="35E06A57"/>
    <w:rsid w:val="3620781E"/>
    <w:rsid w:val="36306C4A"/>
    <w:rsid w:val="365105AB"/>
    <w:rsid w:val="36796F5A"/>
    <w:rsid w:val="367D78B8"/>
    <w:rsid w:val="377675E1"/>
    <w:rsid w:val="37F44CBA"/>
    <w:rsid w:val="381B3EBE"/>
    <w:rsid w:val="38255059"/>
    <w:rsid w:val="383E7A27"/>
    <w:rsid w:val="38481619"/>
    <w:rsid w:val="38722E3A"/>
    <w:rsid w:val="38C54125"/>
    <w:rsid w:val="38F40329"/>
    <w:rsid w:val="3998126C"/>
    <w:rsid w:val="39A47A1E"/>
    <w:rsid w:val="3A610FE0"/>
    <w:rsid w:val="3B6D0862"/>
    <w:rsid w:val="3BC92328"/>
    <w:rsid w:val="3C9E5B77"/>
    <w:rsid w:val="3CCB12F5"/>
    <w:rsid w:val="3DA9718B"/>
    <w:rsid w:val="3E9B2725"/>
    <w:rsid w:val="3F1D7512"/>
    <w:rsid w:val="3F943113"/>
    <w:rsid w:val="401B07BA"/>
    <w:rsid w:val="407630A1"/>
    <w:rsid w:val="408063BA"/>
    <w:rsid w:val="41072184"/>
    <w:rsid w:val="42124CA0"/>
    <w:rsid w:val="42461C18"/>
    <w:rsid w:val="42933FA2"/>
    <w:rsid w:val="429C31CB"/>
    <w:rsid w:val="43155FB1"/>
    <w:rsid w:val="4457729B"/>
    <w:rsid w:val="457A1448"/>
    <w:rsid w:val="45905FBC"/>
    <w:rsid w:val="45BF3E6F"/>
    <w:rsid w:val="45E174E2"/>
    <w:rsid w:val="45F37FFE"/>
    <w:rsid w:val="46B2005C"/>
    <w:rsid w:val="46C10070"/>
    <w:rsid w:val="474167BA"/>
    <w:rsid w:val="477F0838"/>
    <w:rsid w:val="47A2754D"/>
    <w:rsid w:val="47EB5A45"/>
    <w:rsid w:val="48E53054"/>
    <w:rsid w:val="4987646D"/>
    <w:rsid w:val="49FF6C37"/>
    <w:rsid w:val="4A530D69"/>
    <w:rsid w:val="4A8E1FD5"/>
    <w:rsid w:val="4B380E12"/>
    <w:rsid w:val="4BA24030"/>
    <w:rsid w:val="4BCA2261"/>
    <w:rsid w:val="4C7B7C91"/>
    <w:rsid w:val="4D2F565E"/>
    <w:rsid w:val="4D9B3D41"/>
    <w:rsid w:val="4E174540"/>
    <w:rsid w:val="4E1F1106"/>
    <w:rsid w:val="4E924146"/>
    <w:rsid w:val="4EA904E0"/>
    <w:rsid w:val="4ED83E73"/>
    <w:rsid w:val="4EFA5E1C"/>
    <w:rsid w:val="4F1D7D11"/>
    <w:rsid w:val="507440D0"/>
    <w:rsid w:val="507A0D09"/>
    <w:rsid w:val="509B794B"/>
    <w:rsid w:val="50B65C1D"/>
    <w:rsid w:val="518404D6"/>
    <w:rsid w:val="51BC21B4"/>
    <w:rsid w:val="52492001"/>
    <w:rsid w:val="52726114"/>
    <w:rsid w:val="53375510"/>
    <w:rsid w:val="534A3312"/>
    <w:rsid w:val="53976596"/>
    <w:rsid w:val="53EC4214"/>
    <w:rsid w:val="540B4034"/>
    <w:rsid w:val="54592081"/>
    <w:rsid w:val="54D70C7B"/>
    <w:rsid w:val="553C2429"/>
    <w:rsid w:val="564D093A"/>
    <w:rsid w:val="56E80521"/>
    <w:rsid w:val="57024EAD"/>
    <w:rsid w:val="57335C44"/>
    <w:rsid w:val="578D4669"/>
    <w:rsid w:val="579B20EB"/>
    <w:rsid w:val="57FD538C"/>
    <w:rsid w:val="58326E44"/>
    <w:rsid w:val="58842C90"/>
    <w:rsid w:val="58C53268"/>
    <w:rsid w:val="595A78DA"/>
    <w:rsid w:val="59B72062"/>
    <w:rsid w:val="5A0A6C9B"/>
    <w:rsid w:val="5A492385"/>
    <w:rsid w:val="5A884FC7"/>
    <w:rsid w:val="5AA5306D"/>
    <w:rsid w:val="5AFA0EF4"/>
    <w:rsid w:val="5C1A205B"/>
    <w:rsid w:val="5CB84210"/>
    <w:rsid w:val="5CD41F71"/>
    <w:rsid w:val="5D070678"/>
    <w:rsid w:val="5D2774A9"/>
    <w:rsid w:val="5D9101C8"/>
    <w:rsid w:val="5DBB1827"/>
    <w:rsid w:val="5DE138B3"/>
    <w:rsid w:val="5E864D7A"/>
    <w:rsid w:val="5EF4026E"/>
    <w:rsid w:val="5EF9D1EB"/>
    <w:rsid w:val="5EFB284C"/>
    <w:rsid w:val="5F314AF9"/>
    <w:rsid w:val="61546AE3"/>
    <w:rsid w:val="61601C45"/>
    <w:rsid w:val="61CA6F3C"/>
    <w:rsid w:val="61F1776C"/>
    <w:rsid w:val="620F2F46"/>
    <w:rsid w:val="62295426"/>
    <w:rsid w:val="626310E5"/>
    <w:rsid w:val="626C4E1D"/>
    <w:rsid w:val="628650BB"/>
    <w:rsid w:val="629C1C70"/>
    <w:rsid w:val="63296265"/>
    <w:rsid w:val="638566BA"/>
    <w:rsid w:val="63894B0E"/>
    <w:rsid w:val="64637D04"/>
    <w:rsid w:val="64F13F16"/>
    <w:rsid w:val="6678510B"/>
    <w:rsid w:val="66914783"/>
    <w:rsid w:val="66A465D0"/>
    <w:rsid w:val="6876232C"/>
    <w:rsid w:val="692178E6"/>
    <w:rsid w:val="6A031FF5"/>
    <w:rsid w:val="6A4F47F9"/>
    <w:rsid w:val="6A8865EC"/>
    <w:rsid w:val="6B186314"/>
    <w:rsid w:val="6C041E6B"/>
    <w:rsid w:val="6CD352E2"/>
    <w:rsid w:val="6D0D13AB"/>
    <w:rsid w:val="6D113D3B"/>
    <w:rsid w:val="6DAC7CFE"/>
    <w:rsid w:val="6E000BCB"/>
    <w:rsid w:val="6E1E36BE"/>
    <w:rsid w:val="700E234F"/>
    <w:rsid w:val="70A05265"/>
    <w:rsid w:val="70B20EDD"/>
    <w:rsid w:val="71894CF6"/>
    <w:rsid w:val="71BF5F6A"/>
    <w:rsid w:val="71D00E0F"/>
    <w:rsid w:val="71EA3392"/>
    <w:rsid w:val="72462A0D"/>
    <w:rsid w:val="72576F49"/>
    <w:rsid w:val="72BF5727"/>
    <w:rsid w:val="733E3EFD"/>
    <w:rsid w:val="73551FE2"/>
    <w:rsid w:val="73AB0163"/>
    <w:rsid w:val="74AE17D6"/>
    <w:rsid w:val="74FA608C"/>
    <w:rsid w:val="75025134"/>
    <w:rsid w:val="75587E1A"/>
    <w:rsid w:val="755D4490"/>
    <w:rsid w:val="768618B7"/>
    <w:rsid w:val="76970D82"/>
    <w:rsid w:val="77FB2BA9"/>
    <w:rsid w:val="7889403D"/>
    <w:rsid w:val="78EF68D6"/>
    <w:rsid w:val="796229B2"/>
    <w:rsid w:val="797147C0"/>
    <w:rsid w:val="79CA6588"/>
    <w:rsid w:val="79DE3BD3"/>
    <w:rsid w:val="7A4F55D5"/>
    <w:rsid w:val="7AA90079"/>
    <w:rsid w:val="7ACD60EA"/>
    <w:rsid w:val="7C294B39"/>
    <w:rsid w:val="7C805037"/>
    <w:rsid w:val="7CB94AF1"/>
    <w:rsid w:val="7CD74A2A"/>
    <w:rsid w:val="7E287CFE"/>
    <w:rsid w:val="7E65126F"/>
    <w:rsid w:val="7E993083"/>
    <w:rsid w:val="7EFF73AC"/>
    <w:rsid w:val="7F4069F5"/>
    <w:rsid w:val="7FB614DB"/>
    <w:rsid w:val="7FED2A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outlineLvl w:val="0"/>
    </w:pPr>
    <w:rPr>
      <w:rFonts w:ascii="黑体" w:hAnsi="黑体" w:eastAsia="黑体"/>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eastAsia="宋体"/>
      <w:b/>
      <w:bCs/>
      <w:kern w:val="0"/>
      <w:sz w:val="4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able of figures"/>
    <w:basedOn w:val="1"/>
    <w:next w:val="1"/>
    <w:qFormat/>
    <w:uiPriority w:val="99"/>
    <w:pPr>
      <w:spacing w:before="100" w:beforeAutospacing="1" w:after="100" w:afterAutospacing="1"/>
      <w:ind w:left="200" w:leftChars="200" w:hanging="200" w:hangingChars="200"/>
    </w:pPr>
  </w:style>
  <w:style w:type="paragraph" w:styleId="7">
    <w:name w:val="Body Text 2"/>
    <w:basedOn w:val="1"/>
    <w:qFormat/>
    <w:uiPriority w:val="0"/>
    <w:pPr>
      <w:spacing w:line="360" w:lineRule="auto"/>
      <w:jc w:val="center"/>
    </w:pPr>
    <w:rPr>
      <w:rFonts w:ascii="宋体"/>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qFormat/>
    <w:uiPriority w:val="0"/>
    <w:pPr>
      <w:spacing w:line="312" w:lineRule="auto"/>
      <w:ind w:firstLine="420"/>
    </w:pPr>
    <w:rPr>
      <w:sz w:val="24"/>
      <w:szCs w:val="24"/>
    </w:rPr>
  </w:style>
  <w:style w:type="character" w:styleId="12">
    <w:name w:val="page number"/>
    <w:basedOn w:val="11"/>
    <w:qFormat/>
    <w:uiPriority w:val="0"/>
  </w:style>
  <w:style w:type="paragraph" w:customStyle="1" w:styleId="13">
    <w:name w:val="列出段落1"/>
    <w:basedOn w:val="1"/>
    <w:qFormat/>
    <w:uiPriority w:val="34"/>
    <w:pPr>
      <w:ind w:firstLine="420" w:firstLineChars="200"/>
    </w:pPr>
  </w:style>
  <w:style w:type="paragraph" w:customStyle="1" w:styleId="14">
    <w:name w:val="列出段落2"/>
    <w:basedOn w:val="1"/>
    <w:unhideWhenUsed/>
    <w:qFormat/>
    <w:uiPriority w:val="99"/>
    <w:pPr>
      <w:ind w:firstLine="420" w:firstLineChars="200"/>
    </w:pPr>
  </w:style>
  <w:style w:type="paragraph" w:customStyle="1" w:styleId="15">
    <w:name w:val="纯文本1"/>
    <w:basedOn w:val="1"/>
    <w:qFormat/>
    <w:uiPriority w:val="0"/>
    <w:rPr>
      <w:rFonts w:ascii="宋体" w:hAnsi="Courier New" w:cs="Courier New"/>
      <w:szCs w:val="21"/>
    </w:rPr>
  </w:style>
  <w:style w:type="paragraph" w:customStyle="1" w:styleId="16">
    <w:name w:val="Heading 1"/>
    <w:basedOn w:val="1"/>
    <w:qFormat/>
    <w:uiPriority w:val="1"/>
    <w:pPr>
      <w:ind w:left="589"/>
      <w:outlineLvl w:val="1"/>
    </w:pPr>
    <w:rPr>
      <w:rFonts w:ascii="方正小标宋简体" w:hAnsi="方正小标宋简体" w:eastAsia="方正小标宋简体" w:cs="方正小标宋简体"/>
      <w:sz w:val="44"/>
      <w:szCs w:val="44"/>
    </w:rPr>
  </w:style>
  <w:style w:type="paragraph" w:styleId="17">
    <w:name w:val="List Paragraph"/>
    <w:basedOn w:val="1"/>
    <w:qFormat/>
    <w:uiPriority w:val="1"/>
    <w:pPr>
      <w:spacing w:before="163"/>
      <w:ind w:left="1248" w:hanging="481"/>
    </w:pPr>
  </w:style>
  <w:style w:type="paragraph" w:customStyle="1" w:styleId="18">
    <w:name w:val="Table Paragraph"/>
    <w:basedOn w:val="1"/>
    <w:qFormat/>
    <w:uiPriority w:val="1"/>
    <w:rPr>
      <w:rFonts w:ascii="宋体" w:hAnsi="宋体" w:eastAsia="宋体" w:cs="宋体"/>
    </w:rPr>
  </w:style>
  <w:style w:type="table" w:customStyle="1" w:styleId="1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Pages>
  <Words>457</Words>
  <Characters>2605</Characters>
  <Lines>21</Lines>
  <Paragraphs>6</Paragraphs>
  <TotalTime>56</TotalTime>
  <ScaleCrop>false</ScaleCrop>
  <LinksUpToDate>false</LinksUpToDate>
  <CharactersWithSpaces>3056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2022-06-15T08:36:00Z</dcterms:created>
  <dc:creator>Administrator</dc:creator>
  <cp:lastModifiedBy>Administrator</cp:lastModifiedBy>
  <cp:lastPrinted>2024-03-06T15:59:00Z</cp:lastPrinted>
  <dcterms:modified xsi:type="dcterms:W3CDTF">2024-07-25T03:41:49Z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9377F59D276749908086272E9F67B75D</vt:lpwstr>
  </property>
</Properties>
</file>