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w w:val="90"/>
          <w:sz w:val="72"/>
          <w:szCs w:val="7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w w:val="90"/>
          <w:kern w:val="0"/>
          <w:sz w:val="72"/>
          <w:szCs w:val="72"/>
        </w:rPr>
        <w:t>绍兴市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w w:val="90"/>
          <w:kern w:val="0"/>
          <w:sz w:val="72"/>
          <w:szCs w:val="72"/>
          <w:lang w:eastAsia="zh-CN"/>
        </w:rPr>
        <w:t>越城区富盛镇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w w:val="90"/>
          <w:kern w:val="0"/>
          <w:sz w:val="72"/>
          <w:szCs w:val="72"/>
        </w:rPr>
        <w:t>人民政府</w:t>
      </w:r>
    </w:p>
    <w:p>
      <w:pPr>
        <w:spacing w:line="0" w:lineRule="atLeas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29210</wp:posOffset>
                </wp:positionV>
                <wp:extent cx="6149340" cy="57785"/>
                <wp:effectExtent l="0" t="13970" r="3810" b="2349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9340" cy="57785"/>
                          <a:chOff x="0" y="0"/>
                          <a:chExt cx="9684" cy="91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0" y="0"/>
                            <a:ext cx="9684" cy="1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0" y="90"/>
                            <a:ext cx="9684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.3pt;margin-top:2.3pt;height:4.55pt;width:484.2pt;z-index:251659264;mso-width-relative:page;mso-height-relative:page;" coordsize="9684,91" o:gfxdata="UEsFBgAAAAAAAAAAAAAAAAAAAAAAAFBLAwQKAAAAAACHTuJAAAAAAAAAAAAAAAAABAAAAGRycy9Q&#10;SwMEFAAAAAgAh07iQG0YMkzZAAAACAEAAA8AAABkcnMvZG93bnJldi54bWxNj09Lw0AQxe+C32EZ&#10;wVu7SfpHjdkUKeqpFGwF8TZNpklodjZkt0n77R1Pehoe78eb97LVxbZqoN43jg3E0wgUceHKhisD&#10;n/u3ySMoH5BLbB2TgSt5WOW3NxmmpRv5g4ZdqJSEsE/RQB1Cl2rti5os+qnriMU7ut5iENlXuuxx&#10;lHDb6iSKltpiw/Khxo7WNRWn3dkaeB9xfJnFr8PmdFxfv/eL7dcmJmPu7+LoGVSgS/iD4be+VIdc&#10;Oh3cmUuvWgOTebIU1MBcjvhPyUKmHAScPYDOM/1/QP4DUEsDBBQAAAAIAIdO4kDXj7LKegIAAA0H&#10;AAAOAAAAZHJzL2Uyb0RvYy54bWzllTuPEzEQgHsk/oPlnmzej1U2V1wuaRCcdPADHK9315Jfsp1s&#10;0lNQIXokOqgo6Sj4NXD8DMa7m4TLCSk8REMKx4+Z8cw349npxVYKtGHWca0S3Gm1MWKK6pSrPMHP&#10;ny0ejTFynqiUCK1YgnfM4YvZwwfT0sSsqwstUmYRGFEuLk2CC+9NHEWOFkwS19KGKTjMtJXEw9Lm&#10;UWpJCdaliLrt9jAqtU2N1ZQ5B7vz+hA3Fu05BnWWccrmmq4lU762apkgHkJyBTcOzypvs4xR/zTL&#10;HPNIJBgi9dUIl8B8FcZoNiVxbokpOG1cIOe4cBKTJFzBpQdTc+IJWlt+z5Tk1GqnM9+iWkZ1IBUR&#10;iKLTPmGztHptqljyuMzNATok6oT6b5ulTzbXFvE0wT2MFJGQ8NtPL768fol6gU1p8hhEltbcmGvb&#10;bOT1KoS7zawM/xAI2lZUdweqbOsRhc1hpz/p9QE4hbPBaDQe1NRpAam5p0WLq0ZvMhz3a6VJJ2hE&#10;++ui4NXBidJAHbojHPdncG4KYljF3IXIGzidA5w3H7++evft81sYbz+8R5VnwQWQvVQNIhc7oHUu&#10;n2Ocd8MksbHOL5mWKEwSLLgKnpGYbB47XxPZi4RtoVCZ4O54MBoANwJvM4M3AVNpIL9O5ZWy04Kn&#10;Cy5EUHE2X10KizYE3sdi0YZfg/qOWLhlTlxRy1VHdQ4LRtIrlSK/M1A5ChoGDj5IlmIkGPSXMANP&#10;SewJF+dIQpaFgmQHpjXFMFvpdAepWBvL8wJQ1KSa1Icy/Qc10P1ZDXRDhMGFX6iBSdN69o/kLxfB&#10;ZND932qg6grQJatG0XT00IZ/XFd1dfyKzb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FgAAAGRycy9QSwECFAAUAAAACACHTuJAbRgyTNkA&#10;AAAIAQAADwAAAAAAAAABACAAAAA4AAAAZHJzL2Rvd25yZXYueG1sUEsBAhQAFAAAAAgAh07iQNeP&#10;ssp6AgAADQcAAA4AAAAAAAAAAQAgAAAAPgEAAGRycy9lMm9Eb2MueG1sUEsFBgAAAAAGAAYAWQEA&#10;ACoGAAAAAA==&#10;">
                <o:lock v:ext="edit" aspectratio="f"/>
                <v:line id="_x0000_s1026" o:spid="_x0000_s1026" o:spt="20" style="position:absolute;left:0;top:0;height:1;width:9684;" filled="f" stroked="t" coordsize="21600,21600" o:gfxdata="UEsFBgAAAAAAAAAAAAAAAAAAAAAAAFBLAwQKAAAAAACHTuJAAAAAAAAAAAAAAAAABAAAAGRycy9Q&#10;SwMEFAAAAAgAh07iQF5/Nbu5AAAA2gAAAA8AAABkcnMvZG93bnJldi54bWxFT0uLwjAQvi/4H8II&#10;3tZUDyK1UVRc2MOC2PVxHZqxKTaT0mRr/fdGEPY0fHzPyVa9rUVHra8cK5iMExDEhdMVlwqOv1+f&#10;cxA+IGusHZOCB3lYLQcfGaba3flAXR5KEUPYp6jAhNCkUvrCkEU/dg1x5K6utRgibEupW7zHcFvL&#10;aZLMpMWKY4PBhraGilv+ZxX05/naXH7CZudOe3PrL7ntpg+lRsNJsgARqA//4rf7W8f58HrldeXy&#10;C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efzW7uQAAANoAAAAPAAAAAAAAAAEAIAAAADgAAABkcnMvZG93bnJldi54bWxQ&#10;SwECFAAUAAAACACHTuJAMy8FnjsAAAA5AAAAEAAAAAAAAAABACAAAAAeAQAAZHJzL3NoYXBleG1s&#10;LnhtbFBLBQYAAAAABgAGAFsBAADIAwAA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_x0000_s1026" o:spid="_x0000_s1026" o:spt="20" style="position:absolute;left:0;top:90;height:1;width:9684;" filled="f" stroked="t" coordsize="21600,21600" o:gfxdata="UEsFBgAAAAAAAAAAAAAAAAAAAAAAAFBLAwQKAAAAAACHTuJAAAAAAAAAAAAAAAAABAAAAGRycy9Q&#10;SwMEFAAAAAgAh07iQM/NlPO8AAAA2gAAAA8AAABkcnMvZG93bnJldi54bWxFj0FrwkAUhO8F/8Py&#10;hN7qbjyEkrqKiIXSnmpF6O2RfSYx2bcx+xrtv+8KQo/DzHzDLFZX36mRhtgEtpDNDCjiMriGKwv7&#10;r9enZ1BRkB12gcnCL0VYLScPCyxcuPAnjTupVIJwLNBCLdIXWseyJo9xFnri5B3D4FGSHCrtBrwk&#10;uO/03Jhce2w4LdTY06amst39eAuSn+Tg8vN7m+3bw7f5MKNZb619nGbmBZTQVf7D9/abszCH25V0&#10;A/Ty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PzZTzvAAAANoAAAAPAAAAAAAAAAEAIAAAADgAAABkcnMvZG93bnJldi54&#10;bWxQSwECFAAUAAAACACHTuJAMy8FnjsAAAA5AAAAEAAAAAAAAAABACAAAAAhAQAAZHJzL3NoYXBl&#10;eG1sLnhtbFBLBQYAAAAABgAGAFsBAADLAwAAAAA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autoSpaceDE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hAnsi="Times New Roman" w:eastAsia="方正小标宋简体" w:cs="方正小标宋简体"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36"/>
          <w:highlight w:val="none"/>
          <w:lang w:eastAsia="zh-CN"/>
        </w:rPr>
        <w:t>富盛镇人民政府</w:t>
      </w:r>
      <w:r>
        <w:rPr>
          <w:rFonts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</w:rPr>
        <w:t>关于</w:t>
      </w: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val="en-US" w:eastAsia="zh-CN"/>
        </w:rPr>
        <w:t>印发《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富盛镇新兴农村市场主体扶持奖励办法</w:t>
      </w: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val="en-US" w:eastAsia="zh-CN"/>
        </w:rPr>
        <w:t>》</w:t>
      </w:r>
      <w:r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highlight w:val="none"/>
          <w:lang w:val="en-US" w:eastAsia="zh-CN"/>
        </w:rPr>
        <w:t xml:space="preserve">的通知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autoSpaceDE/>
        <w:bidi w:val="0"/>
        <w:adjustRightInd/>
        <w:snapToGrid/>
        <w:spacing w:line="574" w:lineRule="exact"/>
        <w:jc w:val="left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autoSpaceDE/>
        <w:bidi w:val="0"/>
        <w:adjustRightInd/>
        <w:snapToGrid/>
        <w:spacing w:line="574" w:lineRule="exact"/>
        <w:jc w:val="left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各办（队、所），各村（社区）：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autoSpaceDE/>
        <w:bidi w:val="0"/>
        <w:adjustRightInd/>
        <w:snapToGrid/>
        <w:spacing w:line="574" w:lineRule="exact"/>
        <w:ind w:firstLine="640"/>
        <w:jc w:val="left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《富盛镇新兴农村市场主体扶持奖励办法》已经镇农业农村办、党政办研究同意，现印发给你们，请认真贯彻执行。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autoSpaceDE/>
        <w:bidi w:val="0"/>
        <w:adjustRightInd/>
        <w:snapToGrid/>
        <w:spacing w:line="574" w:lineRule="exact"/>
        <w:ind w:firstLine="640"/>
        <w:jc w:val="left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autoSpaceDE/>
        <w:bidi w:val="0"/>
        <w:adjustRightInd/>
        <w:snapToGrid/>
        <w:spacing w:line="574" w:lineRule="exact"/>
        <w:ind w:firstLine="640"/>
        <w:jc w:val="left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autoSpaceDE/>
        <w:bidi w:val="0"/>
        <w:adjustRightInd/>
        <w:snapToGrid/>
        <w:spacing w:line="574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富盛镇人民政府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autoSpaceDE/>
        <w:bidi w:val="0"/>
        <w:adjustRightInd/>
        <w:snapToGrid/>
        <w:spacing w:line="574" w:lineRule="exact"/>
        <w:jc w:val="right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4" w:lineRule="exact"/>
        <w:ind w:firstLine="440" w:firstLineChars="1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</w:p>
    <w:p>
      <w:pPr>
        <w:pStyle w:val="2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</w:p>
    <w:p>
      <w:pPr>
        <w:pStyle w:val="4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</w:p>
    <w:p>
      <w:pPr>
        <w:pStyle w:val="5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</w:p>
    <w:p>
      <w:pPr>
        <w:pStyle w:val="4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</w:p>
    <w:p>
      <w:pPr>
        <w:pStyle w:val="5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</w:p>
    <w:p>
      <w:pPr>
        <w:pStyle w:val="4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4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4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4" w:lineRule="exact"/>
        <w:jc w:val="center"/>
        <w:textAlignment w:val="auto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富盛镇新兴农村市场主体扶持奖励办法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为进一步加大扶持力度，鼓励发展农村新业态、新主体，促进产业兴旺，加快农民增收，加快休闲旅游类产业发展，推动农村新型业态发展集聚化、规范化和品牌化，推动落实乡村振兴战略，结合我镇实际，特制定以下扶持奖励办法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一、鼓励激活闲置农房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鼓励发展精品民宿经济。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鼓励民宿从业者按照浙江省《民宿基本要求与评价》要求，提高建设管理档次和卫生消防安全标准。对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新评定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为市级精品民宿、省级银宿级民宿、金宿级民宿、白金级民宿，在上级补助的基础上，分别一次性奖励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万元、20万元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32"/>
          <w:sz w:val="32"/>
          <w:szCs w:val="32"/>
          <w:highlight w:val="none"/>
          <w:lang w:val="zh-CN" w:eastAsia="zh-CN"/>
        </w:rPr>
        <w:t>对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32"/>
          <w:sz w:val="32"/>
          <w:szCs w:val="32"/>
          <w:highlight w:val="none"/>
          <w:lang w:val="en-US" w:eastAsia="zh-CN"/>
        </w:rPr>
        <w:t>评定为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省级银宿级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及以上级别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民宿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且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32"/>
          <w:sz w:val="32"/>
          <w:szCs w:val="32"/>
          <w:highlight w:val="none"/>
          <w:lang w:val="en-US" w:eastAsia="zh-CN"/>
        </w:rPr>
        <w:t>实际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32"/>
          <w:sz w:val="32"/>
          <w:szCs w:val="32"/>
          <w:highlight w:val="none"/>
          <w:lang w:val="zh-CN" w:eastAsia="zh-CN"/>
        </w:rPr>
        <w:t>投资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32"/>
          <w:sz w:val="32"/>
          <w:szCs w:val="32"/>
          <w:highlight w:val="none"/>
          <w:lang w:val="en-US" w:eastAsia="zh-CN"/>
        </w:rPr>
        <w:t>额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32"/>
          <w:sz w:val="32"/>
          <w:szCs w:val="32"/>
          <w:highlight w:val="none"/>
          <w:lang w:val="zh-CN" w:eastAsia="zh-CN"/>
        </w:rPr>
        <w:t>超100万元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32"/>
          <w:sz w:val="32"/>
          <w:szCs w:val="32"/>
          <w:highlight w:val="none"/>
          <w:lang w:val="en-US" w:eastAsia="zh-CN"/>
        </w:rPr>
        <w:t>以上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32"/>
          <w:sz w:val="32"/>
          <w:szCs w:val="32"/>
          <w:highlight w:val="none"/>
          <w:lang w:val="zh-CN" w:eastAsia="zh-CN"/>
        </w:rPr>
        <w:t>的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32"/>
          <w:sz w:val="32"/>
          <w:szCs w:val="32"/>
          <w:highlight w:val="none"/>
          <w:lang w:val="en-US" w:eastAsia="zh-CN"/>
        </w:rPr>
        <w:t>民宿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32"/>
          <w:sz w:val="32"/>
          <w:szCs w:val="32"/>
          <w:highlight w:val="none"/>
          <w:lang w:val="zh-CN" w:eastAsia="zh-CN"/>
        </w:rPr>
        <w:t>项目，按照实际投资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32"/>
          <w:sz w:val="32"/>
          <w:szCs w:val="32"/>
          <w:highlight w:val="none"/>
          <w:lang w:val="en-US" w:eastAsia="zh-CN"/>
        </w:rPr>
        <w:t>额的30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32"/>
          <w:sz w:val="32"/>
          <w:szCs w:val="32"/>
          <w:highlight w:val="none"/>
          <w:lang w:val="zh-CN" w:eastAsia="zh-CN"/>
        </w:rPr>
        <w:t>%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32"/>
          <w:sz w:val="32"/>
          <w:szCs w:val="32"/>
          <w:highlight w:val="none"/>
          <w:lang w:val="en-US" w:eastAsia="zh-CN"/>
        </w:rPr>
        <w:t>予以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32"/>
          <w:sz w:val="32"/>
          <w:szCs w:val="32"/>
          <w:highlight w:val="none"/>
          <w:lang w:val="zh-CN" w:eastAsia="zh-CN"/>
        </w:rPr>
        <w:t>奖补，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32"/>
          <w:sz w:val="32"/>
          <w:szCs w:val="32"/>
          <w:highlight w:val="none"/>
          <w:lang w:val="en-US" w:eastAsia="zh-CN"/>
        </w:rPr>
        <w:t>对单个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32"/>
          <w:sz w:val="32"/>
          <w:szCs w:val="32"/>
          <w:highlight w:val="none"/>
          <w:lang w:val="en-US" w:eastAsia="zh-CN"/>
        </w:rPr>
        <w:t>从业者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32"/>
          <w:sz w:val="32"/>
          <w:szCs w:val="32"/>
          <w:highlight w:val="none"/>
          <w:lang w:val="zh-CN" w:eastAsia="zh-CN"/>
        </w:rPr>
        <w:t>最高补助不超过50万元。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鼓励新开办农家乐。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新办理营业执照和其他相关许可手续的新开办农家乐，在当年度有实际经营业绩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产生税收收入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且事实营业半年以上情况下，满足经营场地建筑面积不少于200平方米且就餐席位不少于50人的条件，且未享受过富盛镇新开办农家乐激励政策的，按建筑面积100元/平方米对农家乐经营户进行奖励。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鼓励发展农村新型业态。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对租用村集体闲置农房开展研学、养老养生、创意食品等新型业态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，租用面积在500平方米以上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项目入驻业态开业并正常投入运营，根据当年度租金金额给予奖补，在正式开业时补助一次，之后开业每满一年进行补助一次，最高不超过150元/平方米/年，最长补助四年。对影响力、带动力特别大的新型业态进行额外奖励，具体奖励标准和办法采用一事一议专题会议讨论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二、鼓励认定特色农品、研发特色文旅产品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鼓励各村进行“一村一农品”认定。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对农品被工商注册并被所在村认定为村级农品的，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每次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给予所在村奖励0.2万元。对农品进入强村公司销售达10万元以上的，给予所在村额外奖励1万元。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鼓励研发特色文旅产品。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鼓励企业和个人研发具有富盛地方特色和文化内涵的旅游纪念品、工艺品、农林产品等。对当年获得市级金奖、省级银奖及以上、国家级铜奖及以上的，分别给予1万元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、3万元、5万元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的一次性奖励。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三、鼓励发展特色农业、文旅产业项目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（六）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鼓励引进特色农创项目。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对2025年以来，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到富盛投资农业创业，注册公司并建立50亩及以上种植基地，种植或开发特色农业品，带动当地群众就业的，给予一次性奖励5万元。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（七）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强化秸秆综合处置工作。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对从事秸秆综合处置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年处置量达到100吨及以上的，给予租房场地补助，补助标准为100元/平方米，单个企业所获该项补助金额上限为8万元。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（八）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深化推进农业“双强”行动。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鼓励富盛镇农业企业积极申报省级农业“双强”项目，对成功列入省级农业“双强”项目的，在项目验收通过后，给予一次性奖励10万元。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（九）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鼓励文旅产业项目发展。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经申报评审，对符合我镇文旅产业发展方向，已核准或备案，满足完成累计投资额5000万元及以上，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并且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当年完成投资额3000万元及以上条件的文旅产业民间投资项目，给予一次性补助10万元（实际投资额以统计入库为准，不包含土地出让金）。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（十）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本政策的适用对象是指注册与纳税均在本镇且本奖励政策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实行期间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未迁出的企业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户籍或工作关系在本镇的个人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。对同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一市场主体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符合本政策相关条款的，不作重复奖励，按最高额计奖。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（十一）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因逃税骗税、恶意欠薪、故意侵犯知识产权被法院列入失信被执行人或者在食品药品、生态环境、工程质量、安全生产、消防安全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土地使用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等领域存在违法行为被有关部门处以行政处罚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或承担刑事责任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的，不予享受政策。已享受的，我镇有权撤销该奖励。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（十二）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相关证明材料由各申报单位提供，由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对应条线所在办公室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予以审核，汇总后提交镇党委会议审议确定，加强财政资金兑现审核与绩效考核，奖励费用由镇财政列支。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（十三）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本政策文件执行期限为202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年1月1日至202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年12月31日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原有奖补政策尚未执行完毕的除外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）。实施过程中如遇上级政策调整，按上级政策执行。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（十四）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本政策由富盛镇人民政府负责解释。</w:t>
      </w:r>
    </w:p>
    <w:sectPr>
      <w:footerReference r:id="rId3" w:type="default"/>
      <w:pgSz w:w="11906" w:h="16838"/>
      <w:pgMar w:top="2098" w:right="1587" w:bottom="209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NWEyNmE3NjZhY2FlYWVhNzc1YTY1MGIyZDU4M2YifQ=="/>
  </w:docVars>
  <w:rsids>
    <w:rsidRoot w:val="6A5D63F0"/>
    <w:rsid w:val="6A5D63F0"/>
    <w:rsid w:val="75A54340"/>
    <w:rsid w:val="7EFF9EEC"/>
    <w:rsid w:val="F5BF8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20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4">
    <w:name w:val="Body Text First Indent"/>
    <w:basedOn w:val="5"/>
    <w:next w:val="5"/>
    <w:qFormat/>
    <w:uiPriority w:val="0"/>
    <w:pPr>
      <w:spacing w:after="0" w:line="500" w:lineRule="exact"/>
      <w:ind w:firstLine="420"/>
      <w:jc w:val="center"/>
    </w:pPr>
    <w:rPr>
      <w:sz w:val="28"/>
      <w:szCs w:val="20"/>
    </w:rPr>
  </w:style>
  <w:style w:type="paragraph" w:styleId="5">
    <w:name w:val="Body Text"/>
    <w:basedOn w:val="1"/>
    <w:next w:val="4"/>
    <w:qFormat/>
    <w:uiPriority w:val="0"/>
    <w:rPr>
      <w:rFonts w:eastAsia="仿宋_GB2312"/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2024-01-12T01:00:00Z</dcterms:created>
  <dc:creator>Administrator</dc:creator>
  <cp:lastModifiedBy>ycq</cp:lastModifiedBy>
  <dcterms:modified xsi:type="dcterms:W3CDTF">2025-06-13T10:11:39Z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2052-11.8.2.12344</vt:lpwstr>
  </property>
  <property fmtid="{D5CDD505-2E9C-101B-9397-08002B2CF9AE}" pid="3" name="ICV">
    <vt:lpwstr>3C26C6FBF0CB5EABDB884B681C60071D</vt:lpwstr>
  </property>
</Properties>
</file>