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D61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" w:leftChars="-200" w:right="-512" w:rightChars="-244" w:hanging="417" w:hangingChars="116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《关于公布行政规范性文件清理结果的通知》</w:t>
      </w:r>
    </w:p>
    <w:p w14:paraId="13CFFC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" w:leftChars="-200" w:right="-512" w:rightChars="-244" w:hanging="417" w:hangingChars="116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起草说明</w:t>
      </w:r>
    </w:p>
    <w:p w14:paraId="0A90DC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一、基本情况</w:t>
      </w:r>
    </w:p>
    <w:p w14:paraId="7C0ED8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按照《浙江省行政规范性文件管理办法》行政规范性文件“两年定期清理一次”的要求，我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市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于202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月启动新一轮的行政规范性文件清理工作。</w:t>
      </w:r>
    </w:p>
    <w:p w14:paraId="7009D52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清理的范围和原则</w:t>
      </w:r>
    </w:p>
    <w:p w14:paraId="16306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行政规范性文件存在违法设定非行政许可事项，变相设定行政许可或者增加行政许可条件、环节；存在与公开发布的权力清单内容不符；存在与法律、法规、规章及国家政策、上级行政规范性文件等相抵触的，或者主要内容已被新的法律、法规、规章、规范性文件所替代的，或者已经明显不适应经济社会发展要求的，应由起草单位提出废止或者修改意见。适用期已过、调整对象已消失，或者实际上已经没有实施的，应由起草单位提出失效的意见。</w:t>
      </w:r>
    </w:p>
    <w:p w14:paraId="29BD31A1">
      <w:pPr>
        <w:pStyle w:val="3"/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本次行政规范性文件清理的范围：</w:t>
      </w:r>
      <w:r>
        <w:rPr>
          <w:rStyle w:val="7"/>
          <w:rFonts w:hint="eastAsia" w:hAnsi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兰溪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市现行有效的行政规范性文件</w:t>
      </w:r>
      <w:r>
        <w:rPr>
          <w:rStyle w:val="7"/>
          <w:rFonts w:hint="eastAsia" w:hAnsi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共307件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 w14:paraId="5B5B67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三、解决的主要问题</w:t>
      </w:r>
    </w:p>
    <w:p w14:paraId="7AA089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及时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修改或者废止不符合法律、法规、规章规定以及不适应经济社会发展要求的行政规范性文件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是加快建设法治政府的重要举措，是政令畅通的制度保障，有利于优化法治营商环境，为经济社会高质量发展提供有力法治保障。</w:t>
      </w:r>
    </w:p>
    <w:p w14:paraId="4F734F2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四、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主要内容</w:t>
      </w:r>
    </w:p>
    <w:p w14:paraId="2D38FCBD">
      <w:pPr>
        <w:overflowPunct w:val="0"/>
        <w:spacing w:line="54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经清理，纳入行政规范性文件管理的文件共计307件，其中提议继续有效241件、已失效13件、拟废止44件、拟修订6件、已废止3件，具体文件名称、文号、修改情况及废止失效理由见附件。</w:t>
      </w:r>
    </w:p>
    <w:p w14:paraId="4E7905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五、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公平竞争审查、征求意见及协调处理等情况</w:t>
      </w:r>
    </w:p>
    <w:p w14:paraId="4F5DA4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4月对全市现行有效的行政规范性文件进行摸底排查，共梳理出307件行政规范性文件，形成清理底数。2024年8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下发开展行政规范性文件清理工作的通知，向各制定单位征求意见，共收到反馈意见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100余条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在向社会公开征求意见的同时同步开展公平竞争审查。</w:t>
      </w:r>
    </w:p>
    <w:p w14:paraId="233D42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六、其他需要说明的情况</w:t>
      </w:r>
    </w:p>
    <w:p w14:paraId="3683A1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无。</w:t>
      </w:r>
    </w:p>
    <w:p w14:paraId="364389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FB042"/>
    <w:multiLevelType w:val="singleLevel"/>
    <w:tmpl w:val="F8AFB0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GU0ZmMzZDk5ODgzZDkzMTZjYjU2NTczMTA0ZDgifQ=="/>
  </w:docVars>
  <w:rsids>
    <w:rsidRoot w:val="2DCA1858"/>
    <w:rsid w:val="01CE09FD"/>
    <w:rsid w:val="27D74A1C"/>
    <w:rsid w:val="2DCA1858"/>
    <w:rsid w:val="422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657</Characters>
  <Lines>0</Lines>
  <Paragraphs>0</Paragraphs>
  <TotalTime>0</TotalTime>
  <ScaleCrop>false</ScaleCrop>
  <LinksUpToDate>false</LinksUpToDate>
  <CharactersWithSpaces>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2022-12-01T08:22:00Z</dcterms:created>
  <dc:creator>UR信封有圣歌绘</dc:creator>
  <cp:lastModifiedBy>JolnoN</cp:lastModifiedBy>
  <dcterms:modified xsi:type="dcterms:W3CDTF">2024-10-23T07:33:30Z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7DD86FFFA45D4852904D204D751D335F</vt:lpwstr>
  </property>
</Properties>
</file>