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附件1：</w:t>
      </w:r>
    </w:p>
    <w:p>
      <w:pPr>
        <w:spacing w:line="560" w:lineRule="exact"/>
        <w:rPr>
          <w:rFonts w:hint="eastAsia" w:ascii="仿宋_GB2312" w:hAnsi="仿宋" w:eastAsia="仿宋_GB2312" w:cs="仿宋"/>
          <w:sz w:val="32"/>
          <w:szCs w:val="32"/>
        </w:rPr>
      </w:pPr>
      <w:bookmarkStart w:id="0" w:name="_GoBack"/>
      <w:bookmarkEnd w:id="0"/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关于钱塘区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MAH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生物医药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专项政策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eastAsia="zh-CN"/>
        </w:rPr>
        <w:t>（征求意见稿）</w:t>
      </w:r>
    </w:p>
    <w:p>
      <w:pPr>
        <w:spacing w:line="560" w:lineRule="exact"/>
        <w:ind w:firstLine="640"/>
        <w:rPr>
          <w:rFonts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为加快推进</w:t>
      </w:r>
      <w:r>
        <w:rPr>
          <w:rFonts w:ascii="仿宋_GB2312" w:hAnsi="仿宋" w:eastAsia="仿宋_GB2312" w:cs="仿宋"/>
          <w:sz w:val="32"/>
          <w:szCs w:val="32"/>
        </w:rPr>
        <w:t>钱塘区生物医药产业发展，充分发挥</w:t>
      </w:r>
      <w:r>
        <w:rPr>
          <w:rFonts w:hint="eastAsia" w:ascii="仿宋_GB2312" w:hAnsi="仿宋" w:eastAsia="仿宋_GB2312" w:cs="仿宋"/>
          <w:sz w:val="32"/>
          <w:szCs w:val="32"/>
        </w:rPr>
        <w:t>MAH制度优势及钱塘产业基础，完善产业生态体系，进一步促进我区生物医药产业创新发展、引领发展，打造国内顶尖、世界一流的产业创新高地，根据《关于实施钱塘“领飞计划”打造新时代高能级产业发展战略平台若干政策意见》文件精神，结合钱塘区实际，特制定本政策。</w:t>
      </w:r>
    </w:p>
    <w:p>
      <w:pPr>
        <w:spacing w:line="560" w:lineRule="exact"/>
        <w:ind w:firstLine="640"/>
        <w:rPr>
          <w:rFonts w:ascii="仿宋_GB2312" w:hAnsi="仿宋" w:eastAsia="仿宋_GB2312" w:cs="仿宋"/>
          <w:b/>
          <w:bCs/>
          <w:color w:val="FF0000"/>
          <w:sz w:val="32"/>
          <w:szCs w:val="32"/>
        </w:rPr>
      </w:pPr>
      <w:r>
        <w:rPr>
          <w:rFonts w:hint="eastAsia" w:ascii="仿宋_GB2312" w:hAnsi="仿宋" w:eastAsia="仿宋_GB2312" w:cs="仿宋"/>
          <w:b/>
          <w:bCs/>
          <w:sz w:val="32"/>
          <w:szCs w:val="32"/>
        </w:rPr>
        <w:t>一、适用对象</w:t>
      </w:r>
    </w:p>
    <w:p>
      <w:pPr>
        <w:spacing w:line="560" w:lineRule="exact"/>
        <w:ind w:firstLine="640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本政策适用于在钱塘区范围内注册、纳税、正常生产经营的生物医药企业。</w:t>
      </w:r>
    </w:p>
    <w:p>
      <w:pPr>
        <w:spacing w:line="560" w:lineRule="exact"/>
        <w:ind w:firstLine="640"/>
        <w:rPr>
          <w:rFonts w:ascii="仿宋_GB2312" w:hAnsi="仿宋" w:eastAsia="仿宋_GB2312" w:cs="仿宋"/>
          <w:b/>
          <w:bCs/>
          <w:color w:val="FF0000"/>
          <w:sz w:val="32"/>
          <w:szCs w:val="32"/>
        </w:rPr>
      </w:pPr>
      <w:r>
        <w:rPr>
          <w:rFonts w:hint="eastAsia" w:ascii="仿宋_GB2312" w:hAnsi="仿宋" w:eastAsia="仿宋_GB2312" w:cs="仿宋"/>
          <w:b/>
          <w:bCs/>
          <w:sz w:val="32"/>
          <w:szCs w:val="32"/>
        </w:rPr>
        <w:t>二、主要条款</w:t>
      </w:r>
    </w:p>
    <w:p>
      <w:pPr>
        <w:spacing w:line="560" w:lineRule="exact"/>
        <w:ind w:firstLine="640" w:firstLineChars="200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1.对注册地址和销售结算在本区的药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品</w:t>
      </w:r>
      <w:r>
        <w:rPr>
          <w:rFonts w:hint="eastAsia" w:ascii="仿宋_GB2312" w:hAnsi="仿宋" w:eastAsia="仿宋_GB2312" w:cs="仿宋"/>
          <w:sz w:val="32"/>
          <w:szCs w:val="32"/>
        </w:rPr>
        <w:t>上市许可持有人：（1）对新获得仿制药批件的给予100万元奖励（不同规格视为同一品种），通过生物等效性试验的每个批件再给予100万元奖励；如该品种在全国同类仿制药中前三个获得注册批件，再按该药品实际研发费用最高20%给予资助，最高不超过300万元。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单个批件最高不超过500万元，</w:t>
      </w:r>
      <w:r>
        <w:rPr>
          <w:rFonts w:hint="eastAsia" w:ascii="仿宋_GB2312" w:hAnsi="仿宋" w:eastAsia="仿宋_GB2312" w:cs="仿宋"/>
          <w:sz w:val="32"/>
          <w:szCs w:val="32"/>
        </w:rPr>
        <w:t>单个企业每年资助不超过1500万元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。</w:t>
      </w:r>
      <w:r>
        <w:rPr>
          <w:rFonts w:hint="eastAsia" w:ascii="仿宋_GB2312" w:hAnsi="仿宋" w:eastAsia="仿宋_GB2312" w:cs="仿宋"/>
          <w:sz w:val="32"/>
          <w:szCs w:val="32"/>
        </w:rPr>
        <w:t>（2）对新取得药品生产许可证（B类）的，奖励50万元；对新取得医疗器械生产许可证（二、三类）的，奖励50万元。</w:t>
      </w:r>
    </w:p>
    <w:p>
      <w:pPr>
        <w:spacing w:line="560" w:lineRule="exact"/>
        <w:ind w:firstLine="640" w:firstLineChars="200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2.</w:t>
      </w:r>
      <w:r>
        <w:rPr>
          <w:rFonts w:hint="eastAsia" w:ascii="仿宋_GB2312" w:hAnsi="仿宋" w:eastAsia="仿宋_GB2312" w:cs="仿宋"/>
          <w:kern w:val="0"/>
          <w:sz w:val="32"/>
          <w:szCs w:val="32"/>
        </w:rPr>
        <w:t>对通过CMO、CDMO、CRO方式委托开展研发、生产活动且销售税收结算及产值体现在本区的药品上市许可持有人、医疗器械企业，委托区内企业研发、生产（非关联企业）其所持有</w:t>
      </w:r>
      <w:r>
        <w:rPr>
          <w:rFonts w:hint="eastAsia" w:ascii="仿宋_GB2312" w:hAnsi="仿宋" w:eastAsia="仿宋_GB2312" w:cs="仿宋"/>
          <w:kern w:val="0"/>
          <w:sz w:val="32"/>
          <w:szCs w:val="32"/>
          <w:lang w:val="en-US" w:eastAsia="zh-CN"/>
        </w:rPr>
        <w:t>药品、医疗器械，药品</w:t>
      </w:r>
      <w:r>
        <w:rPr>
          <w:rFonts w:hint="eastAsia" w:ascii="仿宋_GB2312" w:hAnsi="仿宋" w:eastAsia="仿宋_GB2312" w:cs="仿宋"/>
          <w:kern w:val="0"/>
          <w:sz w:val="32"/>
          <w:szCs w:val="32"/>
        </w:rPr>
        <w:t>年度委托金额超过1500万元的、医疗器械年委托金额超过500万元的，给予委托方按年度实际交易金额最高5%的资助，单个企业每年资助最高不超过1500万元。对承担委托生产任务且产值结算在区内的企业，按年度实际交易金额最高5%的资助，单个企业每年资助最高不超过1500万元。</w:t>
      </w:r>
    </w:p>
    <w:p>
      <w:pPr>
        <w:tabs>
          <w:tab w:val="left" w:pos="720"/>
        </w:tabs>
        <w:autoSpaceDE w:val="0"/>
        <w:autoSpaceDN w:val="0"/>
        <w:spacing w:line="560" w:lineRule="exact"/>
        <w:ind w:right="18" w:firstLine="640"/>
        <w:rPr>
          <w:rFonts w:ascii="仿宋_GB2312" w:hAnsi="仿宋" w:eastAsia="仿宋_GB2312" w:cs="仿宋"/>
          <w:b/>
          <w:bCs/>
          <w:kern w:val="0"/>
          <w:sz w:val="32"/>
          <w:szCs w:val="32"/>
        </w:rPr>
      </w:pPr>
      <w:r>
        <w:rPr>
          <w:rFonts w:hint="eastAsia" w:ascii="仿宋_GB2312" w:hAnsi="仿宋" w:eastAsia="仿宋_GB2312" w:cs="仿宋"/>
          <w:b/>
          <w:bCs/>
          <w:kern w:val="0"/>
          <w:sz w:val="32"/>
          <w:szCs w:val="32"/>
        </w:rPr>
        <w:t>三、附则</w:t>
      </w:r>
    </w:p>
    <w:p>
      <w:pPr>
        <w:spacing w:line="560" w:lineRule="exact"/>
        <w:ind w:firstLine="640"/>
        <w:rPr>
          <w:rFonts w:ascii="仿宋_GB2312" w:hAnsi="仿宋" w:eastAsia="仿宋_GB2312" w:cs="仿宋"/>
          <w:kern w:val="0"/>
          <w:sz w:val="32"/>
          <w:szCs w:val="32"/>
        </w:rPr>
      </w:pPr>
      <w:r>
        <w:rPr>
          <w:rFonts w:hint="eastAsia" w:ascii="仿宋_GB2312" w:hAnsi="仿宋" w:eastAsia="仿宋_GB2312" w:cs="仿宋"/>
          <w:kern w:val="0"/>
          <w:sz w:val="32"/>
          <w:szCs w:val="32"/>
        </w:rPr>
        <w:t>1.</w:t>
      </w:r>
      <w:r>
        <w:rPr>
          <w:rFonts w:hint="eastAsia" w:ascii="仿宋_GB2312" w:hAnsi="仿宋" w:eastAsia="仿宋_GB2312" w:cs="仿宋"/>
          <w:sz w:val="32"/>
          <w:szCs w:val="32"/>
        </w:rPr>
        <w:t>本政策自发布后30日施行，试行3年；具体由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杭州</w:t>
      </w:r>
      <w:r>
        <w:rPr>
          <w:rFonts w:hint="eastAsia" w:ascii="仿宋_GB2312" w:hAnsi="仿宋" w:eastAsia="仿宋_GB2312" w:cs="仿宋"/>
          <w:sz w:val="32"/>
          <w:szCs w:val="32"/>
        </w:rPr>
        <w:t>医药港管理办公室负责解释。</w:t>
      </w:r>
    </w:p>
    <w:p>
      <w:pPr>
        <w:spacing w:line="560" w:lineRule="exact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sz w:val="24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4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hjNWU1MWY5MTFlZGRjOGNiNjJjOTg0NzQyOWE2MGEifQ=="/>
  </w:docVars>
  <w:rsids>
    <w:rsidRoot w:val="56082DEB"/>
    <w:rsid w:val="005E1726"/>
    <w:rsid w:val="00824824"/>
    <w:rsid w:val="008676B0"/>
    <w:rsid w:val="008837F6"/>
    <w:rsid w:val="00A679AD"/>
    <w:rsid w:val="00CD1644"/>
    <w:rsid w:val="00D46FF6"/>
    <w:rsid w:val="00ED4AB8"/>
    <w:rsid w:val="051C2B6A"/>
    <w:rsid w:val="05292307"/>
    <w:rsid w:val="203A42A6"/>
    <w:rsid w:val="27DA33ED"/>
    <w:rsid w:val="32B40090"/>
    <w:rsid w:val="34865D22"/>
    <w:rsid w:val="35536392"/>
    <w:rsid w:val="37ED1713"/>
    <w:rsid w:val="3D527D67"/>
    <w:rsid w:val="401417FA"/>
    <w:rsid w:val="4B2F7EE0"/>
    <w:rsid w:val="54351633"/>
    <w:rsid w:val="56082DEB"/>
    <w:rsid w:val="5E256D9D"/>
    <w:rsid w:val="6C762793"/>
    <w:rsid w:val="701E6E2C"/>
    <w:rsid w:val="76013E56"/>
    <w:rsid w:val="76FD40DA"/>
    <w:rsid w:val="7EF9CB9D"/>
    <w:rsid w:val="7F465653"/>
    <w:rsid w:val="7FFB1DD3"/>
    <w:rsid w:val="D4D3B777"/>
    <w:rsid w:val="FDDFF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660</Words>
  <Characters>56</Characters>
  <Lines>1</Lines>
  <Paragraphs>1</Paragraphs>
  <TotalTime>23</TotalTime>
  <ScaleCrop>false</ScaleCrop>
  <LinksUpToDate>false</LinksUpToDate>
  <CharactersWithSpaces>715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2022-10-21T08:11:00Z</dcterms:created>
  <dc:creator>冯青</dc:creator>
  <cp:lastModifiedBy>user</cp:lastModifiedBy>
  <cp:lastPrinted>2023-10-27T01:49:00Z</cp:lastPrinted>
  <dcterms:modified xsi:type="dcterms:W3CDTF">2023-11-27T17:12:54Z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woTemplateTypoMode" linkTarget="0">
    <vt:lpwstr>web</vt:lpwstr>
  </property>
  <property fmtid="{D5CDD505-2E9C-101B-9397-08002B2CF9AE}" pid="4" name="woTemplate" linkTarget="0">
    <vt:i4>1</vt:i4>
  </property>
  <property fmtid="{D5CDD505-2E9C-101B-9397-08002B2CF9AE}" pid="5" name="ICV">
    <vt:lpwstr>A60F5D98BA9041A0B4EFD94524A6E027</vt:lpwstr>
  </property>
</Properties>
</file>