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u w:val="none"/>
        </w:rPr>
        <w:t>遂昌县推进生态工业和数字经济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u w:val="none"/>
        </w:rPr>
        <w:t>高质量绿色发展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三十五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一、鼓励招大引强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 w:bidi="zh-TW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1.支持设备投资。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bidi="zh-TW"/>
        </w:rPr>
        <w:t>新上工业项目纳入统计库并在规定期限内竣工投产且设备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bidi="zh-TW"/>
        </w:rPr>
        <w:t>投资额不低于300万元的，按设备审计投资额给予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zh-TW"/>
        </w:rPr>
        <w:t>6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 w:bidi="zh-TW"/>
        </w:rPr>
        <w:t>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 w:bidi="zh-TW"/>
        </w:rPr>
        <w:t>25%的分档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bidi="zh-TW"/>
        </w:rPr>
        <w:t>奖励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 w:bidi="zh-TW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bidi="zh-TW"/>
        </w:rPr>
        <w:t>属于《浙江省高新技术产业统计分类目录》或《浙江省数字经济核心产业统计分类目录》的，奖励标准再提高2%。</w:t>
      </w:r>
    </w:p>
    <w:tbl>
      <w:tblPr>
        <w:tblStyle w:val="7"/>
        <w:tblW w:w="9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5"/>
        <w:gridCol w:w="1396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项目标准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设备审计投资额的奖励比例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属于《浙江省高新技术产业统计分类目录》或《浙江省数字经济核心产业统计分类目录》的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1000万元以下部分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6%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再提高2%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1000万元（含）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zh-TW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2000万元部分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9%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2000万元（含）以上部分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12%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5000万元（含）</w:t>
            </w:r>
            <w:r>
              <w:rPr>
                <w:rFonts w:hint="eastAsia" w:ascii="仿宋_GB2312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zh-TW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2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1亿元部分（省市重点项目）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1亿元（含）以上部分（省市重点项目）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25%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采购本地企业生产的成套设备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12%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通过验收的中试车间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2.加快项目建设。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对通过“标准地”出让方式取得工业用地使用权的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非化工类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，按期缴清土地出让金后，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给予成交价与县工业用地指导价差额部分100%奖励（两个及以上企业参与竞价的，溢价部分不予奖励）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对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规定期限内（以土地出让合同约定时间为准）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固定资产投资强度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达到“标准地”要求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的项目，按照固定资产投资给予项目建设奖励。</w:t>
      </w:r>
    </w:p>
    <w:tbl>
      <w:tblPr>
        <w:tblStyle w:val="7"/>
        <w:tblW w:w="8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712"/>
        <w:gridCol w:w="4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项目进度要求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非化工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按期缴清土地出让金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成交价与县工业用地指导价差额部分100%奖励（两个及以上企业参与竞价的，溢价部分不予奖励）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固定资产投资1亿元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固定资产投资3亿元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固定资产投资5亿元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固定资产投资8亿元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化工类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用地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按期缴清土地出让金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zh-TW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固定资产投资5亿元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固定资产投资8亿元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固定资产投资10亿元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每亩15万元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3.支持“空间换地”。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对新取得工业用地的企业，在取得不动产权证后，第三层及以上生产性用房给予80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 w:bidi="zh-TW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180元/平方米的分档奖励。已取得不动产权证的企业，在原有土地使用范围内经批准实施的技改项目，重新取得不动产权证后也给予分档奖励。</w:t>
      </w:r>
    </w:p>
    <w:tbl>
      <w:tblPr>
        <w:tblStyle w:val="7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3562"/>
        <w:gridCol w:w="2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生产性用房层数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新上项目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第五层及以上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技改项目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新增部分面积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第五层及以上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4.企业贡献奖励。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新上工业项目列入省市县重点项目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在规定期限内完成投资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，自投产之年起，3年内每年按当年对我县地方综合贡献部分的100%给予奖励，第4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 w:bidi="zh-TW"/>
        </w:rPr>
        <w:t>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5年按当年对我县地方综合贡献部分的50%给予奖励。对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bidi="en-US"/>
        </w:rPr>
        <w:t>达到“标准地”规定的新上工业项目，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在规定期限内投资额达到5亿元（含）以上的非化工类或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bidi="en-US"/>
        </w:rPr>
        <w:t>10亿元（含）以上的化工类项目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，自投产之年起，5年内每年按当年对我县地方综合贡献部分的100%给予奖励。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5.支持创建洁净车间。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固定资产投资1亿元以上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的新建项目和技改项目，对百级、千级、万级、十万级洁净车间，按实际装修面积分别给予企业每平方米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1000元、600元、400元、200元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的补贴，单个企业补贴最高不超过500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万元。洁净车间面积、洁净层级以第三方检测机构检测为准。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二、加强企业培育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6.鼓励企业上规升级。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新投产企业在当年完成上规的，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按上规时间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给予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分档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奖励。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支持发展前景好的规下企业，对新增规下样本企业给予基础奖励1万元，对规下样本企业营业收入每增长100万元奖励0.5万元，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首次“小升规”企业给予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奖励。对符合《浙江省数字经济核心产业统计分类目录》的企业，奖励标准再提高20%。</w:t>
      </w:r>
    </w:p>
    <w:tbl>
      <w:tblPr>
        <w:tblStyle w:val="8"/>
        <w:tblpPr w:leftFromText="180" w:rightFromText="180" w:vertAnchor="text" w:horzAnchor="page" w:tblpX="1636" w:tblpY="192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242"/>
        <w:gridCol w:w="183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0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上规时间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奖励标准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符合《浙江省数字经济核心产业统计分类目录》的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04" w:type="dxa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新投产企业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首次销售之日起三个月内或3月底前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40万元</w:t>
            </w:r>
          </w:p>
        </w:tc>
        <w:tc>
          <w:tcPr>
            <w:tcW w:w="2881" w:type="dxa"/>
            <w:vMerge w:val="restart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再提高20%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Calibri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6月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底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30万元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9月底前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20万元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04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24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12月前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10万元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04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规下企业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小升规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10万元</w:t>
            </w:r>
          </w:p>
        </w:tc>
        <w:tc>
          <w:tcPr>
            <w:tcW w:w="2881" w:type="dxa"/>
            <w:vMerge w:val="continue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Times New Roman" w:eastAsia="仿宋_GB2312" w:cs="宋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4"/>
        <w:textAlignment w:val="auto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.鼓励企业家创业。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对年销售收入首次达到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亿元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的工业企业，给予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企业或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企业主要负责人（由企业推荐1人）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万元奖励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之后与往年最高年份相比，年销售收入每提高1亿元奖励10万元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u w:val="none"/>
        </w:rPr>
        <w:t>对符合《浙江省数字经济核心产业统计分类目录》的企业，奖励标准再提高20%。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.鼓励亩均效益上台阶。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对当年度亩均效益达到“标准地”规定且同比以往年度最高亩均效益提高20%（含）以上的工业企业，按增幅部分的地方综合贡献给予分档奖励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tbl>
      <w:tblPr>
        <w:tblStyle w:val="8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085"/>
        <w:gridCol w:w="188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奖励条件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分档标准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奖励标准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当年度亩均效益达到“标准地”规定且同比以往年度最高亩均效益提高20%（含）以上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50%以下部分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30%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享受地方综合贡献奖励的企业，不再享受本条款。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5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50%（含）－100%部分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40%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5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100%（含）以上部分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50%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9.培育领军企业。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对首次评定为国家级专精特新“小巨人”企业、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国家级制造业单项冠军、省级制造业单项冠军培育企业、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省“雄鹰行动”培育企业、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省隐形冠军企业、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省创新型领军企业、省管理对标提升标杆企业、五星级企业、省级“专精特新”中小企业、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省级创新型中小企业的，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分别给予分档奖励。对获评省级、市级“亩均效益”领跑者企业的分别给予分档奖励。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对属于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战略性新兴产业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规上企业，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销售收入增长1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%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以上的，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给予10万元奖励。</w:t>
      </w:r>
    </w:p>
    <w:tbl>
      <w:tblPr>
        <w:tblStyle w:val="7"/>
        <w:tblW w:w="84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4"/>
        <w:gridCol w:w="3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u w:val="none"/>
                <w:lang w:bidi="ar"/>
              </w:rPr>
              <w:t>企业荣誉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u w:val="none"/>
                <w:lang w:bidi="ar"/>
              </w:rPr>
              <w:t>奖励额度（万元）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国家级专精特新“小巨人”企业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国家制造业单项冠军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省级制造业单项冠军培育企业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浙江省“雄鹰行动”培育企业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浙江省隐形冠军企业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浙江省创新型领军企业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浙江省管理对标提升标杆企业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制造业企业管理对标五星级企业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省级“专精特新”中小企业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省级创新型中小企业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省级制造业“亩均效益”领跑者企业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省级分行业“亩均效益”领跑者企业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市级生态工业“亩均效益”领跑者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市级重点行业领跑者企业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8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bidi="ar"/>
              </w:rPr>
              <w:t>备注：1.同一企业荣誉从省级提升到国家级的，给予差额奖励。2.对已奖励过市级重点行业领跑者企业的，给予差额奖励。“亩均效益”领跑者奖励按就高不重复原则，同一企业同一级三年内只奖励一次。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10.开展企业评优评先。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按照当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年度销售收入、地方综合贡献各占50%的标准，在规上工业企业中每年评选出全县“十强工业企业”和“十佳进步企业”，每家分别奖励10万元、5万元。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三、推进转型升级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jc w:val="left"/>
        <w:textAlignment w:val="auto"/>
        <w:rPr>
          <w:rFonts w:ascii="仿宋_GB2312" w:eastAsia="仿宋_GB2312" w:cs="宋体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11.鼓励并购重组。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企业经营发生困难且全面停产6个月以上或企业破产后引进新投资方进行并购重组，新投资方占总股本50%以上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且重组后实缴注册资本不小于1000万元的工业企业，以在并购重组过程中形成的地方综合贡献部分为标准（不含股权转让个人所得税），全额奖励给企业。在并购重组后，以被并购企业地方综合贡献最后三年形成部分的平均数为基数，按照重组企业超基数新增地方综合贡献部分为标准，自投产之年起，3年内每年给予100%奖励，第4、5年每年给予50%奖励。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975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12.鼓励盘活闲置资产。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u w:val="none"/>
          <w:lang w:val="en-US" w:eastAsia="zh-CN" w:bidi="en-US"/>
        </w:rPr>
        <w:t>对通过司法拍卖、公开拍卖取得工业闲置资产，且经主管部门认定的新上工业项目，按土地使用面积给予一次性6元/平方米奖励。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13.鼓励技术改造。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经工业主管部门备案或核准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并纳入当年度工业投资项目库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的技改项目，年销售收入不少于1000万元且设备投资额不低于100万元的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按设备审计投资额给予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12—25%的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档奖励。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单个项目奖励最高不超过1000万元。本条款按项目立项当年度的政策执行，跨年度实施的项目可分年度申报</w:t>
      </w:r>
      <w:r>
        <w:rPr>
          <w:rFonts w:hint="eastAsia" w:ascii="仿宋_GB2312" w:hAnsi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tbl>
      <w:tblPr>
        <w:tblStyle w:val="7"/>
        <w:tblW w:w="8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0"/>
        <w:gridCol w:w="2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项目标准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500万元以下部分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500万元（含）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zh-TW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2000万元部分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2000万元（含）以上部分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列入丽水市重点技术改造示范项目，或完成股改进入上市辅导程序的企业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购置工业机器人和智能化制造系统的（工业机器人按GB/T12643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zh-TW"/>
              </w:rPr>
              <w:t>—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2013标准定义执行）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通过验收的中试车间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列入浙江省重点技术改造示范项目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设备审计投资额的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14.鼓励数字化智能化改造。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对列入县智能制造试点示范项目并通过验收的，对数字化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、自动化部分投资额分别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按30%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奖励。对列入县智能制造云化APP试点示范项目并通过验收的，给予项目投资额60%的奖励，最高不超过60万元。以上奖励和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智能制造政策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不重复享受。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15.鼓励节能减排和循环发展。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对列入国家或省级绿色工厂、绿色（设计）产品、绿色供应链示范名单的企业，分别给予国家级80万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、省级20万元奖励；对通过企业5S及以上精细化管理体系验收的，给予20万元奖励；对获得省级节水标杆企业称号的，给予10万元奖励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对获得省、市级节水型企业称号的，分别给予5万元、3万元奖励；对列入省级以上循环经济示范项目的，给予10万元奖励。对通过清洁生产审核验收的，给予6万元奖励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提升品牌质量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16.鼓励争创品牌。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对首次通过浙江制造品牌认证的产品，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给予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每个产品20万元奖励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首次获得中国驰名商标（不含司法认定）、地理标志证明商标（保护产品）、集体商标的企业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分别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给予30万元奖励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首次获得省知名商号的企业，给予8万元奖励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首次获得省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信用管理示范企业称号的，分别给予8万元、2万元奖励。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17.提升管理水平。</w:t>
      </w:r>
      <w:r>
        <w:rPr>
          <w:rStyle w:val="11"/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</w:rPr>
        <w:t>对首次通过ISO14000(GB/T14000)系列环境管理体系、OHSAS18000(GB/T45000)系列职业健康与安全管理体系、GB/T23331能源管理体系、SA8000社会责任管理体系、GB/T31950企业诚信管理体系、ISO10012测量管理体系3A级以上、ISO22000系列食品安全管理体系或HACCP认证的企业，分别给予3.5万元奖励。对首次通过绿色产品认证的单位给予20万元奖励，每新增一张绿色产品认证证书再奖励2万元，最高限额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Style w:val="11"/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18.鼓励开展质量管理创新。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对立项并通过验收的省级、市级质量管理创新项目的企业，分别给予20万元、10万元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奖励。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对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获得市场监管系统国家级、省级</w:t>
      </w:r>
      <w:r>
        <w:rPr>
          <w:rStyle w:val="11"/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QC小组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奖项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eastAsia="zh-CN"/>
        </w:rPr>
        <w:t>的企业</w:t>
      </w:r>
      <w:r>
        <w:rPr>
          <w:rStyle w:val="11"/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，分别给予3万元、2万元奖励。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五、发展数字经济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19.支持“产业大脑+未来工厂”创建。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对列入国家级、省级“未来工厂”的企业，分别给予100万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、80万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的奖励。对列入国家级、省级的智能工厂（数字化车间）名单企业，分别给予80万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、50万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奖励。对列入产业大脑（行业大脑）省级试点建设的企业，给予100万元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奖励，通过验收再给予100万元的奖励。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20.加强工业互联网平台培育。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对被列为省级区域级、行业级工业互联网平台创建名单的企业奖励30万元，通过验收后再奖励50万元；被列为省级企业级工业互联网平台创建名单的工业企业奖励20万元，通过验收后再奖励30万元。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/>
          <w:color w:val="auto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21.鼓励企业培育示范试点。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企业通过国家两化融合管理体系认证的，给予一次性 20 万元奖励。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对于列入国家级、省级数字化转型类、信息化类、大数据应用、两化融合类试点示范企业的，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分别给予 40 万元、20 万元奖励，提档给予差额奖励。对获得国家级、省级政府部门颁发数字经济领域荣誉称号的企业，分别给予 50 万元、30 万元奖励，提档给予差额奖励。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jc w:val="left"/>
        <w:textAlignment w:val="auto"/>
        <w:rPr>
          <w:rFonts w:ascii="仿宋_GB2312" w:hAnsi="宋体" w:eastAsia="仿宋_GB2312" w:cs="宋体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22.加强信息技术研发和应用。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首版次软件产品自获得软件著作权登记证书起两年内实现销售（服务）收入达100万元的，给予两年内销售（服务）收入的10%奖励，最高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限额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shd w:val="clear" w:color="FFFFFF" w:fill="D7D7D7"/>
          <w:lang w:bidi="zh-TW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23.培育省级产业数字化服务商。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注册在我县或入驻在我县飞地园区的产业数字化服务机构，首次入围省级产业数字化服务商名单的，给予10万元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奖励，之后每年为我县企业提供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相关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服务的，按实际销售收入的5%给予奖励，最高限额100万元。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六、强化创新发展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24.支持企业创新能力提升。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新认定为省、市级企业技术中心的分别给予100万元和10万元奖励。对新认定为省级工业旅游示范基地、服务型制造企业（平台）、智能制造工程服务公司的分别给予10万元奖励。被认定为国内、省内、市内的首台（套）重大技术装备、首批次新材料，分别给予50万元、20万元、10万元奖励。企业首年度购买首台（套）产品保险的，在享受省财政补贴外，再给予10%保费补助。对每个通过鉴定（验收）的省级以上新产品（新技术）给予6万元奖励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每个企业年度最高奖励12万。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对评为省优秀的再给予10万元奖励；被认定为“浙江制造精品”产品的，给予10万元奖励。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25.鼓励发展工业设计。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对经认定为国家级、省级工业设计研究院（重点企业设计院）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、工业设计中心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的企业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，分别给予100万元、50万元奖励，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对其购置实验设备、设计软件和数据库等相关投入给予50%补助，最高不超过1000万元。工业设计企业（中心）参加经主管部门认定的国际级、国家级、省级工业设计大奖赛并获得优秀工业设计奖的，分别给予50万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、20万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和10万元奖励。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26.支持军民融合产业发展。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首次获得武器装备科研生产单位保密资格证、武器装备科研生产许可证、装备承制单位资格认证的企业，每项认证给予20万元奖励。相关承研承制证书同一年度一次性办全的给予80万元奖励，单个证书不再重复奖励。对军方设立军代表室并开展实质性工作的企业，给予10万元奖励。对首次获得国家、省军民融合示范企业的单位，分别给予80万元、30万元奖励。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5"/>
        <w:contextualSpacing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27.支持小微企业园建设提升。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鼓励引进非政府投资的民营运营机构。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对认定为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国家级小型微型企业创业创新示范基地、省级小微企业创业创新示范园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等荣誉或评定为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3星、4星、5星小微企业园的，给予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分档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奖励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提档的给予差额奖励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。</w:t>
      </w:r>
    </w:p>
    <w:tbl>
      <w:tblPr>
        <w:tblStyle w:val="7"/>
        <w:tblW w:w="8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1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6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小微园荣誉或等级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奖励额度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国家级小型微型企业创业创新示范基地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省级小微企业创业创新示范园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省级数字化示范园区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省级数字化试点园区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国家级中小企业公共服务示范平台（或优秀运营机构）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省级中小企业公共服务示范平台（或优秀运营机构）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5星小微企业园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4星小微企业园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3星小微企业园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七、助推开放发展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28.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鼓励外商投资。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支持外商投资、增资或利润再投资等形式经营发展，对有实际利用外资的制造业企业按实际利用</w:t>
      </w:r>
      <w:r>
        <w:rPr>
          <w:rFonts w:hint="eastAsia" w:ascii="Times New Roman" w:hAnsi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外资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每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1美元0.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元人民币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的标准予以奖励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，单家企业最高不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超过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00万人民币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实际利用外资按商务部统计口径为准。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29.鼓励出口稳增长。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支持企业开展对外贸易，对合法、规范经营的企业予以奖励。对出口企业当年新获得“中国出口名牌”“浙江出口名牌”“丽水出口名牌”的，分别给予30万元、10万元和5万元奖励。同年同一品牌按就高不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重复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原则奖励。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30.支持企业参加展会。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对参加发改、经信、商务、科技部门组织的国（境）内展会的企业，其摊位费给予全额补助，每家每次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最高限额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15万元。对参加发改、经信、商务和科技部门组织的国（境）外展会以及自行参加其他展会的企业，按照摊位费的70%给予奖励，每家企业每次最高奖励不超过10万元。对参加国（境）内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展会的企业，交通费和住宿费补助最高限额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分别为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2000元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10000元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31.支持企业应对国际贸易风险。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对参加“两反一保”等各类贸易摩擦案件应诉的，在案件取得终审结果后，对其发生的律师代理费用按实际支付额的 50%给予补助单个企业单个案件最高补助不超过人民币 10 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对企业自行投保出口信用保险且投保在本地保险公司的，给予出口信用保险费和资信调查费70%的补助。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八、加大金融支持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32.加强产业基金引导。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具体参照县产业基金管理办法执行。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33.鼓励对接资本市场。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具体参照县股改政策执行。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34.支持政策性融资担保。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具体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担保业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务管理暂行办法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执行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jc w:val="left"/>
        <w:textAlignment w:val="auto"/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35.加强信贷支持力度。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u w:val="none"/>
        </w:rPr>
        <w:t>支持银行金融机构针对重点行业开发特色信贷产品，具体补偿方式以各产品管理办法为准。</w:t>
      </w:r>
      <w:r>
        <w:rPr>
          <w:rFonts w:ascii="宋体" w:hAnsi="宋体" w:cs="宋体"/>
          <w:color w:val="auto"/>
          <w:kern w:val="0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 xml:space="preserve">九、扶持对象和条件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1.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在我县工商登记、按相关规定报送数据的制造业企业、产业数字化服务机构、工业设计等条款中明确的单位可享受本政策（电力、热力、燃气及水生产和供应业，采矿业含机制砂、石材加工等资源类企业不享受本政策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对当年度内发生涉税刑事案件、较大安全生产事故、重大环境污染事故、未缴清所欠税款和被列入严重失信名单、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年度“亩均论英雄”综合评价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D 类的企业不得享受本政策。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对年度“亩均论英雄”综合评价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C类企业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按本政策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原7条（鼓励亩均销售上台阶）、原11条（鼓励技术技改）、原12条（鼓励数字化智能化改造）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 xml:space="preserve">奖励标准的 60%兑现。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 xml:space="preserve">企业可同时享受本政策和省级及以上扶持政策（明确注明不同时享受的除外）；企业同一事项涉及本政策以及县内其他政策多项补助或奖励的，按就高不重复原则执行（明确注明可同时享受的除外）。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left"/>
        <w:textAlignment w:val="auto"/>
        <w:rPr>
          <w:color w:val="auto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投产满 3 年的规下企业每年享受本政策奖补资金合计不超过 企业当年地方综合贡献部分。对重大工业项目（含重大技改项目），可采取“一事一议”政策。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34"/>
        <w:textAlignment w:val="auto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highlight w:val="none"/>
          <w:u w:val="none"/>
        </w:rPr>
        <w:t>十、附则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本文件自发布之日起施行，2024年1月1日至本文件发布日的政策兑现参照执行。《遂昌县推进生态工业和数字经济高质量绿色发展三十三条》（遂委办发〔2022〕24号）同时废止。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施行过程中如遇法律法规和上级新政策规定，亦作相应调整。涉及已废止的政策扶持期限内的相关内容或相关项目，本文件没有规定的，按原有政策执行；本文件有规定的，由当事人择一适用。</w:t>
      </w:r>
    </w:p>
    <w:p>
      <w:pPr>
        <w:rPr>
          <w:color w:val="auto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91313A8"/>
    <w:rsid w:val="08227352"/>
    <w:rsid w:val="14E57D11"/>
    <w:rsid w:val="191313A8"/>
    <w:rsid w:val="2C0C48D4"/>
    <w:rsid w:val="2EE93729"/>
    <w:rsid w:val="4BC01538"/>
    <w:rsid w:val="53772021"/>
    <w:rsid w:val="66491E9E"/>
    <w:rsid w:val="6A6A2EDF"/>
    <w:rsid w:val="702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2022-06-21T03:07:00Z</dcterms:created>
  <dc:creator>县委办秘书科</dc:creator>
  <cp:lastModifiedBy>郑肖丽</cp:lastModifiedBy>
  <dcterms:modified xsi:type="dcterms:W3CDTF">2023-12-04T06:30:28Z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504FABBDE08744EC81CB8381B8231849_13</vt:lpwstr>
  </property>
</Properties>
</file>