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ascii="Helvetica" w:hAnsi="Helvetica" w:eastAsia="Helvetica" w:cs="Helvetica"/>
          <w:i w:val="0"/>
          <w:iCs w:val="0"/>
          <w:caps w:val="0"/>
          <w:color w:val="474747"/>
          <w:spacing w:val="0"/>
          <w:sz w:val="44"/>
          <w:szCs w:val="44"/>
        </w:rPr>
      </w:pPr>
      <w:r>
        <w:rPr>
          <w:rFonts w:ascii="方正小标宋简体" w:hAnsi="方正小标宋简体" w:eastAsia="方正小标宋简体" w:cs="方正小标宋简体"/>
          <w:i w:val="0"/>
          <w:iCs w:val="0"/>
          <w:caps w:val="0"/>
          <w:color w:val="333333"/>
          <w:spacing w:val="0"/>
          <w:sz w:val="44"/>
          <w:szCs w:val="44"/>
          <w:shd w:val="clear" w:fill="FFFFFF"/>
        </w:rPr>
        <w:t>关于公布</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333333"/>
          <w:spacing w:val="0"/>
          <w:sz w:val="44"/>
          <w:szCs w:val="44"/>
          <w:shd w:val="clear" w:fill="FFFFFF"/>
        </w:rPr>
        <w:t>诸暨市人民政府及办公室停止执行的行政规范性文件目录</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w:t>
      </w:r>
      <w:r>
        <w:rPr>
          <w:rFonts w:ascii="方正小标宋简体" w:hAnsi="方正小标宋简体" w:eastAsia="方正小标宋简体" w:cs="方正小标宋简体"/>
          <w:i w:val="0"/>
          <w:iCs w:val="0"/>
          <w:caps w:val="0"/>
          <w:color w:val="333333"/>
          <w:spacing w:val="0"/>
          <w:sz w:val="44"/>
          <w:szCs w:val="44"/>
          <w:shd w:val="clear" w:fill="FFFFFF"/>
        </w:rPr>
        <w:t>的通知（征求意见稿）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Helvetica" w:hAnsi="Helvetica" w:eastAsia="Helvetica" w:cs="Helvetica"/>
          <w:i w:val="0"/>
          <w:iCs w:val="0"/>
          <w:caps w:val="0"/>
          <w:color w:val="474747"/>
          <w:spacing w:val="0"/>
          <w:sz w:val="30"/>
          <w:szCs w:val="30"/>
        </w:rPr>
      </w:pPr>
      <w:r>
        <w:rPr>
          <w:rFonts w:ascii="仿宋" w:hAnsi="仿宋" w:eastAsia="仿宋" w:cs="仿宋"/>
          <w:i w:val="0"/>
          <w:iCs w:val="0"/>
          <w:caps w:val="0"/>
          <w:color w:val="333333"/>
          <w:spacing w:val="0"/>
          <w:sz w:val="31"/>
          <w:szCs w:val="3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both"/>
        <w:textAlignment w:val="auto"/>
        <w:rPr>
          <w:rFonts w:hint="default" w:ascii="Helvetica" w:hAnsi="Helvetica" w:eastAsia="Helvetica" w:cs="Helvetica"/>
          <w:i w:val="0"/>
          <w:iCs w:val="0"/>
          <w:caps w:val="0"/>
          <w:color w:val="474747"/>
          <w:spacing w:val="0"/>
          <w:sz w:val="30"/>
          <w:szCs w:val="30"/>
        </w:rPr>
      </w:pPr>
      <w:r>
        <w:rPr>
          <w:rFonts w:hint="eastAsia" w:ascii="仿宋" w:hAnsi="仿宋" w:eastAsia="仿宋" w:cs="仿宋"/>
          <w:i w:val="0"/>
          <w:iCs w:val="0"/>
          <w:caps w:val="0"/>
          <w:color w:val="333333"/>
          <w:spacing w:val="0"/>
          <w:sz w:val="31"/>
          <w:szCs w:val="31"/>
          <w:shd w:val="clear" w:fill="FFFFFF"/>
        </w:rPr>
        <w:t>根据《浙江省行政规范性文件管理办法》</w:t>
      </w:r>
      <w:r>
        <w:rPr>
          <w:rFonts w:hint="eastAsia" w:ascii="仿宋" w:hAnsi="仿宋" w:eastAsia="仿宋" w:cs="仿宋"/>
          <w:i w:val="0"/>
          <w:iCs w:val="0"/>
          <w:caps w:val="0"/>
          <w:color w:val="333333"/>
          <w:spacing w:val="0"/>
          <w:sz w:val="31"/>
          <w:szCs w:val="31"/>
          <w:shd w:val="clear" w:fill="FFFFFF"/>
          <w:lang w:eastAsia="zh-CN"/>
        </w:rPr>
        <w:t>和国家有关部委关于开展涉及不平等对待企业法律法规政策清理工作部署要求</w:t>
      </w:r>
      <w:r>
        <w:rPr>
          <w:rFonts w:hint="eastAsia" w:ascii="仿宋" w:hAnsi="仿宋" w:eastAsia="仿宋" w:cs="仿宋"/>
          <w:i w:val="0"/>
          <w:iCs w:val="0"/>
          <w:caps w:val="0"/>
          <w:color w:val="333333"/>
          <w:spacing w:val="0"/>
          <w:sz w:val="31"/>
          <w:szCs w:val="31"/>
          <w:shd w:val="clear" w:fill="FFFFFF"/>
        </w:rPr>
        <w:t>，市</w:t>
      </w:r>
      <w:r>
        <w:rPr>
          <w:rFonts w:hint="eastAsia" w:ascii="仿宋" w:hAnsi="仿宋" w:eastAsia="仿宋" w:cs="仿宋"/>
          <w:i w:val="0"/>
          <w:iCs w:val="0"/>
          <w:caps w:val="0"/>
          <w:color w:val="333333"/>
          <w:spacing w:val="0"/>
          <w:sz w:val="31"/>
          <w:szCs w:val="31"/>
          <w:shd w:val="clear" w:fill="FFFFFF"/>
          <w:lang w:eastAsia="zh-CN"/>
        </w:rPr>
        <w:t>司法局对各部门上报的修改意见进行</w:t>
      </w:r>
      <w:r>
        <w:rPr>
          <w:rFonts w:hint="eastAsia" w:ascii="仿宋" w:hAnsi="仿宋" w:eastAsia="仿宋" w:cs="仿宋"/>
          <w:i w:val="0"/>
          <w:iCs w:val="0"/>
          <w:caps w:val="0"/>
          <w:color w:val="333333"/>
          <w:spacing w:val="0"/>
          <w:sz w:val="31"/>
          <w:szCs w:val="31"/>
          <w:shd w:val="clear" w:fill="FFFFFF"/>
        </w:rPr>
        <w:t>初步核对</w:t>
      </w:r>
      <w:r>
        <w:rPr>
          <w:rFonts w:hint="eastAsia" w:ascii="仿宋" w:hAnsi="仿宋" w:eastAsia="仿宋" w:cs="仿宋"/>
          <w:i w:val="0"/>
          <w:iCs w:val="0"/>
          <w:caps w:val="0"/>
          <w:color w:val="333333"/>
          <w:spacing w:val="0"/>
          <w:sz w:val="31"/>
          <w:szCs w:val="31"/>
          <w:shd w:val="clear" w:fill="FFFFFF"/>
          <w:lang w:eastAsia="zh-CN"/>
        </w:rPr>
        <w:t>，梳理形成</w:t>
      </w:r>
      <w:r>
        <w:rPr>
          <w:rFonts w:hint="eastAsia" w:ascii="仿宋" w:hAnsi="仿宋" w:eastAsia="仿宋" w:cs="仿宋"/>
          <w:i w:val="0"/>
          <w:iCs w:val="0"/>
          <w:caps w:val="0"/>
          <w:color w:val="333333"/>
          <w:spacing w:val="0"/>
          <w:sz w:val="31"/>
          <w:szCs w:val="31"/>
          <w:shd w:val="clear" w:fill="FFFFFF"/>
        </w:rPr>
        <w:t>《诸暨市人民政府及办公室停止执行的行政规范性文件目录（征求意见稿）》。现将清理结果公示如下：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textAlignment w:val="auto"/>
        <w:rPr>
          <w:rFonts w:hint="eastAsia" w:ascii="Helvetica" w:hAnsi="Helvetica" w:eastAsia="宋体" w:cs="Helvetica"/>
          <w:i w:val="0"/>
          <w:iCs w:val="0"/>
          <w:caps w:val="0"/>
          <w:color w:val="474747"/>
          <w:spacing w:val="0"/>
          <w:sz w:val="30"/>
          <w:szCs w:val="30"/>
          <w:lang w:eastAsia="zh-CN"/>
        </w:rPr>
      </w:pPr>
      <w:r>
        <w:rPr>
          <w:rFonts w:hint="eastAsia" w:ascii="仿宋" w:hAnsi="仿宋" w:eastAsia="仿宋" w:cs="仿宋"/>
          <w:i w:val="0"/>
          <w:iCs w:val="0"/>
          <w:caps w:val="0"/>
          <w:color w:val="333333"/>
          <w:spacing w:val="0"/>
          <w:sz w:val="31"/>
          <w:szCs w:val="31"/>
          <w:shd w:val="clear" w:fill="FFFFFF"/>
        </w:rPr>
        <w:t>附件：1.诸暨市人民政府及办公室停止执行的行政规范性文件目录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textAlignment w:val="auto"/>
        <w:rPr>
          <w:rFonts w:hint="default" w:ascii="Helvetica" w:hAnsi="Helvetica" w:eastAsia="Helvetica" w:cs="Helvetica"/>
          <w:i w:val="0"/>
          <w:iCs w:val="0"/>
          <w:caps w:val="0"/>
          <w:color w:val="474747"/>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15"/>
        <w:jc w:val="center"/>
        <w:textAlignment w:val="auto"/>
        <w:rPr>
          <w:rFonts w:hint="default" w:ascii="Helvetica" w:hAnsi="Helvetica" w:eastAsia="Helvetica" w:cs="Helvetica"/>
          <w:i w:val="0"/>
          <w:iCs w:val="0"/>
          <w:caps w:val="0"/>
          <w:color w:val="474747"/>
          <w:spacing w:val="0"/>
          <w:sz w:val="30"/>
          <w:szCs w:val="30"/>
        </w:rPr>
      </w:pPr>
      <w:r>
        <w:rPr>
          <w:rFonts w:hint="eastAsia" w:ascii="仿宋" w:hAnsi="仿宋" w:eastAsia="仿宋" w:cs="仿宋"/>
          <w:i w:val="0"/>
          <w:iCs w:val="0"/>
          <w:caps w:val="0"/>
          <w:color w:val="333333"/>
          <w:spacing w:val="0"/>
          <w:sz w:val="31"/>
          <w:szCs w:val="31"/>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诸暨市司法局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right"/>
        <w:textAlignment w:val="auto"/>
        <w:rPr>
          <w:rFonts w:hint="default" w:ascii="Helvetica" w:hAnsi="Helvetica" w:eastAsia="Helvetica" w:cs="Helvetica"/>
          <w:i w:val="0"/>
          <w:iCs w:val="0"/>
          <w:caps w:val="0"/>
          <w:color w:val="474747"/>
          <w:spacing w:val="0"/>
          <w:sz w:val="30"/>
          <w:szCs w:val="30"/>
        </w:rPr>
      </w:pPr>
      <w:r>
        <w:rPr>
          <w:rFonts w:hint="eastAsia" w:ascii="仿宋" w:hAnsi="仿宋" w:eastAsia="仿宋" w:cs="仿宋"/>
          <w:i w:val="0"/>
          <w:iCs w:val="0"/>
          <w:caps w:val="0"/>
          <w:color w:val="333333"/>
          <w:spacing w:val="0"/>
          <w:sz w:val="31"/>
          <w:szCs w:val="31"/>
          <w:shd w:val="clear" w:fill="FFFFFF"/>
        </w:rPr>
        <w:t>                                 202</w:t>
      </w:r>
      <w:r>
        <w:rPr>
          <w:rFonts w:hint="eastAsia" w:ascii="仿宋" w:hAnsi="仿宋" w:eastAsia="仿宋" w:cs="仿宋"/>
          <w:i w:val="0"/>
          <w:iCs w:val="0"/>
          <w:caps w:val="0"/>
          <w:color w:val="333333"/>
          <w:spacing w:val="0"/>
          <w:sz w:val="31"/>
          <w:szCs w:val="31"/>
          <w:shd w:val="clear" w:fill="FFFFFF"/>
          <w:lang w:val="en-US" w:eastAsia="zh-CN"/>
        </w:rPr>
        <w:t>4</w:t>
      </w:r>
      <w:r>
        <w:rPr>
          <w:rFonts w:hint="eastAsia" w:ascii="仿宋" w:hAnsi="仿宋" w:eastAsia="仿宋" w:cs="仿宋"/>
          <w:i w:val="0"/>
          <w:iCs w:val="0"/>
          <w:caps w:val="0"/>
          <w:color w:val="333333"/>
          <w:spacing w:val="0"/>
          <w:sz w:val="31"/>
          <w:szCs w:val="31"/>
          <w:shd w:val="clear" w:fill="FFFFFF"/>
        </w:rPr>
        <w:t>年</w:t>
      </w:r>
      <w:r>
        <w:rPr>
          <w:rFonts w:hint="eastAsia" w:ascii="仿宋" w:hAnsi="仿宋" w:eastAsia="仿宋" w:cs="仿宋"/>
          <w:i w:val="0"/>
          <w:iCs w:val="0"/>
          <w:caps w:val="0"/>
          <w:color w:val="333333"/>
          <w:spacing w:val="0"/>
          <w:sz w:val="31"/>
          <w:szCs w:val="31"/>
          <w:shd w:val="clear" w:fill="FFFFFF"/>
          <w:lang w:val="en-US" w:eastAsia="zh-CN"/>
        </w:rPr>
        <w:t>9</w:t>
      </w:r>
      <w:r>
        <w:rPr>
          <w:rFonts w:hint="eastAsia" w:ascii="仿宋" w:hAnsi="仿宋" w:eastAsia="仿宋" w:cs="仿宋"/>
          <w:i w:val="0"/>
          <w:iCs w:val="0"/>
          <w:caps w:val="0"/>
          <w:color w:val="333333"/>
          <w:spacing w:val="0"/>
          <w:sz w:val="31"/>
          <w:szCs w:val="31"/>
          <w:shd w:val="clear" w:fill="FFFFFF"/>
        </w:rPr>
        <w:t>月</w:t>
      </w:r>
      <w:r>
        <w:rPr>
          <w:rFonts w:hint="eastAsia" w:ascii="仿宋" w:hAnsi="仿宋" w:eastAsia="仿宋" w:cs="仿宋"/>
          <w:i w:val="0"/>
          <w:iCs w:val="0"/>
          <w:caps w:val="0"/>
          <w:color w:val="333333"/>
          <w:spacing w:val="0"/>
          <w:sz w:val="31"/>
          <w:szCs w:val="31"/>
          <w:shd w:val="clear" w:fill="FFFFFF"/>
          <w:lang w:val="en-US" w:eastAsia="zh-CN"/>
        </w:rPr>
        <w:t>13</w:t>
      </w:r>
      <w:r>
        <w:rPr>
          <w:rFonts w:hint="eastAsia" w:ascii="仿宋" w:hAnsi="仿宋" w:eastAsia="仿宋" w:cs="仿宋"/>
          <w:i w:val="0"/>
          <w:iCs w:val="0"/>
          <w:caps w:val="0"/>
          <w:color w:val="333333"/>
          <w:spacing w:val="0"/>
          <w:sz w:val="31"/>
          <w:szCs w:val="31"/>
          <w:shd w:val="clear" w:fill="FFFFFF"/>
        </w:rPr>
        <w:t>日</w:t>
      </w:r>
    </w:p>
    <w:p>
      <w:pPr>
        <w:rPr>
          <w:rFonts w:hint="eastAsia" w:ascii="黑体" w:eastAsia="黑体"/>
          <w:bCs/>
          <w:sz w:val="32"/>
          <w:szCs w:val="32"/>
        </w:rPr>
      </w:pPr>
    </w:p>
    <w:p>
      <w:pPr>
        <w:rPr>
          <w:rFonts w:hint="eastAsia" w:ascii="黑体" w:eastAsia="黑体"/>
          <w:bCs/>
          <w:sz w:val="32"/>
          <w:szCs w:val="32"/>
        </w:rPr>
      </w:pPr>
    </w:p>
    <w:p>
      <w:pPr>
        <w:rPr>
          <w:rFonts w:hint="eastAsia" w:ascii="黑体" w:eastAsia="黑体"/>
          <w:bCs/>
          <w:sz w:val="32"/>
          <w:szCs w:val="32"/>
        </w:rPr>
      </w:pPr>
    </w:p>
    <w:p>
      <w:pPr>
        <w:rPr>
          <w:rFonts w:hint="eastAsia" w:ascii="黑体" w:eastAsia="黑体"/>
          <w:bCs/>
          <w:sz w:val="32"/>
          <w:szCs w:val="32"/>
        </w:rPr>
      </w:pPr>
    </w:p>
    <w:p>
      <w:pPr>
        <w:rPr>
          <w:rFonts w:hint="eastAsia" w:ascii="黑体" w:eastAsia="黑体"/>
          <w:bCs/>
          <w:sz w:val="32"/>
          <w:szCs w:val="32"/>
        </w:rPr>
      </w:pPr>
    </w:p>
    <w:p>
      <w:pPr>
        <w:rPr>
          <w:rFonts w:hint="eastAsia" w:ascii="黑体" w:eastAsia="黑体"/>
          <w:bCs/>
          <w:sz w:val="32"/>
          <w:szCs w:val="32"/>
        </w:rPr>
      </w:pPr>
    </w:p>
    <w:p>
      <w:pPr>
        <w:rPr>
          <w:rFonts w:hint="eastAsia" w:ascii="黑体" w:eastAsia="黑体"/>
          <w:bCs/>
          <w:sz w:val="32"/>
          <w:szCs w:val="32"/>
        </w:rPr>
      </w:pPr>
    </w:p>
    <w:p>
      <w:pPr>
        <w:rPr>
          <w:rFonts w:hint="eastAsia" w:ascii="黑体" w:eastAsia="黑体"/>
          <w:bCs/>
          <w:sz w:val="32"/>
          <w:szCs w:val="32"/>
        </w:rPr>
      </w:pPr>
    </w:p>
    <w:p>
      <w:pPr>
        <w:rPr>
          <w:rFonts w:ascii="黑体" w:eastAsia="黑体"/>
          <w:bCs/>
          <w:sz w:val="32"/>
          <w:szCs w:val="32"/>
        </w:rPr>
      </w:pPr>
      <w:r>
        <w:rPr>
          <w:rFonts w:hint="eastAsia" w:ascii="黑体" w:eastAsia="黑体"/>
          <w:bCs/>
          <w:sz w:val="32"/>
          <w:szCs w:val="32"/>
        </w:rPr>
        <w:t>附件1</w:t>
      </w:r>
    </w:p>
    <w:p>
      <w:pPr>
        <w:spacing w:beforeLines="50" w:afterLines="100"/>
        <w:jc w:val="center"/>
        <w:rPr>
          <w:rFonts w:ascii="方正小标宋简体" w:eastAsia="方正小标宋简体"/>
          <w:sz w:val="40"/>
          <w:szCs w:val="32"/>
        </w:rPr>
      </w:pPr>
      <w:r>
        <w:rPr>
          <w:rFonts w:hint="eastAsia" w:ascii="方正小标宋简体" w:eastAsia="方正小标宋简体"/>
          <w:sz w:val="40"/>
          <w:szCs w:val="32"/>
        </w:rPr>
        <w:t>诸暨市人民政府及办公室停止执行的行政规范性文件目录</w:t>
      </w:r>
    </w:p>
    <w:tbl>
      <w:tblPr>
        <w:tblStyle w:val="4"/>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5303"/>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14" w:type="dxa"/>
            <w:vAlign w:val="center"/>
          </w:tcPr>
          <w:p>
            <w:pPr>
              <w:jc w:val="center"/>
              <w:rPr>
                <w:rFonts w:ascii="仿宋_GB2312" w:eastAsia="仿宋_GB2312"/>
                <w:sz w:val="22"/>
                <w:szCs w:val="22"/>
              </w:rPr>
            </w:pPr>
            <w:r>
              <w:rPr>
                <w:rFonts w:hint="eastAsia" w:ascii="仿宋_GB2312" w:eastAsia="仿宋_GB2312"/>
                <w:sz w:val="22"/>
                <w:szCs w:val="22"/>
              </w:rPr>
              <w:t>序号</w:t>
            </w:r>
          </w:p>
        </w:tc>
        <w:tc>
          <w:tcPr>
            <w:tcW w:w="5303" w:type="dxa"/>
            <w:vAlign w:val="center"/>
          </w:tcPr>
          <w:p>
            <w:pPr>
              <w:jc w:val="center"/>
              <w:rPr>
                <w:rFonts w:ascii="仿宋_GB2312" w:eastAsia="仿宋_GB2312"/>
                <w:sz w:val="22"/>
                <w:szCs w:val="22"/>
              </w:rPr>
            </w:pPr>
            <w:r>
              <w:rPr>
                <w:rFonts w:hint="eastAsia" w:ascii="仿宋_GB2312" w:eastAsia="仿宋_GB2312"/>
                <w:sz w:val="22"/>
                <w:szCs w:val="22"/>
              </w:rPr>
              <w:t>题　名</w:t>
            </w:r>
          </w:p>
        </w:tc>
        <w:tc>
          <w:tcPr>
            <w:tcW w:w="2828" w:type="dxa"/>
            <w:vAlign w:val="center"/>
          </w:tcPr>
          <w:p>
            <w:pPr>
              <w:jc w:val="center"/>
              <w:rPr>
                <w:rFonts w:ascii="仿宋_GB2312" w:eastAsia="仿宋_GB2312"/>
                <w:sz w:val="22"/>
                <w:szCs w:val="22"/>
              </w:rPr>
            </w:pPr>
            <w:r>
              <w:rPr>
                <w:rFonts w:hint="eastAsia" w:ascii="仿宋_GB2312" w:eastAsia="仿宋_GB2312"/>
                <w:sz w:val="22"/>
                <w:szCs w:val="22"/>
              </w:rPr>
              <w:t>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14" w:type="dxa"/>
            <w:vAlign w:val="center"/>
          </w:tcPr>
          <w:p>
            <w:pPr>
              <w:keepNext w:val="0"/>
              <w:keepLines w:val="0"/>
              <w:widowControl/>
              <w:suppressLineNumbers w:val="0"/>
              <w:ind w:left="0" w:leftChars="0" w:right="0" w:rightChars="0"/>
              <w:jc w:val="center"/>
              <w:textAlignment w:val="center"/>
              <w:rPr>
                <w:rFonts w:ascii="仿宋_GB2312" w:eastAsia="仿宋_GB2312"/>
              </w:rPr>
            </w:pPr>
            <w:r>
              <w:rPr>
                <w:rFonts w:hint="eastAsia" w:ascii="仿宋_GB2312" w:hAnsi="宋体" w:eastAsia="仿宋_GB2312" w:cs="仿宋_GB2312"/>
                <w:i w:val="0"/>
                <w:iCs w:val="0"/>
                <w:color w:val="000000"/>
                <w:kern w:val="0"/>
                <w:sz w:val="21"/>
                <w:szCs w:val="21"/>
                <w:u w:val="none"/>
                <w:lang w:val="en-US" w:eastAsia="zh-CN" w:bidi="ar"/>
              </w:rPr>
              <w:t>1</w:t>
            </w:r>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诸暨市人民政府关于贯彻落实《浙江省人口与计划生育条例》若干规定的通知</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诸政发〔2003〕</w:t>
            </w:r>
            <w:r>
              <w:rPr>
                <w:rFonts w:hint="default" w:ascii="仿宋" w:hAnsi="仿宋" w:eastAsia="仿宋" w:cs="仿宋"/>
                <w:i w:val="0"/>
                <w:iCs w:val="0"/>
                <w:color w:val="000000"/>
                <w:kern w:val="0"/>
                <w:sz w:val="22"/>
                <w:szCs w:val="22"/>
                <w:u w:val="none"/>
                <w:lang w:val="en-US" w:eastAsia="zh-CN" w:bidi="ar"/>
              </w:rPr>
              <w:t>24</w:t>
            </w:r>
            <w:r>
              <w:rPr>
                <w:rFonts w:hint="eastAsia" w:ascii="仿宋" w:hAnsi="仿宋" w:eastAsia="仿宋" w:cs="仿宋"/>
                <w:i w:val="0"/>
                <w:iCs w:val="0"/>
                <w:color w:val="000000"/>
                <w:kern w:val="0"/>
                <w:sz w:val="22"/>
                <w:szCs w:val="22"/>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14" w:type="dxa"/>
            <w:vAlign w:val="center"/>
          </w:tcPr>
          <w:p>
            <w:pPr>
              <w:keepNext w:val="0"/>
              <w:keepLines w:val="0"/>
              <w:widowControl/>
              <w:suppressLineNumbers w:val="0"/>
              <w:ind w:left="0" w:leftChars="0" w:right="0" w:rightChars="0"/>
              <w:jc w:val="center"/>
              <w:textAlignment w:val="center"/>
              <w:rPr>
                <w:rFonts w:ascii="仿宋_GB2312" w:eastAsia="仿宋_GB2312"/>
              </w:rPr>
            </w:pPr>
            <w:r>
              <w:rPr>
                <w:rFonts w:hint="eastAsia" w:ascii="仿宋_GB2312" w:hAnsi="宋体" w:eastAsia="仿宋_GB2312" w:cs="仿宋_GB2312"/>
                <w:i w:val="0"/>
                <w:iCs w:val="0"/>
                <w:color w:val="000000"/>
                <w:kern w:val="0"/>
                <w:sz w:val="21"/>
                <w:szCs w:val="21"/>
                <w:u w:val="none"/>
                <w:lang w:val="en-US" w:eastAsia="zh-CN" w:bidi="ar"/>
              </w:rPr>
              <w:t>2</w:t>
            </w:r>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诸暨市人民政府关于印发诸暨市环境噪声污染防治管理办法的通知</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诸政发〔2012〕59号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4" w:type="dxa"/>
            <w:vAlign w:val="center"/>
          </w:tcPr>
          <w:p>
            <w:pPr>
              <w:keepNext w:val="0"/>
              <w:keepLines w:val="0"/>
              <w:widowControl/>
              <w:suppressLineNumbers w:val="0"/>
              <w:ind w:left="0" w:leftChars="0" w:right="0" w:rightChars="0"/>
              <w:jc w:val="center"/>
              <w:textAlignment w:val="center"/>
              <w:rPr>
                <w:rFonts w:ascii="仿宋_GB2312" w:eastAsia="仿宋_GB2312"/>
              </w:rPr>
            </w:pPr>
            <w:r>
              <w:rPr>
                <w:rFonts w:hint="eastAsia" w:ascii="仿宋_GB2312" w:hAnsi="宋体" w:eastAsia="仿宋_GB2312" w:cs="仿宋_GB2312"/>
                <w:i w:val="0"/>
                <w:iCs w:val="0"/>
                <w:color w:val="000000"/>
                <w:kern w:val="0"/>
                <w:sz w:val="21"/>
                <w:szCs w:val="21"/>
                <w:u w:val="none"/>
                <w:lang w:val="en-US" w:eastAsia="zh-CN" w:bidi="ar"/>
              </w:rPr>
              <w:t>3</w:t>
            </w:r>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诸暨市人民政府办公室关于印发诸暨市饮用水水源保护办法的通知</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诸政办发〔2013〕158号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4" w:type="dxa"/>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诸暨市人民政府办公室关于明确农村住宅拆翻改建审批有关事项的通知</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诸政办发〔2015〕139号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dxa"/>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w:t>
            </w:r>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诸暨市人民政府办公室关于印发诸暨市建材行业整治提升实施方案的通知</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诸政办发〔2018〕16号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4" w:type="dxa"/>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w:t>
            </w:r>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诸暨市人民政府办公室关于印发诸暨市工业企业亩均效益综合评价实施办法（试行）的通知</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诸政办发〔2018〕85号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4" w:type="dxa"/>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诸暨市人民政府办公室关于加快农业产业高质量发展的政策意见</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诸政办发〔2020〕33号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4" w:type="dxa"/>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诸暨市人民政府办公室关于印发诸暨市加快推进水产养殖绿色发展实施方案(2020-2022年)的通知</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诸政办发〔2020〕48号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4" w:type="dxa"/>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9</w:t>
            </w:r>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诸暨市人民政府办公室关于印发《诸暨市共享电动自行车运营管理办法（试行）》的通知</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诸政办发〔2023〕22号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4" w:type="dxa"/>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10</w:t>
            </w:r>
            <w:bookmarkStart w:id="0" w:name="_GoBack"/>
            <w:bookmarkEnd w:id="0"/>
          </w:p>
        </w:tc>
        <w:tc>
          <w:tcPr>
            <w:tcW w:w="530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诸暨市人民政府办公室关于印发《诸暨市城市道路（公路）临时占用、施工开挖管理办法（试行）》的通知</w:t>
            </w:r>
          </w:p>
        </w:tc>
        <w:tc>
          <w:tcPr>
            <w:tcW w:w="28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诸政办发〔2023〕31号</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91D93"/>
    <w:rsid w:val="3C682751"/>
    <w:rsid w:val="48706AE0"/>
    <w:rsid w:val="65791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2024-09-11T06:38:00Z</dcterms:created>
  <dc:creator>梧桐音倩</dc:creator>
  <cp:lastModifiedBy>梧桐音倩</cp:lastModifiedBy>
  <dcterms:modified xsi:type="dcterms:W3CDTF">2024-09-20T01:07:41Z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9E9FDA75D86E4BB3881C10E143A2C849</vt:lpwstr>
  </property>
</Properties>
</file>