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修改的行政规范性文件目录和修改内容</w:t>
      </w:r>
    </w:p>
    <w:bookmarkEnd w:id="0"/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170"/>
        <w:gridCol w:w="1950"/>
        <w:gridCol w:w="8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1"/>
                <w:szCs w:val="21"/>
              </w:rPr>
              <w:t>文件名称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1"/>
                <w:szCs w:val="21"/>
              </w:rPr>
              <w:t>文号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1"/>
                <w:szCs w:val="21"/>
              </w:rPr>
              <w:t>修改内容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绍兴市民政局 绍兴市财政局关于印发《绍兴市支持社会组织高质量发展扶持资金实施细则》的通知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绍市民〔202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〕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" w:eastAsia="zh-CN"/>
              </w:rPr>
              <w:t>第四大点中：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" w:eastAsia="zh-CN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" w:eastAsia="zh-CN"/>
              </w:rPr>
              <w:t>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" w:eastAsia="zh-CN"/>
              </w:rPr>
              <w:t>)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扶持对象和条件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2.扶持对象所在的社会组织需在绍兴市民政局登记、近二年年检合格、获得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A及以上等级。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”修改为“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2.扶持对象所在的社会组织需在绍兴市民政局登记、近二年年检合格、获得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A及以上等级。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" w:eastAsia="zh-CN"/>
              </w:rPr>
              <w:t>第四大点中：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（三）申报程序（6）“获得1A及以上等级社会组织的文件”，修改为“获得3A及以上等级社会组织的文件”。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.第五大点中：（二）扶持标准，“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社会组织党组织党建工作，获得市级（不包括五星系列创建工作）、省级、国家级荣誉的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”，修改为“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社会组织党组织党建工作，获得市级（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市委市政府，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不包括五星系列创建工作）、省级、国家级荣誉的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”。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.第七大点中：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（一）扶持对象和条件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1.在绍兴市民政局登记且近二年年检合格的社会组织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”删去“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且近二年年检合格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”。（二）扶持标准，“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每个公益项目原则上按项目成本全额给予补助，但最多不超过10万元。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”修改为“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每个公益项目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原则上不超过10万元，但对于能够促进公益模式创新，提出创新性解决社会公共服务需求方案的公益创投项目，最高给予补助20万元。”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.第九大点中：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扶持资金严禁虚报套取、挤占挪用，不得用于基建工程、营利活动、购买固定资产、软件开发、考察旅游、偿还债务以及其他不符合规定用途的支出，不得从扶持资金中直接提取管理费用。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”修改为“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扶持资金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主要用于社会组织开展工作及实施项目（活动）所需办公、会议、培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训、信息化建设、固定资产、领军人才等方面支出，不得用于考察旅游、偿还债务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" w:eastAsia="zh-CN"/>
              </w:rPr>
              <w:t>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.附件：绍兴市社会组织高质量发展扶持资金申请表中，删去“业务主管单位（行业管理部门或党建工作机构）意见、盖章”、“申请单位经办人签名”。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/>
    <w:sectPr>
      <w:pgSz w:w="15840" w:h="12240" w:orient="landscape"/>
      <w:pgMar w:top="1519" w:right="1157" w:bottom="1463" w:left="1157" w:header="720" w:footer="720" w:gutter="0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21D08CD"/>
    <w:rsid w:val="021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_bb4d1f65-70a2-4f69-8af3-194d898dc300"/>
    <w:basedOn w:val="1"/>
    <w:qFormat/>
    <w:uiPriority w:val="99"/>
    <w:pPr>
      <w:spacing w:after="120" w:line="480" w:lineRule="auto"/>
      <w:ind w:left="200" w:leftChars="200"/>
    </w:pPr>
    <w:rPr>
      <w:rFonts w:cs="Calibri"/>
      <w:szCs w:val="21"/>
    </w:rPr>
  </w:style>
  <w:style w:type="paragraph" w:styleId="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2024-04-30T07:47:00Z</dcterms:created>
  <dc:creator>假前端</dc:creator>
  <cp:lastModifiedBy>假前端</cp:lastModifiedBy>
  <dcterms:modified xsi:type="dcterms:W3CDTF">2024-04-30T07:56:22Z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23A1E65A47944ECFBF400CE03798B69A_11</vt:lpwstr>
  </property>
</Properties>
</file>