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pacing w:val="2"/>
          <w:sz w:val="44"/>
          <w:szCs w:val="44"/>
          <w:highlight w:val="none"/>
        </w:rPr>
      </w:pPr>
      <w:r>
        <w:rPr>
          <w:rFonts w:hint="eastAsia" w:ascii="方正小标宋简体" w:hAnsi="方正小标宋简体" w:eastAsia="方正小标宋简体" w:cs="方正小标宋简体"/>
          <w:sz w:val="44"/>
          <w:szCs w:val="44"/>
          <w:highlight w:val="none"/>
        </w:rPr>
        <w:t>台州市科创母基金</w:t>
      </w:r>
      <w:r>
        <w:rPr>
          <w:rFonts w:hint="eastAsia" w:ascii="方正小标宋简体" w:hAnsi="方正小标宋简体" w:eastAsia="方正小标宋简体" w:cs="方正小标宋简体"/>
          <w:sz w:val="44"/>
          <w:szCs w:val="44"/>
          <w:highlight w:val="none"/>
          <w:lang w:val="en-US" w:eastAsia="zh-CN"/>
        </w:rPr>
        <w:t>实施</w:t>
      </w:r>
      <w:r>
        <w:rPr>
          <w:rFonts w:hint="eastAsia" w:ascii="方正小标宋简体" w:hAnsi="方正小标宋简体" w:eastAsia="方正小标宋简体" w:cs="方正小标宋简体"/>
          <w:spacing w:val="2"/>
          <w:sz w:val="44"/>
          <w:szCs w:val="44"/>
          <w:highlight w:val="none"/>
        </w:rPr>
        <w:t>方案</w:t>
      </w:r>
    </w:p>
    <w:p>
      <w:pPr>
        <w:spacing w:line="600" w:lineRule="exact"/>
        <w:jc w:val="center"/>
        <w:rPr>
          <w:rFonts w:hint="eastAsia" w:ascii="楷体_GB2312" w:hAnsi="楷体_GB2312" w:eastAsia="楷体_GB2312" w:cs="楷体_GB2312"/>
          <w:spacing w:val="2"/>
          <w:sz w:val="32"/>
          <w:szCs w:val="32"/>
          <w:highlight w:val="none"/>
          <w:lang w:eastAsia="zh-CN"/>
        </w:rPr>
      </w:pPr>
      <w:r>
        <w:rPr>
          <w:rFonts w:hint="eastAsia" w:ascii="楷体_GB2312" w:hAnsi="楷体_GB2312" w:eastAsia="楷体_GB2312" w:cs="楷体_GB2312"/>
          <w:spacing w:val="2"/>
          <w:sz w:val="32"/>
          <w:szCs w:val="32"/>
          <w:highlight w:val="none"/>
          <w:lang w:eastAsia="zh-CN"/>
        </w:rPr>
        <w:t>（征求意见稿）</w:t>
      </w:r>
    </w:p>
    <w:p>
      <w:pPr>
        <w:pStyle w:val="2"/>
        <w:rPr>
          <w:highlight w:val="none"/>
        </w:rPr>
      </w:pPr>
    </w:p>
    <w:p>
      <w:pPr>
        <w:rPr>
          <w:highlight w:val="none"/>
        </w:rPr>
      </w:pPr>
    </w:p>
    <w:p>
      <w:pPr>
        <w:widowControl w:val="0"/>
        <w:autoSpaceDE w:val="0"/>
        <w:autoSpaceDN w:val="0"/>
        <w:adjustRightInd w:val="0"/>
        <w:snapToGrid w:val="0"/>
        <w:spacing w:line="600" w:lineRule="exact"/>
        <w:ind w:firstLine="640" w:firstLineChars="200"/>
        <w:jc w:val="left"/>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为全面</w:t>
      </w:r>
      <w:r>
        <w:rPr>
          <w:rFonts w:hint="eastAsia" w:ascii="仿宋_GB2312" w:hAnsi="仿宋_GB2312" w:eastAsia="仿宋_GB2312" w:cs="仿宋_GB2312"/>
          <w:sz w:val="32"/>
          <w:szCs w:val="32"/>
          <w:highlight w:val="none"/>
          <w:lang w:val="en-US" w:eastAsia="zh-CN"/>
        </w:rPr>
        <w:t>贯彻</w:t>
      </w:r>
      <w:r>
        <w:rPr>
          <w:rFonts w:hint="eastAsia" w:ascii="仿宋_GB2312" w:hAnsi="仿宋_GB2312" w:eastAsia="仿宋_GB2312" w:cs="仿宋_GB2312"/>
          <w:sz w:val="32"/>
          <w:szCs w:val="32"/>
          <w:highlight w:val="none"/>
          <w:lang w:eastAsia="zh-CN"/>
        </w:rPr>
        <w:t>市委市政府</w:t>
      </w:r>
      <w:r>
        <w:rPr>
          <w:rFonts w:hint="eastAsia" w:ascii="仿宋_GB2312" w:hAnsi="仿宋_GB2312" w:eastAsia="仿宋_GB2312" w:cs="仿宋_GB2312"/>
          <w:sz w:val="32"/>
          <w:szCs w:val="32"/>
          <w:highlight w:val="none"/>
        </w:rPr>
        <w:t>关于科技创新的重大战略部署，深入实施创新强市、人才强市首位战略，全面落实</w:t>
      </w:r>
      <w:r>
        <w:rPr>
          <w:rFonts w:hint="eastAsia" w:ascii="仿宋_GB2312" w:hAnsi="仿宋_GB2312" w:eastAsia="仿宋_GB2312" w:cs="仿宋_GB2312"/>
          <w:sz w:val="32"/>
          <w:szCs w:val="32"/>
          <w:highlight w:val="none"/>
          <w:lang w:val="en-US" w:eastAsia="zh-CN"/>
        </w:rPr>
        <w:t>台州市</w:t>
      </w:r>
      <w:r>
        <w:rPr>
          <w:rFonts w:hint="eastAsia" w:ascii="仿宋_GB2312" w:hAnsi="仿宋_GB2312" w:eastAsia="仿宋_GB2312" w:cs="仿宋_GB2312"/>
          <w:sz w:val="32"/>
          <w:szCs w:val="32"/>
          <w:highlight w:val="none"/>
        </w:rPr>
        <w:t>“315”科技创新体系建设工程，积极发挥政府产业基金的</w:t>
      </w:r>
      <w:r>
        <w:rPr>
          <w:rFonts w:hint="eastAsia" w:ascii="仿宋_GB2312" w:hAnsi="仿宋_GB2312" w:eastAsia="仿宋_GB2312" w:cs="仿宋_GB2312"/>
          <w:sz w:val="32"/>
          <w:szCs w:val="32"/>
          <w:highlight w:val="none"/>
          <w:lang w:val="en-US" w:eastAsia="zh-CN"/>
        </w:rPr>
        <w:t>引领</w:t>
      </w:r>
      <w:r>
        <w:rPr>
          <w:rFonts w:hint="eastAsia" w:ascii="仿宋_GB2312" w:hAnsi="仿宋_GB2312" w:eastAsia="仿宋_GB2312" w:cs="仿宋_GB2312"/>
          <w:sz w:val="32"/>
          <w:szCs w:val="32"/>
          <w:highlight w:val="none"/>
        </w:rPr>
        <w:t>带动作用，</w:t>
      </w:r>
      <w:r>
        <w:rPr>
          <w:rFonts w:hint="eastAsia" w:ascii="仿宋_GB2312" w:hAnsi="仿宋_GB2312" w:eastAsia="仿宋_GB2312" w:cs="仿宋_GB2312"/>
          <w:sz w:val="32"/>
          <w:szCs w:val="32"/>
          <w:highlight w:val="none"/>
          <w:lang w:val="en-US" w:eastAsia="zh-CN"/>
        </w:rPr>
        <w:t>培育台州新质生产力，设立</w:t>
      </w:r>
      <w:r>
        <w:rPr>
          <w:rFonts w:hint="eastAsia" w:ascii="仿宋_GB2312" w:hAnsi="仿宋_GB2312" w:eastAsia="仿宋_GB2312" w:cs="仿宋_GB2312"/>
          <w:sz w:val="32"/>
          <w:szCs w:val="32"/>
          <w:highlight w:val="none"/>
        </w:rPr>
        <w:t>台州市科创母基金</w:t>
      </w:r>
      <w:r>
        <w:rPr>
          <w:rFonts w:hint="eastAsia" w:ascii="仿宋_GB2312" w:hAnsi="仿宋_GB2312" w:eastAsia="仿宋_GB2312" w:cs="仿宋_GB2312"/>
          <w:sz w:val="32"/>
          <w:szCs w:val="32"/>
          <w:highlight w:val="none"/>
          <w:lang w:val="en-US" w:eastAsia="zh-CN"/>
        </w:rPr>
        <w:t>（以下简称</w:t>
      </w:r>
      <w:r>
        <w:rPr>
          <w:rFonts w:hint="eastAsia" w:ascii="仿宋_GB2312" w:hAnsi="仿宋_GB2312" w:eastAsia="仿宋_GB2312" w:cs="仿宋_GB2312"/>
          <w:sz w:val="32"/>
          <w:szCs w:val="32"/>
          <w:highlight w:val="none"/>
        </w:rPr>
        <w:t>市科创母基金</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p>
    <w:p>
      <w:pPr>
        <w:widowControl w:val="0"/>
        <w:autoSpaceDE w:val="0"/>
        <w:autoSpaceDN w:val="0"/>
        <w:adjustRightInd w:val="0"/>
        <w:snapToGrid w:val="0"/>
        <w:spacing w:line="600" w:lineRule="exact"/>
        <w:ind w:firstLine="656" w:firstLineChars="200"/>
        <w:jc w:val="left"/>
        <w:textAlignment w:val="baseline"/>
        <w:rPr>
          <w:rFonts w:ascii="黑体" w:hAnsi="黑体" w:eastAsia="黑体" w:cs="黑体"/>
          <w:sz w:val="32"/>
          <w:szCs w:val="32"/>
          <w:highlight w:val="none"/>
        </w:rPr>
      </w:pPr>
      <w:r>
        <w:rPr>
          <w:rFonts w:hint="eastAsia" w:ascii="黑体" w:hAnsi="黑体" w:eastAsia="黑体" w:cs="黑体"/>
          <w:spacing w:val="4"/>
          <w:sz w:val="32"/>
          <w:szCs w:val="32"/>
          <w:highlight w:val="none"/>
        </w:rPr>
        <w:t>一、</w:t>
      </w:r>
      <w:r>
        <w:rPr>
          <w:rFonts w:hint="eastAsia" w:ascii="黑体" w:hAnsi="黑体" w:eastAsia="黑体" w:cs="黑体"/>
          <w:spacing w:val="2"/>
          <w:sz w:val="32"/>
          <w:szCs w:val="32"/>
          <w:highlight w:val="none"/>
        </w:rPr>
        <w:t>总体目标</w:t>
      </w:r>
    </w:p>
    <w:p>
      <w:pPr>
        <w:widowControl w:val="0"/>
        <w:autoSpaceDE w:val="0"/>
        <w:autoSpaceDN w:val="0"/>
        <w:adjustRightInd w:val="0"/>
        <w:snapToGrid w:val="0"/>
        <w:spacing w:line="600" w:lineRule="exact"/>
        <w:ind w:firstLine="640" w:firstLineChars="200"/>
        <w:jc w:val="left"/>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金目标总规模50亿元，充分发挥财政资金引导撬动作用和市场在创新资源配置中的决定性作用，以投早、投小、投硬科技为导向，通过省、市、县联动，与各级政府产业基金、社会资本、金融资本以及产业资本合作，引导带动更多社会资本投入科创</w:t>
      </w:r>
      <w:r>
        <w:rPr>
          <w:rFonts w:hint="eastAsia" w:ascii="仿宋_GB2312" w:hAnsi="仿宋_GB2312" w:eastAsia="仿宋_GB2312" w:cs="仿宋_GB2312"/>
          <w:sz w:val="32"/>
          <w:szCs w:val="32"/>
          <w:highlight w:val="none"/>
          <w:lang w:eastAsia="zh-CN"/>
        </w:rPr>
        <w:t>领域</w:t>
      </w:r>
      <w:r>
        <w:rPr>
          <w:rFonts w:hint="eastAsia" w:ascii="仿宋_GB2312" w:hAnsi="仿宋_GB2312" w:eastAsia="仿宋_GB2312" w:cs="仿宋_GB2312"/>
          <w:sz w:val="32"/>
          <w:szCs w:val="32"/>
          <w:highlight w:val="none"/>
        </w:rPr>
        <w:t>，加快培育高新技术产业、战略性新兴产业和未来产业，促进种子期、初创期的科技企业快速成长，为推动台州经济社会高质量发展提供有力支撑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为实现“三高三新”和奋力谱写“两个先行”台州篇章提供强劲动力。</w:t>
      </w:r>
    </w:p>
    <w:p>
      <w:pPr>
        <w:kinsoku w:val="0"/>
        <w:autoSpaceDE w:val="0"/>
        <w:autoSpaceDN w:val="0"/>
        <w:adjustRightInd w:val="0"/>
        <w:snapToGrid w:val="0"/>
        <w:spacing w:line="600" w:lineRule="exact"/>
        <w:ind w:firstLine="652" w:firstLineChars="200"/>
        <w:jc w:val="left"/>
        <w:textAlignment w:val="baseline"/>
        <w:rPr>
          <w:rFonts w:ascii="黑体" w:hAnsi="黑体" w:eastAsia="黑体" w:cs="黑体"/>
          <w:sz w:val="32"/>
          <w:szCs w:val="32"/>
          <w:highlight w:val="none"/>
        </w:rPr>
      </w:pPr>
      <w:r>
        <w:rPr>
          <w:rFonts w:hint="eastAsia" w:ascii="黑体" w:hAnsi="黑体" w:eastAsia="黑体" w:cs="黑体"/>
          <w:spacing w:val="3"/>
          <w:sz w:val="32"/>
          <w:szCs w:val="32"/>
          <w:highlight w:val="none"/>
        </w:rPr>
        <w:t>二</w:t>
      </w:r>
      <w:r>
        <w:rPr>
          <w:rFonts w:hint="eastAsia" w:ascii="黑体" w:hAnsi="黑体" w:eastAsia="黑体" w:cs="黑体"/>
          <w:spacing w:val="2"/>
          <w:sz w:val="32"/>
          <w:szCs w:val="32"/>
          <w:highlight w:val="none"/>
        </w:rPr>
        <w:t>、基本原则</w:t>
      </w:r>
    </w:p>
    <w:p>
      <w:pPr>
        <w:kinsoku w:val="0"/>
        <w:autoSpaceDE w:val="0"/>
        <w:autoSpaceDN w:val="0"/>
        <w:adjustRightInd w:val="0"/>
        <w:snapToGrid w:val="0"/>
        <w:spacing w:line="600" w:lineRule="exact"/>
        <w:ind w:firstLine="640" w:firstLineChars="200"/>
        <w:jc w:val="left"/>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台州市科创母基金</w:t>
      </w:r>
      <w:r>
        <w:rPr>
          <w:rFonts w:hint="eastAsia" w:ascii="仿宋_GB2312" w:hAnsi="仿宋_GB2312" w:eastAsia="仿宋_GB2312" w:cs="仿宋_GB2312"/>
          <w:spacing w:val="3"/>
          <w:sz w:val="32"/>
          <w:szCs w:val="32"/>
          <w:highlight w:val="none"/>
        </w:rPr>
        <w:t>遵循“政府引导、市场运作、滚动发展、防范风险”的原则运作</w:t>
      </w:r>
      <w:r>
        <w:rPr>
          <w:rFonts w:hint="eastAsia" w:ascii="仿宋_GB2312" w:hAnsi="仿宋_GB2312" w:eastAsia="仿宋_GB2312" w:cs="仿宋_GB2312"/>
          <w:sz w:val="32"/>
          <w:szCs w:val="32"/>
          <w:highlight w:val="none"/>
        </w:rPr>
        <w:t>。</w:t>
      </w:r>
    </w:p>
    <w:p>
      <w:pPr>
        <w:tabs>
          <w:tab w:val="left" w:pos="641"/>
        </w:tabs>
        <w:kinsoku w:val="0"/>
        <w:autoSpaceDE w:val="0"/>
        <w:autoSpaceDN w:val="0"/>
        <w:adjustRightInd w:val="0"/>
        <w:snapToGrid w:val="0"/>
        <w:spacing w:line="600" w:lineRule="exact"/>
        <w:ind w:firstLine="640" w:firstLineChars="200"/>
        <w:jc w:val="both"/>
        <w:textAlignment w:val="baseline"/>
        <w:rPr>
          <w:rFonts w:ascii="仿宋_GB2312" w:hAnsi="仿宋_GB2312" w:eastAsia="仿宋_GB2312" w:cs="仿宋_GB2312"/>
          <w:sz w:val="32"/>
          <w:szCs w:val="32"/>
          <w:highlight w:val="none"/>
        </w:rPr>
      </w:pPr>
      <w:r>
        <w:rPr>
          <w:rFonts w:hint="eastAsia" w:ascii="楷体" w:hAnsi="楷体" w:eastAsia="楷体" w:cs="楷体"/>
          <w:sz w:val="32"/>
          <w:szCs w:val="32"/>
          <w:highlight w:val="none"/>
        </w:rPr>
        <w:t>（一）</w:t>
      </w:r>
      <w:r>
        <w:rPr>
          <w:rFonts w:hint="eastAsia" w:ascii="楷体" w:hAnsi="楷体" w:eastAsia="楷体" w:cs="楷体"/>
          <w:spacing w:val="9"/>
          <w:sz w:val="32"/>
          <w:szCs w:val="32"/>
          <w:highlight w:val="none"/>
        </w:rPr>
        <w:t>政</w:t>
      </w:r>
      <w:r>
        <w:rPr>
          <w:rFonts w:hint="eastAsia" w:ascii="楷体" w:hAnsi="楷体" w:eastAsia="楷体" w:cs="楷体"/>
          <w:spacing w:val="6"/>
          <w:sz w:val="32"/>
          <w:szCs w:val="32"/>
          <w:highlight w:val="none"/>
        </w:rPr>
        <w:t>府引导。</w:t>
      </w:r>
      <w:r>
        <w:rPr>
          <w:rFonts w:hint="eastAsia" w:ascii="仿宋_GB2312" w:hAnsi="仿宋_GB2312" w:eastAsia="仿宋_GB2312" w:cs="仿宋_GB2312"/>
          <w:spacing w:val="6"/>
          <w:sz w:val="32"/>
          <w:szCs w:val="32"/>
          <w:highlight w:val="none"/>
        </w:rPr>
        <w:t>通过政府引导、示范，稳定市场预期，平抑创业风险。发挥财政资金的杠杆作用，引导</w:t>
      </w:r>
      <w:r>
        <w:rPr>
          <w:rFonts w:hint="eastAsia" w:ascii="仿宋_GB2312" w:hAnsi="仿宋_GB2312" w:eastAsia="仿宋_GB2312" w:cs="仿宋_GB2312"/>
          <w:spacing w:val="2"/>
          <w:sz w:val="32"/>
          <w:szCs w:val="32"/>
          <w:highlight w:val="none"/>
        </w:rPr>
        <w:t>并撬动金融资本和社会资本投资，放大政府投入效应，推进我市经济转型发</w:t>
      </w:r>
      <w:r>
        <w:rPr>
          <w:rFonts w:hint="eastAsia" w:ascii="仿宋_GB2312" w:hAnsi="仿宋_GB2312" w:eastAsia="仿宋_GB2312" w:cs="仿宋_GB2312"/>
          <w:spacing w:val="1"/>
          <w:sz w:val="32"/>
          <w:szCs w:val="32"/>
          <w:highlight w:val="none"/>
        </w:rPr>
        <w:t>展</w:t>
      </w:r>
      <w:r>
        <w:rPr>
          <w:rFonts w:hint="eastAsia" w:ascii="仿宋_GB2312" w:hAnsi="仿宋_GB2312" w:eastAsia="仿宋_GB2312" w:cs="仿宋_GB2312"/>
          <w:sz w:val="32"/>
          <w:szCs w:val="32"/>
          <w:highlight w:val="none"/>
        </w:rPr>
        <w:t>。</w:t>
      </w:r>
    </w:p>
    <w:p>
      <w:pPr>
        <w:tabs>
          <w:tab w:val="left" w:pos="641"/>
        </w:tabs>
        <w:kinsoku w:val="0"/>
        <w:autoSpaceDE w:val="0"/>
        <w:autoSpaceDN w:val="0"/>
        <w:adjustRightInd w:val="0"/>
        <w:snapToGrid w:val="0"/>
        <w:spacing w:line="600" w:lineRule="exact"/>
        <w:ind w:firstLine="688" w:firstLineChars="200"/>
        <w:jc w:val="both"/>
        <w:textAlignment w:val="baseline"/>
        <w:rPr>
          <w:rFonts w:ascii="仿宋_GB2312" w:hAnsi="仿宋_GB2312" w:eastAsia="仿宋_GB2312" w:cs="仿宋_GB2312"/>
          <w:sz w:val="32"/>
          <w:szCs w:val="32"/>
          <w:highlight w:val="none"/>
        </w:rPr>
      </w:pPr>
      <w:r>
        <w:rPr>
          <w:rFonts w:hint="eastAsia" w:ascii="楷体" w:hAnsi="楷体" w:eastAsia="楷体" w:cs="楷体"/>
          <w:spacing w:val="12"/>
          <w:sz w:val="32"/>
          <w:szCs w:val="32"/>
          <w:highlight w:val="none"/>
        </w:rPr>
        <w:t>（二）</w:t>
      </w:r>
      <w:r>
        <w:rPr>
          <w:rFonts w:hint="eastAsia" w:ascii="楷体" w:hAnsi="楷体" w:eastAsia="楷体" w:cs="楷体"/>
          <w:spacing w:val="7"/>
          <w:sz w:val="32"/>
          <w:szCs w:val="32"/>
          <w:highlight w:val="none"/>
        </w:rPr>
        <w:t>市</w:t>
      </w:r>
      <w:r>
        <w:rPr>
          <w:rFonts w:hint="eastAsia" w:ascii="楷体" w:hAnsi="楷体" w:eastAsia="楷体" w:cs="楷体"/>
          <w:spacing w:val="6"/>
          <w:sz w:val="32"/>
          <w:szCs w:val="32"/>
          <w:highlight w:val="none"/>
        </w:rPr>
        <w:t>场运作。</w:t>
      </w:r>
      <w:r>
        <w:rPr>
          <w:rFonts w:hint="eastAsia" w:ascii="仿宋_GB2312" w:hAnsi="仿宋_GB2312" w:eastAsia="仿宋_GB2312" w:cs="仿宋_GB2312"/>
          <w:spacing w:val="6"/>
          <w:sz w:val="32"/>
          <w:szCs w:val="32"/>
          <w:highlight w:val="none"/>
        </w:rPr>
        <w:t>正确处理政府与市场的关系，维护公平竞争的市场环境。</w:t>
      </w:r>
      <w:r>
        <w:rPr>
          <w:rFonts w:hint="eastAsia" w:ascii="仿宋_GB2312" w:hAnsi="仿宋_GB2312" w:eastAsia="仿宋_GB2312" w:cs="仿宋_GB2312"/>
          <w:sz w:val="32"/>
          <w:szCs w:val="32"/>
          <w:highlight w:val="none"/>
        </w:rPr>
        <w:t>市科创母基金</w:t>
      </w:r>
      <w:r>
        <w:rPr>
          <w:rFonts w:hint="eastAsia" w:ascii="仿宋_GB2312" w:hAnsi="仿宋_GB2312" w:eastAsia="仿宋_GB2312" w:cs="仿宋_GB2312"/>
          <w:spacing w:val="6"/>
          <w:sz w:val="32"/>
          <w:szCs w:val="32"/>
          <w:highlight w:val="none"/>
        </w:rPr>
        <w:t>按照政府确定的投资方向和运</w:t>
      </w:r>
      <w:r>
        <w:rPr>
          <w:rFonts w:hint="eastAsia" w:ascii="仿宋_GB2312" w:hAnsi="仿宋_GB2312" w:eastAsia="仿宋_GB2312" w:cs="仿宋_GB2312"/>
          <w:spacing w:val="4"/>
          <w:sz w:val="32"/>
          <w:szCs w:val="32"/>
          <w:highlight w:val="none"/>
        </w:rPr>
        <w:t>作</w:t>
      </w:r>
      <w:r>
        <w:rPr>
          <w:rFonts w:hint="eastAsia" w:ascii="仿宋_GB2312" w:hAnsi="仿宋_GB2312" w:eastAsia="仿宋_GB2312" w:cs="仿宋_GB2312"/>
          <w:spacing w:val="3"/>
          <w:sz w:val="32"/>
          <w:szCs w:val="32"/>
          <w:highlight w:val="none"/>
        </w:rPr>
        <w:t>规则与社会资本合作，委托专业管理团队，按照市场化方式进行投资运作，更好地发挥市场在资源</w:t>
      </w:r>
      <w:r>
        <w:rPr>
          <w:rFonts w:hint="eastAsia" w:ascii="仿宋_GB2312" w:hAnsi="仿宋_GB2312" w:eastAsia="仿宋_GB2312" w:cs="仿宋_GB2312"/>
          <w:spacing w:val="-2"/>
          <w:sz w:val="32"/>
          <w:szCs w:val="32"/>
          <w:highlight w:val="none"/>
        </w:rPr>
        <w:t>配置</w:t>
      </w:r>
      <w:r>
        <w:rPr>
          <w:rFonts w:hint="eastAsia" w:ascii="仿宋_GB2312" w:hAnsi="仿宋_GB2312" w:eastAsia="仿宋_GB2312" w:cs="仿宋_GB2312"/>
          <w:spacing w:val="-1"/>
          <w:sz w:val="32"/>
          <w:szCs w:val="32"/>
          <w:highlight w:val="none"/>
        </w:rPr>
        <w:t>中的决定性作用。</w:t>
      </w:r>
    </w:p>
    <w:p>
      <w:pPr>
        <w:tabs>
          <w:tab w:val="left" w:pos="641"/>
        </w:tabs>
        <w:kinsoku w:val="0"/>
        <w:autoSpaceDE w:val="0"/>
        <w:autoSpaceDN w:val="0"/>
        <w:adjustRightInd w:val="0"/>
        <w:snapToGrid w:val="0"/>
        <w:spacing w:line="600" w:lineRule="exact"/>
        <w:ind w:firstLine="680" w:firstLineChars="200"/>
        <w:jc w:val="left"/>
        <w:textAlignment w:val="baseline"/>
        <w:rPr>
          <w:rFonts w:ascii="仿宋_GB2312" w:hAnsi="仿宋_GB2312" w:eastAsia="仿宋_GB2312" w:cs="仿宋_GB2312"/>
          <w:spacing w:val="1"/>
          <w:sz w:val="32"/>
          <w:szCs w:val="32"/>
          <w:highlight w:val="none"/>
        </w:rPr>
      </w:pPr>
      <w:r>
        <w:rPr>
          <w:rFonts w:hint="eastAsia" w:ascii="楷体" w:hAnsi="楷体" w:eastAsia="楷体" w:cs="楷体"/>
          <w:spacing w:val="10"/>
          <w:sz w:val="32"/>
          <w:szCs w:val="32"/>
          <w:highlight w:val="none"/>
        </w:rPr>
        <w:t>（三）滚动</w:t>
      </w:r>
      <w:r>
        <w:rPr>
          <w:rFonts w:hint="eastAsia" w:ascii="楷体" w:hAnsi="楷体" w:eastAsia="楷体" w:cs="楷体"/>
          <w:spacing w:val="5"/>
          <w:sz w:val="32"/>
          <w:szCs w:val="32"/>
          <w:highlight w:val="none"/>
        </w:rPr>
        <w:t>发展。</w:t>
      </w:r>
      <w:r>
        <w:rPr>
          <w:rFonts w:hint="eastAsia" w:ascii="仿宋_GB2312" w:hAnsi="仿宋_GB2312" w:eastAsia="仿宋_GB2312" w:cs="仿宋_GB2312"/>
          <w:spacing w:val="5"/>
          <w:sz w:val="32"/>
          <w:szCs w:val="32"/>
          <w:highlight w:val="none"/>
        </w:rPr>
        <w:t>吸引金融</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lang w:val="en-US" w:eastAsia="zh-CN"/>
        </w:rPr>
        <w:t>产业</w:t>
      </w:r>
      <w:r>
        <w:rPr>
          <w:rFonts w:hint="eastAsia" w:ascii="仿宋_GB2312" w:hAnsi="仿宋_GB2312" w:eastAsia="仿宋_GB2312" w:cs="仿宋_GB2312"/>
          <w:spacing w:val="5"/>
          <w:sz w:val="32"/>
          <w:szCs w:val="32"/>
          <w:highlight w:val="none"/>
        </w:rPr>
        <w:t>等资本，发挥基金的杠杆放大作用。通过财政增资、市场化投资等方式，</w:t>
      </w:r>
      <w:r>
        <w:rPr>
          <w:rFonts w:hint="eastAsia" w:ascii="仿宋_GB2312" w:hAnsi="仿宋_GB2312" w:eastAsia="仿宋_GB2312" w:cs="仿宋_GB2312"/>
          <w:spacing w:val="2"/>
          <w:sz w:val="32"/>
          <w:szCs w:val="32"/>
          <w:highlight w:val="none"/>
        </w:rPr>
        <w:t>维持基金良性循环，实现产业</w:t>
      </w:r>
      <w:r>
        <w:rPr>
          <w:rFonts w:hint="eastAsia" w:ascii="仿宋_GB2312" w:hAnsi="仿宋_GB2312" w:eastAsia="仿宋_GB2312" w:cs="仿宋_GB2312"/>
          <w:spacing w:val="1"/>
          <w:sz w:val="32"/>
          <w:szCs w:val="32"/>
          <w:highlight w:val="none"/>
        </w:rPr>
        <w:t>基金保值增值和可持续发展。</w:t>
      </w:r>
    </w:p>
    <w:p>
      <w:pPr>
        <w:tabs>
          <w:tab w:val="left" w:pos="641"/>
        </w:tabs>
        <w:kinsoku w:val="0"/>
        <w:autoSpaceDE w:val="0"/>
        <w:autoSpaceDN w:val="0"/>
        <w:adjustRightInd w:val="0"/>
        <w:snapToGrid w:val="0"/>
        <w:spacing w:line="600" w:lineRule="exact"/>
        <w:ind w:firstLine="688" w:firstLineChars="200"/>
        <w:jc w:val="both"/>
        <w:textAlignment w:val="baseline"/>
        <w:rPr>
          <w:rFonts w:ascii="仿宋_GB2312" w:hAnsi="仿宋_GB2312" w:eastAsia="仿宋_GB2312" w:cs="仿宋_GB2312"/>
          <w:sz w:val="32"/>
          <w:szCs w:val="32"/>
          <w:highlight w:val="none"/>
        </w:rPr>
      </w:pPr>
      <w:r>
        <w:rPr>
          <w:rFonts w:hint="eastAsia" w:ascii="楷体" w:hAnsi="楷体" w:eastAsia="楷体" w:cs="楷体"/>
          <w:spacing w:val="12"/>
          <w:sz w:val="32"/>
          <w:szCs w:val="32"/>
          <w:highlight w:val="none"/>
        </w:rPr>
        <w:t>（四）</w:t>
      </w:r>
      <w:r>
        <w:rPr>
          <w:rFonts w:hint="eastAsia" w:ascii="楷体" w:hAnsi="楷体" w:eastAsia="楷体" w:cs="楷体"/>
          <w:spacing w:val="11"/>
          <w:sz w:val="32"/>
          <w:szCs w:val="32"/>
          <w:highlight w:val="none"/>
        </w:rPr>
        <w:t>防</w:t>
      </w:r>
      <w:r>
        <w:rPr>
          <w:rFonts w:hint="eastAsia" w:ascii="楷体" w:hAnsi="楷体" w:eastAsia="楷体" w:cs="楷体"/>
          <w:spacing w:val="6"/>
          <w:sz w:val="32"/>
          <w:szCs w:val="32"/>
          <w:highlight w:val="none"/>
        </w:rPr>
        <w:t>范风险。</w:t>
      </w:r>
      <w:r>
        <w:rPr>
          <w:rFonts w:hint="eastAsia" w:ascii="仿宋_GB2312" w:hAnsi="仿宋_GB2312" w:eastAsia="仿宋_GB2312" w:cs="仿宋_GB2312"/>
          <w:spacing w:val="6"/>
          <w:sz w:val="32"/>
          <w:szCs w:val="32"/>
          <w:highlight w:val="none"/>
        </w:rPr>
        <w:t>严格遵照基金投资运作相关规定，</w:t>
      </w:r>
      <w:r>
        <w:rPr>
          <w:rFonts w:hint="eastAsia" w:ascii="仿宋_GB2312" w:hAnsi="仿宋_GB2312" w:eastAsia="仿宋_GB2312" w:cs="仿宋_GB2312"/>
          <w:spacing w:val="3"/>
          <w:sz w:val="32"/>
          <w:szCs w:val="32"/>
          <w:highlight w:val="none"/>
        </w:rPr>
        <w:t>构建有效的风险防范和监督管理体系，保障基金安全运营。通过分散化投资分散单一基金投资风</w:t>
      </w:r>
      <w:r>
        <w:rPr>
          <w:rFonts w:hint="eastAsia" w:ascii="仿宋_GB2312" w:hAnsi="仿宋_GB2312" w:eastAsia="仿宋_GB2312" w:cs="仿宋_GB2312"/>
          <w:spacing w:val="1"/>
          <w:sz w:val="32"/>
          <w:szCs w:val="32"/>
          <w:highlight w:val="none"/>
        </w:rPr>
        <w:t>险，更好地支持和激发大众创业万</w:t>
      </w:r>
      <w:r>
        <w:rPr>
          <w:rFonts w:hint="eastAsia" w:ascii="仿宋_GB2312" w:hAnsi="仿宋_GB2312" w:eastAsia="仿宋_GB2312" w:cs="仿宋_GB2312"/>
          <w:sz w:val="32"/>
          <w:szCs w:val="32"/>
          <w:highlight w:val="none"/>
        </w:rPr>
        <w:t>众创新。</w:t>
      </w:r>
    </w:p>
    <w:p>
      <w:pPr>
        <w:widowControl w:val="0"/>
        <w:autoSpaceDE w:val="0"/>
        <w:autoSpaceDN w:val="0"/>
        <w:adjustRightInd w:val="0"/>
        <w:snapToGrid w:val="0"/>
        <w:spacing w:line="600" w:lineRule="exact"/>
        <w:ind w:firstLine="636" w:firstLineChars="200"/>
        <w:jc w:val="left"/>
        <w:textAlignment w:val="baseline"/>
        <w:rPr>
          <w:rFonts w:ascii="黑体" w:hAnsi="黑体" w:eastAsia="黑体" w:cs="黑体"/>
          <w:spacing w:val="-1"/>
          <w:sz w:val="32"/>
          <w:szCs w:val="32"/>
          <w:highlight w:val="none"/>
        </w:rPr>
      </w:pPr>
      <w:r>
        <w:rPr>
          <w:rFonts w:hint="eastAsia" w:ascii="黑体" w:hAnsi="黑体" w:eastAsia="黑体" w:cs="黑体"/>
          <w:spacing w:val="-1"/>
          <w:sz w:val="32"/>
          <w:szCs w:val="32"/>
          <w:highlight w:val="none"/>
        </w:rPr>
        <w:t>三、基本要素</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（一）基金名称。</w:t>
      </w:r>
      <w:r>
        <w:rPr>
          <w:rFonts w:hint="eastAsia" w:ascii="仿宋_GB2312" w:hAnsi="仿宋_GB2312" w:eastAsia="仿宋_GB2312" w:cs="仿宋_GB2312"/>
          <w:spacing w:val="11"/>
          <w:sz w:val="32"/>
          <w:szCs w:val="32"/>
          <w:highlight w:val="none"/>
        </w:rPr>
        <w:t>台州市科创母基金。</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（二）基金主体。</w:t>
      </w:r>
      <w:r>
        <w:rPr>
          <w:rFonts w:hint="eastAsia" w:ascii="仿宋_GB2312" w:hAnsi="仿宋_GB2312" w:eastAsia="仿宋_GB2312" w:cs="仿宋_GB2312"/>
          <w:sz w:val="32"/>
          <w:szCs w:val="32"/>
          <w:highlight w:val="none"/>
        </w:rPr>
        <w:t>基金新设法人主体</w:t>
      </w:r>
      <w:r>
        <w:rPr>
          <w:rFonts w:hint="eastAsia" w:ascii="仿宋_GB2312" w:hAnsi="仿宋_GB2312" w:eastAsia="仿宋_GB2312" w:cs="仿宋_GB2312"/>
          <w:spacing w:val="11"/>
          <w:sz w:val="32"/>
          <w:szCs w:val="32"/>
          <w:highlight w:val="none"/>
        </w:rPr>
        <w:t>台州市科创母基金</w:t>
      </w:r>
      <w:r>
        <w:rPr>
          <w:rFonts w:hint="eastAsia" w:ascii="仿宋_GB2312" w:hAnsi="仿宋_GB2312" w:eastAsia="仿宋_GB2312" w:cs="仿宋_GB2312"/>
          <w:sz w:val="32"/>
          <w:szCs w:val="32"/>
          <w:highlight w:val="none"/>
        </w:rPr>
        <w:t>合伙企业（有限合伙），具体以工商登记注册为准。</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（三）基金规模。</w:t>
      </w:r>
      <w:r>
        <w:rPr>
          <w:rFonts w:hint="eastAsia" w:ascii="仿宋_GB2312" w:hAnsi="仿宋_GB2312" w:eastAsia="仿宋_GB2312" w:cs="仿宋_GB2312"/>
          <w:sz w:val="32"/>
          <w:szCs w:val="32"/>
          <w:highlight w:val="none"/>
          <w:lang w:val="en-US" w:eastAsia="zh-CN"/>
        </w:rPr>
        <w:t>目标</w:t>
      </w:r>
      <w:r>
        <w:rPr>
          <w:rFonts w:hint="eastAsia" w:ascii="仿宋_GB2312" w:hAnsi="仿宋_GB2312" w:eastAsia="仿宋_GB2312" w:cs="仿宋_GB2312"/>
          <w:sz w:val="32"/>
          <w:szCs w:val="32"/>
          <w:highlight w:val="none"/>
        </w:rPr>
        <w:t>总规模50亿元，</w:t>
      </w:r>
      <w:r>
        <w:rPr>
          <w:rFonts w:ascii="仿宋_GB2312" w:hAnsi="仿宋_GB2312" w:eastAsia="仿宋_GB2312" w:cs="仿宋_GB2312"/>
          <w:sz w:val="32"/>
          <w:szCs w:val="32"/>
          <w:highlight w:val="none"/>
        </w:rPr>
        <w:t>首期</w:t>
      </w:r>
      <w:r>
        <w:rPr>
          <w:rFonts w:hint="eastAsia" w:ascii="仿宋_GB2312" w:hAnsi="仿宋_GB2312" w:eastAsia="仿宋_GB2312" w:cs="仿宋_GB2312"/>
          <w:sz w:val="32"/>
          <w:szCs w:val="32"/>
          <w:highlight w:val="none"/>
        </w:rPr>
        <w:t>规模20亿元。</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（四）出资结构。</w:t>
      </w:r>
      <w:r>
        <w:rPr>
          <w:rFonts w:hint="eastAsia" w:ascii="仿宋_GB2312" w:hAnsi="仿宋_GB2312" w:eastAsia="仿宋_GB2312" w:cs="仿宋_GB2312"/>
          <w:sz w:val="32"/>
          <w:szCs w:val="32"/>
          <w:highlight w:val="none"/>
        </w:rPr>
        <w:t>第一阶段实缴出资</w:t>
      </w:r>
      <w:r>
        <w:rPr>
          <w:rFonts w:hint="eastAsia" w:ascii="仿宋_GB2312" w:hAnsi="仿宋_GB2312" w:eastAsia="仿宋_GB2312" w:cs="仿宋_GB2312"/>
          <w:sz w:val="32"/>
          <w:szCs w:val="32"/>
          <w:highlight w:val="none"/>
          <w:lang w:val="en-US" w:eastAsia="zh-CN"/>
        </w:rPr>
        <w:t>7.2</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pacing w:val="6"/>
          <w:sz w:val="32"/>
          <w:szCs w:val="32"/>
          <w:highlight w:val="none"/>
        </w:rPr>
        <w:t>其中</w:t>
      </w:r>
      <w:r>
        <w:rPr>
          <w:rFonts w:hint="eastAsia" w:ascii="仿宋_GB2312" w:hAnsi="仿宋_GB2312" w:eastAsia="仿宋_GB2312" w:cs="仿宋_GB2312"/>
          <w:spacing w:val="6"/>
          <w:sz w:val="32"/>
          <w:szCs w:val="32"/>
          <w:highlight w:val="none"/>
          <w:lang w:val="en-US" w:eastAsia="zh-CN"/>
        </w:rPr>
        <w:t>2.2</w:t>
      </w:r>
      <w:r>
        <w:rPr>
          <w:rFonts w:hint="eastAsia" w:ascii="仿宋_GB2312" w:hAnsi="仿宋_GB2312" w:eastAsia="仿宋_GB2312" w:cs="仿宋_GB2312"/>
          <w:spacing w:val="6"/>
          <w:sz w:val="32"/>
          <w:szCs w:val="32"/>
          <w:highlight w:val="none"/>
        </w:rPr>
        <w:t>亿元为原台州市科技创新主题基金</w:t>
      </w:r>
      <w:r>
        <w:rPr>
          <w:rFonts w:hint="eastAsia" w:ascii="仿宋_GB2312" w:hAnsi="仿宋_GB2312" w:eastAsia="仿宋_GB2312" w:cs="仿宋_GB2312"/>
          <w:spacing w:val="6"/>
          <w:sz w:val="32"/>
          <w:szCs w:val="32"/>
          <w:highlight w:val="none"/>
          <w:lang w:val="en-US" w:eastAsia="zh-CN"/>
        </w:rPr>
        <w:t>的股权</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即2亿元天使梦想基金股权、0.2亿元耀合基金股权</w:t>
      </w:r>
      <w:r>
        <w:rPr>
          <w:rFonts w:hint="eastAsia" w:ascii="仿宋_GB2312" w:hAnsi="仿宋_GB2312" w:eastAsia="仿宋_GB2312" w:cs="仿宋_GB2312"/>
          <w:sz w:val="32"/>
          <w:szCs w:val="32"/>
          <w:highlight w:val="none"/>
        </w:rPr>
        <w:t>；另5亿元为</w:t>
      </w:r>
      <w:r>
        <w:rPr>
          <w:rFonts w:hint="eastAsia" w:ascii="仿宋_GB2312" w:hAnsi="仿宋_GB2312" w:eastAsia="仿宋_GB2312" w:cs="仿宋_GB2312"/>
          <w:sz w:val="32"/>
          <w:szCs w:val="32"/>
          <w:highlight w:val="none"/>
          <w:lang w:val="en-US" w:eastAsia="zh-CN"/>
        </w:rPr>
        <w:t>货币</w:t>
      </w:r>
      <w:r>
        <w:rPr>
          <w:rFonts w:hint="eastAsia" w:ascii="仿宋_GB2312" w:hAnsi="仿宋_GB2312" w:eastAsia="仿宋_GB2312" w:cs="仿宋_GB2312"/>
          <w:sz w:val="32"/>
          <w:szCs w:val="32"/>
          <w:highlight w:val="none"/>
        </w:rPr>
        <w:t>资金。上述</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亿元资金及2.2亿元股权由市优化母基金无偿划转。</w:t>
      </w:r>
      <w:r>
        <w:rPr>
          <w:rFonts w:hint="eastAsia" w:ascii="仿宋_GB2312" w:hAnsi="仿宋_GB2312" w:eastAsia="仿宋_GB2312" w:cs="仿宋_GB2312"/>
          <w:sz w:val="32"/>
          <w:szCs w:val="32"/>
          <w:highlight w:val="none"/>
          <w:lang w:eastAsia="zh-CN"/>
        </w:rPr>
        <w:t>后续根据基金投资情况确定出资金额和出资时间。</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（五）基金管理机构。</w:t>
      </w:r>
      <w:r>
        <w:rPr>
          <w:rFonts w:hint="eastAsia" w:ascii="仿宋_GB2312" w:hAnsi="仿宋_GB2312" w:eastAsia="仿宋_GB2312" w:cs="仿宋_GB2312"/>
          <w:sz w:val="32"/>
          <w:szCs w:val="32"/>
          <w:highlight w:val="none"/>
        </w:rPr>
        <w:t>由市科创集团下属</w:t>
      </w:r>
      <w:r>
        <w:rPr>
          <w:rFonts w:hint="eastAsia" w:ascii="仿宋_GB2312" w:hAnsi="仿宋_GB2312" w:eastAsia="仿宋_GB2312" w:cs="仿宋_GB2312"/>
          <w:sz w:val="32"/>
          <w:szCs w:val="32"/>
          <w:highlight w:val="none"/>
          <w:lang w:val="en-US" w:eastAsia="zh-CN"/>
        </w:rPr>
        <w:t>台州市金控基金管理有限公司</w:t>
      </w:r>
      <w:r>
        <w:rPr>
          <w:rFonts w:hint="eastAsia" w:ascii="仿宋_GB2312" w:hAnsi="仿宋_GB2312" w:eastAsia="仿宋_GB2312" w:cs="仿宋_GB2312"/>
          <w:sz w:val="32"/>
          <w:szCs w:val="32"/>
          <w:highlight w:val="none"/>
        </w:rPr>
        <w:t>担任。</w:t>
      </w:r>
    </w:p>
    <w:p>
      <w:pPr>
        <w:pStyle w:val="5"/>
        <w:adjustRightInd w:val="0"/>
        <w:snapToGrid w:val="0"/>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（六）存续期限。</w:t>
      </w:r>
      <w:r>
        <w:rPr>
          <w:rFonts w:hint="eastAsia" w:ascii="仿宋_GB2312" w:hAnsi="仿宋_GB2312" w:eastAsia="仿宋_GB2312" w:cs="仿宋_GB2312"/>
          <w:sz w:val="32"/>
          <w:szCs w:val="32"/>
          <w:highlight w:val="none"/>
        </w:rPr>
        <w:t>基金存续期10年。自市场监督管理部门完成登记之日起算。</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（七）管理费用。</w:t>
      </w:r>
      <w:r>
        <w:rPr>
          <w:rFonts w:ascii="仿宋_GB2312" w:hAnsi="仿宋_GB2312" w:eastAsia="仿宋_GB2312" w:cs="仿宋_GB2312"/>
          <w:sz w:val="32"/>
          <w:szCs w:val="32"/>
          <w:highlight w:val="none"/>
        </w:rPr>
        <w:t>原则上按照投资金额0.6%的比例</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按年支付管理费用。</w:t>
      </w:r>
    </w:p>
    <w:p>
      <w:pPr>
        <w:pStyle w:val="5"/>
        <w:adjustRightInd w:val="0"/>
        <w:snapToGrid w:val="0"/>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八</w:t>
      </w:r>
      <w:r>
        <w:rPr>
          <w:rFonts w:hint="eastAsia" w:ascii="楷体_GB2312" w:hAnsi="楷体_GB2312" w:eastAsia="楷体_GB2312" w:cs="楷体_GB2312"/>
          <w:sz w:val="32"/>
          <w:szCs w:val="32"/>
          <w:highlight w:val="none"/>
        </w:rPr>
        <w:t>）退出方式。</w:t>
      </w:r>
      <w:r>
        <w:rPr>
          <w:rFonts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rPr>
        <w:t>股权</w:t>
      </w:r>
      <w:r>
        <w:rPr>
          <w:rFonts w:ascii="仿宋_GB2312" w:hAnsi="仿宋_GB2312" w:eastAsia="仿宋_GB2312" w:cs="仿宋_GB2312"/>
          <w:sz w:val="32"/>
          <w:szCs w:val="32"/>
          <w:highlight w:val="none"/>
        </w:rPr>
        <w:t>转让、</w:t>
      </w:r>
      <w:r>
        <w:rPr>
          <w:rFonts w:hint="eastAsia" w:ascii="仿宋_GB2312" w:hAnsi="仿宋_GB2312" w:eastAsia="仿宋_GB2312" w:cs="仿宋_GB2312"/>
          <w:sz w:val="32"/>
          <w:szCs w:val="32"/>
          <w:highlight w:val="none"/>
        </w:rPr>
        <w:t>清算</w:t>
      </w:r>
      <w:r>
        <w:rPr>
          <w:rFonts w:ascii="仿宋_GB2312" w:hAnsi="仿宋_GB2312" w:eastAsia="仿宋_GB2312" w:cs="仿宋_GB2312"/>
          <w:sz w:val="32"/>
          <w:szCs w:val="32"/>
          <w:highlight w:val="none"/>
        </w:rPr>
        <w:t>等方式实现退出</w:t>
      </w:r>
      <w:r>
        <w:rPr>
          <w:rFonts w:hint="eastAsia" w:ascii="仿宋_GB2312" w:hAnsi="仿宋_GB2312" w:eastAsia="仿宋_GB2312" w:cs="仿宋_GB2312"/>
          <w:sz w:val="32"/>
          <w:szCs w:val="32"/>
          <w:highlight w:val="none"/>
        </w:rPr>
        <w:t>。</w:t>
      </w:r>
    </w:p>
    <w:p>
      <w:pPr>
        <w:pStyle w:val="5"/>
        <w:adjustRightInd w:val="0"/>
        <w:snapToGrid w:val="0"/>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九</w:t>
      </w:r>
      <w:r>
        <w:rPr>
          <w:rFonts w:hint="eastAsia" w:ascii="楷体_GB2312" w:hAnsi="楷体_GB2312" w:eastAsia="楷体_GB2312" w:cs="楷体_GB2312"/>
          <w:sz w:val="32"/>
          <w:szCs w:val="32"/>
          <w:highlight w:val="none"/>
        </w:rPr>
        <w:t>）收益分配。</w:t>
      </w:r>
      <w:r>
        <w:rPr>
          <w:rFonts w:hint="eastAsia" w:ascii="仿宋_GB2312" w:hAnsi="仿宋_GB2312" w:eastAsia="仿宋_GB2312" w:cs="仿宋_GB2312"/>
          <w:sz w:val="32"/>
          <w:szCs w:val="32"/>
          <w:highlight w:val="none"/>
        </w:rPr>
        <w:t>市科创母基金</w:t>
      </w:r>
      <w:r>
        <w:rPr>
          <w:rFonts w:ascii="仿宋_GB2312" w:hAnsi="仿宋_GB2312" w:eastAsia="仿宋_GB2312" w:cs="仿宋_GB2312"/>
          <w:sz w:val="32"/>
          <w:szCs w:val="32"/>
          <w:highlight w:val="none"/>
        </w:rPr>
        <w:t>实行滚动投资机制，收回的本金和取得的收益</w:t>
      </w:r>
      <w:r>
        <w:rPr>
          <w:rFonts w:hint="eastAsia" w:ascii="仿宋_GB2312" w:hAnsi="仿宋_GB2312" w:eastAsia="仿宋_GB2312" w:cs="仿宋_GB2312"/>
          <w:sz w:val="32"/>
          <w:szCs w:val="32"/>
          <w:highlight w:val="none"/>
        </w:rPr>
        <w:t>全额</w:t>
      </w:r>
      <w:r>
        <w:rPr>
          <w:rFonts w:ascii="仿宋_GB2312" w:hAnsi="仿宋_GB2312" w:eastAsia="仿宋_GB2312" w:cs="仿宋_GB2312"/>
          <w:sz w:val="32"/>
          <w:szCs w:val="32"/>
          <w:highlight w:val="none"/>
        </w:rPr>
        <w:t>继续用于投资</w:t>
      </w:r>
      <w:r>
        <w:rPr>
          <w:rFonts w:hint="eastAsia" w:ascii="仿宋_GB2312" w:hAnsi="仿宋_GB2312" w:eastAsia="仿宋_GB2312" w:cs="仿宋_GB2312"/>
          <w:sz w:val="32"/>
          <w:szCs w:val="32"/>
          <w:highlight w:val="none"/>
        </w:rPr>
        <w:t>。</w:t>
      </w:r>
    </w:p>
    <w:p>
      <w:pPr>
        <w:widowControl w:val="0"/>
        <w:autoSpaceDE w:val="0"/>
        <w:autoSpaceDN w:val="0"/>
        <w:adjustRightInd w:val="0"/>
        <w:snapToGrid w:val="0"/>
        <w:spacing w:line="600" w:lineRule="exact"/>
        <w:ind w:firstLine="656" w:firstLineChars="200"/>
        <w:jc w:val="left"/>
        <w:textAlignment w:val="baseline"/>
        <w:rPr>
          <w:rFonts w:ascii="黑体" w:hAnsi="黑体" w:eastAsia="黑体" w:cs="黑体"/>
          <w:spacing w:val="4"/>
          <w:sz w:val="32"/>
          <w:szCs w:val="32"/>
          <w:highlight w:val="none"/>
        </w:rPr>
      </w:pPr>
      <w:r>
        <w:rPr>
          <w:rFonts w:hint="eastAsia" w:ascii="黑体" w:hAnsi="黑体" w:eastAsia="黑体" w:cs="黑体"/>
          <w:spacing w:val="4"/>
          <w:sz w:val="32"/>
          <w:szCs w:val="32"/>
          <w:highlight w:val="none"/>
        </w:rPr>
        <w:t>四、投资</w:t>
      </w:r>
      <w:r>
        <w:rPr>
          <w:rFonts w:hint="eastAsia" w:ascii="黑体" w:hAnsi="黑体" w:eastAsia="黑体" w:cs="黑体"/>
          <w:spacing w:val="4"/>
          <w:sz w:val="32"/>
          <w:szCs w:val="32"/>
          <w:highlight w:val="none"/>
          <w:lang w:eastAsia="zh-CN"/>
        </w:rPr>
        <w:t>方向</w:t>
      </w:r>
    </w:p>
    <w:p>
      <w:pPr>
        <w:widowControl w:val="0"/>
        <w:autoSpaceDE w:val="0"/>
        <w:autoSpaceDN w:val="0"/>
        <w:adjustRightInd w:val="0"/>
        <w:snapToGrid w:val="0"/>
        <w:spacing w:line="600" w:lineRule="exact"/>
        <w:ind w:firstLine="684" w:firstLineChars="200"/>
        <w:jc w:val="left"/>
        <w:textAlignment w:val="baseline"/>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11"/>
          <w:sz w:val="32"/>
          <w:szCs w:val="32"/>
          <w:highlight w:val="none"/>
        </w:rPr>
        <w:t>市科创母基金</w:t>
      </w:r>
      <w:r>
        <w:rPr>
          <w:rFonts w:hint="eastAsia" w:ascii="仿宋_GB2312" w:hAnsi="仿宋_GB2312" w:eastAsia="仿宋_GB2312" w:cs="仿宋_GB2312"/>
          <w:spacing w:val="11"/>
          <w:sz w:val="32"/>
          <w:szCs w:val="32"/>
          <w:highlight w:val="none"/>
          <w:lang w:eastAsia="zh-CN"/>
        </w:rPr>
        <w:t>主要围绕</w:t>
      </w:r>
      <w:r>
        <w:rPr>
          <w:rFonts w:hint="eastAsia" w:ascii="仿宋_GB2312" w:hAnsi="仿宋_GB2312" w:eastAsia="仿宋_GB2312" w:cs="仿宋_GB2312"/>
          <w:spacing w:val="11"/>
          <w:sz w:val="32"/>
          <w:szCs w:val="32"/>
          <w:highlight w:val="none"/>
        </w:rPr>
        <w:t>高科技产业、战略性新兴产业、未来产业等</w:t>
      </w:r>
      <w:r>
        <w:rPr>
          <w:rFonts w:hint="eastAsia" w:ascii="仿宋_GB2312" w:hAnsi="仿宋_GB2312" w:eastAsia="仿宋_GB2312" w:cs="仿宋_GB2312"/>
          <w:spacing w:val="11"/>
          <w:sz w:val="32"/>
          <w:szCs w:val="32"/>
          <w:highlight w:val="none"/>
          <w:lang w:eastAsia="zh-CN"/>
        </w:rPr>
        <w:t>领域，</w:t>
      </w:r>
      <w:r>
        <w:rPr>
          <w:rFonts w:hint="eastAsia" w:ascii="仿宋_GB2312" w:hAnsi="仿宋_GB2312" w:eastAsia="仿宋_GB2312" w:cs="仿宋_GB2312"/>
          <w:spacing w:val="11"/>
          <w:sz w:val="32"/>
          <w:szCs w:val="32"/>
          <w:highlight w:val="none"/>
        </w:rPr>
        <w:t>具体</w:t>
      </w:r>
      <w:r>
        <w:rPr>
          <w:rFonts w:hint="eastAsia" w:ascii="仿宋_GB2312" w:hAnsi="仿宋_GB2312" w:eastAsia="仿宋_GB2312" w:cs="仿宋_GB2312"/>
          <w:spacing w:val="11"/>
          <w:sz w:val="32"/>
          <w:szCs w:val="32"/>
          <w:highlight w:val="none"/>
          <w:lang w:val="en-US" w:eastAsia="zh-CN"/>
        </w:rPr>
        <w:t>主要</w:t>
      </w:r>
      <w:r>
        <w:rPr>
          <w:rFonts w:hint="eastAsia" w:ascii="仿宋_GB2312" w:hAnsi="仿宋_GB2312" w:eastAsia="仿宋_GB2312" w:cs="仿宋_GB2312"/>
          <w:spacing w:val="11"/>
          <w:sz w:val="32"/>
          <w:szCs w:val="32"/>
          <w:highlight w:val="none"/>
        </w:rPr>
        <w:t>分为以下</w:t>
      </w:r>
      <w:r>
        <w:rPr>
          <w:rFonts w:hint="eastAsia" w:ascii="仿宋_GB2312" w:hAnsi="仿宋_GB2312" w:eastAsia="仿宋_GB2312" w:cs="仿宋_GB2312"/>
          <w:spacing w:val="11"/>
          <w:sz w:val="32"/>
          <w:szCs w:val="32"/>
          <w:highlight w:val="none"/>
          <w:lang w:eastAsia="zh-CN"/>
        </w:rPr>
        <w:t>四</w:t>
      </w:r>
      <w:r>
        <w:rPr>
          <w:rFonts w:hint="eastAsia" w:ascii="仿宋_GB2312" w:hAnsi="仿宋_GB2312" w:eastAsia="仿宋_GB2312" w:cs="仿宋_GB2312"/>
          <w:spacing w:val="11"/>
          <w:sz w:val="32"/>
          <w:szCs w:val="32"/>
          <w:highlight w:val="none"/>
        </w:rPr>
        <w:t>个类别</w:t>
      </w:r>
      <w:r>
        <w:rPr>
          <w:rFonts w:hint="eastAsia" w:ascii="仿宋_GB2312" w:hAnsi="仿宋_GB2312" w:eastAsia="仿宋_GB2312" w:cs="仿宋_GB2312"/>
          <w:spacing w:val="6"/>
          <w:sz w:val="32"/>
          <w:szCs w:val="32"/>
          <w:highlight w:val="none"/>
        </w:rPr>
        <w:t>：</w:t>
      </w:r>
    </w:p>
    <w:p>
      <w:pPr>
        <w:widowControl w:val="0"/>
        <w:autoSpaceDE w:val="0"/>
        <w:autoSpaceDN w:val="0"/>
        <w:adjustRightInd w:val="0"/>
        <w:snapToGrid w:val="0"/>
        <w:spacing w:line="600" w:lineRule="exact"/>
        <w:ind w:firstLine="664" w:firstLineChars="200"/>
        <w:jc w:val="left"/>
        <w:textAlignment w:val="baseline"/>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（一）人才类项目</w:t>
      </w:r>
    </w:p>
    <w:p>
      <w:pPr>
        <w:widowControl w:val="0"/>
        <w:autoSpaceDE w:val="0"/>
        <w:autoSpaceDN w:val="0"/>
        <w:adjustRightInd w:val="0"/>
        <w:snapToGrid w:val="0"/>
        <w:spacing w:line="600" w:lineRule="exact"/>
        <w:ind w:firstLine="640" w:firstLineChars="200"/>
        <w:jc w:val="left"/>
        <w:textAlignment w:val="baseline"/>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根据人才新政相关制度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通过直接投资、资助、跟投、合作设立子基金等方式扶持和引进人才创业企业，重点支持种子期、初创期和早中期科技创业型人才企业的发展。人才类项目主要通过</w:t>
      </w:r>
      <w:r>
        <w:rPr>
          <w:rFonts w:hint="eastAsia" w:ascii="仿宋_GB2312" w:hAnsi="仿宋_GB2312" w:eastAsia="仿宋_GB2312" w:cs="仿宋_GB2312"/>
          <w:spacing w:val="6"/>
          <w:sz w:val="32"/>
          <w:szCs w:val="32"/>
          <w:highlight w:val="none"/>
        </w:rPr>
        <w:t>原台州市科技创新主题基金，</w:t>
      </w:r>
      <w:r>
        <w:rPr>
          <w:rFonts w:hint="eastAsia" w:ascii="仿宋_GB2312" w:hAnsi="仿宋_GB2312" w:eastAsia="仿宋_GB2312" w:cs="仿宋_GB2312"/>
          <w:color w:val="000000"/>
          <w:sz w:val="32"/>
          <w:szCs w:val="32"/>
          <w:highlight w:val="none"/>
        </w:rPr>
        <w:t>即天使梦想子基金和科技创新子基金予以支持，后续可根据人才新政相关制度新设人才类项目基金。</w:t>
      </w:r>
    </w:p>
    <w:p>
      <w:pPr>
        <w:widowControl w:val="0"/>
        <w:autoSpaceDE w:val="0"/>
        <w:autoSpaceDN w:val="0"/>
        <w:adjustRightInd w:val="0"/>
        <w:snapToGrid w:val="0"/>
        <w:spacing w:line="600" w:lineRule="exact"/>
        <w:ind w:firstLine="664" w:firstLineChars="200"/>
        <w:jc w:val="left"/>
        <w:textAlignment w:val="baseline"/>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（二）园区类项目</w:t>
      </w:r>
    </w:p>
    <w:p>
      <w:pPr>
        <w:widowControl w:val="0"/>
        <w:autoSpaceDE w:val="0"/>
        <w:autoSpaceDN w:val="0"/>
        <w:adjustRightInd w:val="0"/>
        <w:snapToGrid w:val="0"/>
        <w:spacing w:line="600" w:lineRule="exact"/>
        <w:ind w:firstLine="664" w:firstLineChars="200"/>
        <w:jc w:val="left"/>
        <w:textAlignment w:val="baseline"/>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发挥产业基金招引作用，建立基金与园区联动模式，</w:t>
      </w:r>
      <w:r>
        <w:rPr>
          <w:rFonts w:hint="eastAsia" w:ascii="仿宋_GB2312" w:hAnsi="仿宋_GB2312" w:eastAsia="仿宋_GB2312" w:cs="仿宋_GB2312"/>
          <w:spacing w:val="6"/>
          <w:sz w:val="32"/>
          <w:szCs w:val="32"/>
          <w:highlight w:val="none"/>
          <w:lang w:eastAsia="zh-CN"/>
        </w:rPr>
        <w:t>通过设立园区引导基金，</w:t>
      </w:r>
      <w:r>
        <w:rPr>
          <w:rFonts w:hint="eastAsia" w:ascii="仿宋_GB2312" w:hAnsi="仿宋_GB2312" w:eastAsia="仿宋_GB2312" w:cs="仿宋_GB2312"/>
          <w:spacing w:val="6"/>
          <w:sz w:val="32"/>
          <w:szCs w:val="32"/>
          <w:highlight w:val="none"/>
        </w:rPr>
        <w:t>筛选园区内优质企业进行股权投资，引导科创企业入驻园区。</w:t>
      </w:r>
      <w:r>
        <w:rPr>
          <w:rFonts w:hint="eastAsia" w:ascii="仿宋_GB2312" w:hAnsi="仿宋_GB2312" w:eastAsia="仿宋_GB2312" w:cs="仿宋_GB2312"/>
          <w:sz w:val="32"/>
          <w:szCs w:val="32"/>
          <w:highlight w:val="none"/>
          <w:lang w:val="en-US" w:eastAsia="zh-CN"/>
        </w:rPr>
        <w:t>市科创集团参与运营管理的园区，可由市科创集团立项</w:t>
      </w:r>
      <w:r>
        <w:rPr>
          <w:rFonts w:hint="eastAsia" w:ascii="仿宋_GB2312" w:hAnsi="仿宋_GB2312" w:eastAsia="仿宋_GB2312" w:cs="仿宋_GB2312"/>
          <w:spacing w:val="6"/>
          <w:sz w:val="32"/>
          <w:szCs w:val="32"/>
          <w:highlight w:val="none"/>
          <w:lang w:eastAsia="zh-CN"/>
        </w:rPr>
        <w:t>设立园区引导基金，</w:t>
      </w:r>
      <w:r>
        <w:rPr>
          <w:rFonts w:hint="eastAsia" w:ascii="仿宋_GB2312" w:hAnsi="仿宋_GB2312" w:eastAsia="仿宋_GB2312" w:cs="仿宋_GB2312"/>
          <w:spacing w:val="6"/>
          <w:sz w:val="32"/>
          <w:szCs w:val="32"/>
          <w:highlight w:val="none"/>
          <w:lang w:val="en-US" w:eastAsia="zh-CN"/>
        </w:rPr>
        <w:t>支持入园企业发展</w:t>
      </w:r>
      <w:r>
        <w:rPr>
          <w:rFonts w:hint="eastAsia" w:ascii="仿宋_GB2312" w:hAnsi="仿宋_GB2312" w:eastAsia="仿宋_GB2312" w:cs="仿宋_GB2312"/>
          <w:sz w:val="32"/>
          <w:szCs w:val="32"/>
          <w:highlight w:val="none"/>
          <w:lang w:val="en-US" w:eastAsia="zh-CN"/>
        </w:rPr>
        <w:t>。</w:t>
      </w:r>
    </w:p>
    <w:p>
      <w:pPr>
        <w:widowControl w:val="0"/>
        <w:autoSpaceDE w:val="0"/>
        <w:autoSpaceDN w:val="0"/>
        <w:adjustRightInd w:val="0"/>
        <w:snapToGrid w:val="0"/>
        <w:spacing w:line="600" w:lineRule="exact"/>
        <w:ind w:firstLine="664" w:firstLineChars="200"/>
        <w:jc w:val="left"/>
        <w:textAlignment w:val="baseline"/>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（三）专项类项目</w:t>
      </w:r>
    </w:p>
    <w:p>
      <w:pPr>
        <w:widowControl w:val="0"/>
        <w:autoSpaceDE w:val="0"/>
        <w:autoSpaceDN w:val="0"/>
        <w:adjustRightInd w:val="0"/>
        <w:snapToGrid w:val="0"/>
        <w:spacing w:line="600" w:lineRule="exact"/>
        <w:ind w:firstLine="664" w:firstLineChars="200"/>
        <w:jc w:val="left"/>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针对我市</w:t>
      </w:r>
      <w:r>
        <w:rPr>
          <w:rFonts w:hint="eastAsia" w:ascii="仿宋_GB2312" w:hAnsi="仿宋_GB2312" w:eastAsia="仿宋_GB2312" w:cs="仿宋_GB2312"/>
          <w:spacing w:val="6"/>
          <w:sz w:val="32"/>
          <w:szCs w:val="32"/>
          <w:highlight w:val="none"/>
          <w:lang w:eastAsia="zh-CN"/>
        </w:rPr>
        <w:t>科创领域</w:t>
      </w:r>
      <w:r>
        <w:rPr>
          <w:rFonts w:hint="eastAsia" w:ascii="仿宋_GB2312" w:hAnsi="仿宋_GB2312" w:eastAsia="仿宋_GB2312" w:cs="仿宋_GB2312"/>
          <w:spacing w:val="6"/>
          <w:sz w:val="32"/>
          <w:szCs w:val="32"/>
          <w:highlight w:val="none"/>
          <w:lang w:val="en-US" w:eastAsia="zh-CN"/>
        </w:rPr>
        <w:t>及战略新兴领域中早期</w:t>
      </w:r>
      <w:r>
        <w:rPr>
          <w:rFonts w:hint="eastAsia" w:ascii="仿宋_GB2312" w:hAnsi="仿宋_GB2312" w:eastAsia="仿宋_GB2312" w:cs="仿宋_GB2312"/>
          <w:spacing w:val="6"/>
          <w:sz w:val="32"/>
          <w:szCs w:val="32"/>
          <w:highlight w:val="none"/>
        </w:rPr>
        <w:t>重点招引项目、重大建设项目等，</w:t>
      </w:r>
      <w:r>
        <w:rPr>
          <w:rFonts w:hint="eastAsia" w:ascii="仿宋_GB2312" w:hAnsi="仿宋_GB2312" w:eastAsia="仿宋_GB2312" w:cs="仿宋_GB2312"/>
          <w:spacing w:val="6"/>
          <w:sz w:val="32"/>
          <w:szCs w:val="32"/>
          <w:highlight w:val="none"/>
          <w:lang w:eastAsia="zh-CN"/>
        </w:rPr>
        <w:t>通过直接投资或设立子基金等方式参与投资，</w:t>
      </w:r>
      <w:r>
        <w:rPr>
          <w:rFonts w:hint="eastAsia" w:eastAsia="仿宋_GB2312"/>
          <w:sz w:val="32"/>
          <w:szCs w:val="32"/>
          <w:highlight w:val="none"/>
        </w:rPr>
        <w:t>发挥财政资金杠杆放大作用，引导、撬动各类资本支持项目建设。</w:t>
      </w:r>
    </w:p>
    <w:p>
      <w:pPr>
        <w:widowControl w:val="0"/>
        <w:autoSpaceDE w:val="0"/>
        <w:autoSpaceDN w:val="0"/>
        <w:adjustRightInd w:val="0"/>
        <w:snapToGrid w:val="0"/>
        <w:spacing w:line="600" w:lineRule="exact"/>
        <w:ind w:firstLine="664" w:firstLineChars="200"/>
        <w:jc w:val="left"/>
        <w:textAlignment w:val="baseline"/>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w:t>
      </w:r>
      <w:r>
        <w:rPr>
          <w:rFonts w:hint="eastAsia" w:ascii="楷体" w:hAnsi="楷体" w:eastAsia="楷体" w:cs="楷体"/>
          <w:spacing w:val="6"/>
          <w:sz w:val="32"/>
          <w:szCs w:val="32"/>
          <w:highlight w:val="none"/>
          <w:lang w:val="en-US" w:eastAsia="zh-CN"/>
        </w:rPr>
        <w:t>四</w:t>
      </w:r>
      <w:r>
        <w:rPr>
          <w:rFonts w:hint="eastAsia" w:ascii="楷体" w:hAnsi="楷体" w:eastAsia="楷体" w:cs="楷体"/>
          <w:spacing w:val="6"/>
          <w:sz w:val="32"/>
          <w:szCs w:val="32"/>
          <w:highlight w:val="none"/>
        </w:rPr>
        <w:t>）其他</w:t>
      </w:r>
    </w:p>
    <w:p>
      <w:pPr>
        <w:widowControl w:val="0"/>
        <w:autoSpaceDE w:val="0"/>
        <w:autoSpaceDN w:val="0"/>
        <w:adjustRightInd w:val="0"/>
        <w:snapToGrid w:val="0"/>
        <w:spacing w:line="600" w:lineRule="exact"/>
        <w:ind w:firstLine="664" w:firstLineChars="200"/>
        <w:jc w:val="left"/>
        <w:textAlignment w:val="baseline"/>
        <w:rPr>
          <w:rFonts w:ascii="楷体" w:hAnsi="楷体" w:eastAsia="楷体" w:cs="楷体"/>
          <w:spacing w:val="6"/>
          <w:sz w:val="32"/>
          <w:szCs w:val="32"/>
          <w:highlight w:val="none"/>
        </w:rPr>
      </w:pPr>
      <w:r>
        <w:rPr>
          <w:rFonts w:hint="eastAsia" w:ascii="仿宋_GB2312" w:hAnsi="仿宋_GB2312" w:eastAsia="仿宋_GB2312" w:cs="仿宋_GB2312"/>
          <w:spacing w:val="6"/>
          <w:sz w:val="32"/>
          <w:szCs w:val="32"/>
          <w:highlight w:val="none"/>
        </w:rPr>
        <w:t>除上述</w:t>
      </w:r>
      <w:r>
        <w:rPr>
          <w:rFonts w:hint="eastAsia" w:ascii="仿宋_GB2312" w:hAnsi="仿宋_GB2312" w:eastAsia="仿宋_GB2312" w:cs="仿宋_GB2312"/>
          <w:spacing w:val="6"/>
          <w:sz w:val="32"/>
          <w:szCs w:val="32"/>
          <w:highlight w:val="none"/>
          <w:lang w:eastAsia="zh-CN"/>
        </w:rPr>
        <w:t>项目</w:t>
      </w:r>
      <w:r>
        <w:rPr>
          <w:rFonts w:hint="eastAsia" w:ascii="仿宋_GB2312" w:hAnsi="仿宋_GB2312" w:eastAsia="仿宋_GB2312" w:cs="仿宋_GB2312"/>
          <w:spacing w:val="6"/>
          <w:sz w:val="32"/>
          <w:szCs w:val="32"/>
          <w:highlight w:val="none"/>
        </w:rPr>
        <w:t>以外，</w:t>
      </w:r>
      <w:r>
        <w:rPr>
          <w:rFonts w:hint="eastAsia" w:ascii="仿宋_GB2312" w:hAnsi="仿宋_GB2312" w:eastAsia="仿宋_GB2312" w:cs="仿宋_GB2312"/>
          <w:spacing w:val="6"/>
          <w:sz w:val="32"/>
          <w:szCs w:val="32"/>
          <w:highlight w:val="none"/>
          <w:lang w:eastAsia="zh-CN"/>
        </w:rPr>
        <w:t>市委市政府明确支持的重点项目</w:t>
      </w:r>
      <w:r>
        <w:rPr>
          <w:rFonts w:hint="eastAsia" w:ascii="仿宋_GB2312" w:hAnsi="仿宋_GB2312" w:eastAsia="仿宋_GB2312" w:cs="仿宋_GB2312"/>
          <w:spacing w:val="6"/>
          <w:sz w:val="32"/>
          <w:szCs w:val="32"/>
          <w:highlight w:val="none"/>
        </w:rPr>
        <w:t>。</w:t>
      </w:r>
    </w:p>
    <w:p>
      <w:pPr>
        <w:widowControl w:val="0"/>
        <w:spacing w:line="600" w:lineRule="exact"/>
        <w:ind w:firstLine="640" w:firstLineChars="200"/>
        <w:jc w:val="left"/>
        <w:rPr>
          <w:rFonts w:ascii="黑体" w:hAnsi="黑体" w:eastAsia="黑体" w:cs="黑体"/>
          <w:sz w:val="32"/>
          <w:szCs w:val="40"/>
          <w:highlight w:val="none"/>
        </w:rPr>
      </w:pPr>
      <w:r>
        <w:rPr>
          <w:rFonts w:hint="eastAsia" w:ascii="黑体" w:hAnsi="黑体" w:eastAsia="黑体" w:cs="黑体"/>
          <w:sz w:val="32"/>
          <w:szCs w:val="40"/>
          <w:highlight w:val="none"/>
          <w:lang w:eastAsia="zh-CN"/>
        </w:rPr>
        <w:t>五</w:t>
      </w:r>
      <w:r>
        <w:rPr>
          <w:rFonts w:hint="eastAsia" w:ascii="黑体" w:hAnsi="黑体" w:eastAsia="黑体" w:cs="黑体"/>
          <w:sz w:val="32"/>
          <w:szCs w:val="40"/>
          <w:highlight w:val="none"/>
        </w:rPr>
        <w:t>、</w:t>
      </w:r>
      <w:r>
        <w:rPr>
          <w:rFonts w:hint="eastAsia" w:ascii="黑体" w:hAnsi="黑体" w:eastAsia="黑体" w:cs="黑体"/>
          <w:spacing w:val="2"/>
          <w:sz w:val="32"/>
          <w:szCs w:val="32"/>
          <w:highlight w:val="none"/>
        </w:rPr>
        <w:t>保障措施</w:t>
      </w:r>
    </w:p>
    <w:p>
      <w:pPr>
        <w:widowControl w:val="0"/>
        <w:spacing w:line="600" w:lineRule="exact"/>
        <w:ind w:firstLine="664" w:firstLineChars="200"/>
        <w:jc w:val="both"/>
        <w:rPr>
          <w:rFonts w:hint="eastAsia" w:ascii="楷体" w:hAnsi="楷体" w:eastAsia="楷体" w:cs="楷体"/>
          <w:snapToGrid w:val="0"/>
          <w:color w:val="auto"/>
          <w:spacing w:val="6"/>
          <w:kern w:val="0"/>
          <w:sz w:val="32"/>
          <w:szCs w:val="32"/>
          <w:highlight w:val="none"/>
        </w:rPr>
      </w:pPr>
      <w:r>
        <w:rPr>
          <w:rFonts w:hint="eastAsia" w:ascii="楷体" w:hAnsi="楷体" w:eastAsia="楷体" w:cs="楷体"/>
          <w:snapToGrid w:val="0"/>
          <w:spacing w:val="6"/>
          <w:sz w:val="32"/>
          <w:szCs w:val="32"/>
          <w:highlight w:val="none"/>
        </w:rPr>
        <w:t>（一）</w:t>
      </w:r>
      <w:r>
        <w:rPr>
          <w:rFonts w:hint="eastAsia" w:ascii="楷体" w:hAnsi="楷体" w:eastAsia="楷体" w:cs="楷体"/>
          <w:snapToGrid w:val="0"/>
          <w:spacing w:val="6"/>
          <w:sz w:val="32"/>
          <w:szCs w:val="32"/>
          <w:highlight w:val="none"/>
          <w:lang w:eastAsia="zh-CN"/>
        </w:rPr>
        <w:t>加强统筹协调。</w:t>
      </w:r>
      <w:r>
        <w:rPr>
          <w:rFonts w:hint="eastAsia" w:ascii="仿宋_GB2312" w:hAnsi="仿宋_GB2312" w:eastAsia="仿宋_GB2312" w:cs="仿宋_GB2312"/>
          <w:snapToGrid/>
          <w:spacing w:val="0"/>
          <w:sz w:val="32"/>
          <w:szCs w:val="32"/>
          <w:highlight w:val="none"/>
          <w:lang w:eastAsia="zh-CN"/>
        </w:rPr>
        <w:t>各地各部门要高度重视产业基金在推动科技创新过程中的重要作用，各司其职、各负其责，协调推进后续母、子基金的</w:t>
      </w:r>
      <w:r>
        <w:rPr>
          <w:rFonts w:hint="eastAsia" w:ascii="仿宋_GB2312" w:hAnsi="仿宋_GB2312" w:eastAsia="仿宋_GB2312" w:cs="仿宋_GB2312"/>
          <w:snapToGrid w:val="0"/>
          <w:spacing w:val="6"/>
          <w:sz w:val="32"/>
          <w:szCs w:val="32"/>
          <w:highlight w:val="none"/>
          <w:lang w:val="en-US" w:eastAsia="zh-CN"/>
        </w:rPr>
        <w:t>设立、运作、管理等工作。为促进资金、项目等创新要素合理集聚，市、县两级联动与国家、省产业基金合作设立基金的，市县政府产业基金合计出资比例可超过基金规模的30%，其中市政府产业基金出资不超过基金规模的30%。按我市有关规定明确的招商引资项目</w:t>
      </w:r>
      <w:r>
        <w:rPr>
          <w:rFonts w:hint="eastAsia" w:ascii="仿宋_GB2312" w:hAnsi="仿宋_GB2312" w:eastAsia="仿宋_GB2312" w:cs="仿宋_GB2312"/>
          <w:sz w:val="32"/>
          <w:szCs w:val="32"/>
          <w:highlight w:val="none"/>
          <w:lang w:val="en-US" w:eastAsia="zh-CN"/>
        </w:rPr>
        <w:t>可计入返投认定金额。</w:t>
      </w:r>
    </w:p>
    <w:p>
      <w:pPr>
        <w:widowControl w:val="0"/>
        <w:spacing w:line="600" w:lineRule="exact"/>
        <w:ind w:firstLine="664" w:firstLineChars="200"/>
        <w:jc w:val="both"/>
        <w:rPr>
          <w:rFonts w:hint="default" w:ascii="楷体" w:hAnsi="楷体" w:eastAsia="楷体" w:cs="楷体"/>
          <w:snapToGrid w:val="0"/>
          <w:spacing w:val="6"/>
          <w:sz w:val="32"/>
          <w:szCs w:val="32"/>
          <w:highlight w:val="none"/>
          <w:lang w:val="en-US"/>
        </w:rPr>
      </w:pPr>
      <w:r>
        <w:rPr>
          <w:rFonts w:hint="eastAsia" w:ascii="楷体" w:hAnsi="楷体" w:eastAsia="楷体" w:cs="楷体"/>
          <w:snapToGrid w:val="0"/>
          <w:color w:val="auto"/>
          <w:spacing w:val="6"/>
          <w:kern w:val="0"/>
          <w:sz w:val="32"/>
          <w:szCs w:val="32"/>
          <w:highlight w:val="none"/>
        </w:rPr>
        <w:t>（</w:t>
      </w:r>
      <w:r>
        <w:rPr>
          <w:rFonts w:hint="eastAsia" w:ascii="楷体" w:hAnsi="楷体" w:eastAsia="楷体" w:cs="楷体"/>
          <w:snapToGrid w:val="0"/>
          <w:color w:val="auto"/>
          <w:spacing w:val="6"/>
          <w:kern w:val="0"/>
          <w:sz w:val="32"/>
          <w:szCs w:val="32"/>
          <w:highlight w:val="none"/>
          <w:lang w:val="en-US" w:eastAsia="zh-CN"/>
        </w:rPr>
        <w:t>二</w:t>
      </w:r>
      <w:r>
        <w:rPr>
          <w:rFonts w:hint="eastAsia" w:ascii="楷体" w:hAnsi="楷体" w:eastAsia="楷体" w:cs="楷体"/>
          <w:snapToGrid w:val="0"/>
          <w:color w:val="auto"/>
          <w:spacing w:val="6"/>
          <w:kern w:val="0"/>
          <w:sz w:val="32"/>
          <w:szCs w:val="32"/>
          <w:highlight w:val="none"/>
        </w:rPr>
        <w:t>）</w:t>
      </w:r>
      <w:r>
        <w:rPr>
          <w:rFonts w:hint="eastAsia" w:ascii="楷体" w:hAnsi="楷体" w:eastAsia="楷体" w:cs="楷体"/>
          <w:snapToGrid w:val="0"/>
          <w:color w:val="auto"/>
          <w:spacing w:val="6"/>
          <w:kern w:val="0"/>
          <w:sz w:val="32"/>
          <w:szCs w:val="32"/>
          <w:highlight w:val="none"/>
          <w:lang w:val="en-US" w:eastAsia="zh-CN"/>
        </w:rPr>
        <w:t>加强考核</w:t>
      </w:r>
      <w:r>
        <w:rPr>
          <w:rFonts w:hint="eastAsia" w:ascii="楷体" w:hAnsi="楷体" w:eastAsia="楷体" w:cs="楷体"/>
          <w:snapToGrid w:val="0"/>
          <w:color w:val="auto"/>
          <w:spacing w:val="6"/>
          <w:kern w:val="0"/>
          <w:sz w:val="32"/>
          <w:szCs w:val="32"/>
          <w:highlight w:val="none"/>
        </w:rPr>
        <w:t>评价。</w:t>
      </w:r>
      <w:r>
        <w:rPr>
          <w:rFonts w:hint="eastAsia" w:ascii="仿宋_GB2312" w:hAnsi="仿宋_GB2312" w:eastAsia="仿宋_GB2312" w:cs="仿宋_GB2312"/>
          <w:sz w:val="32"/>
          <w:szCs w:val="40"/>
          <w:highlight w:val="none"/>
        </w:rPr>
        <w:t>建立绩效考核机制</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napToGrid w:val="0"/>
          <w:color w:val="auto"/>
          <w:spacing w:val="6"/>
          <w:kern w:val="0"/>
          <w:sz w:val="32"/>
          <w:szCs w:val="32"/>
          <w:highlight w:val="none"/>
        </w:rPr>
        <w:t>合理设置评价指标，重点评价母基金</w:t>
      </w:r>
      <w:r>
        <w:rPr>
          <w:rFonts w:hint="eastAsia" w:ascii="仿宋_GB2312" w:hAnsi="仿宋_GB2312" w:eastAsia="仿宋_GB2312" w:cs="仿宋_GB2312"/>
          <w:snapToGrid w:val="0"/>
          <w:color w:val="auto"/>
          <w:spacing w:val="6"/>
          <w:kern w:val="0"/>
          <w:sz w:val="32"/>
          <w:szCs w:val="32"/>
          <w:highlight w:val="none"/>
          <w:lang w:val="en-US" w:eastAsia="zh-CN"/>
        </w:rPr>
        <w:t>的</w:t>
      </w:r>
      <w:r>
        <w:rPr>
          <w:rFonts w:hint="eastAsia" w:ascii="仿宋_GB2312" w:hAnsi="仿宋_GB2312" w:eastAsia="仿宋_GB2312" w:cs="仿宋_GB2312"/>
          <w:sz w:val="32"/>
          <w:szCs w:val="40"/>
          <w:highlight w:val="none"/>
        </w:rPr>
        <w:t>政策目标完成情况、投资运营情况、母基金管理机构履职尽责</w:t>
      </w:r>
      <w:r>
        <w:rPr>
          <w:rFonts w:hint="eastAsia" w:ascii="仿宋_GB2312" w:hAnsi="仿宋_GB2312" w:eastAsia="仿宋_GB2312" w:cs="仿宋_GB2312"/>
          <w:snapToGrid w:val="0"/>
          <w:color w:val="auto"/>
          <w:spacing w:val="6"/>
          <w:kern w:val="0"/>
          <w:sz w:val="32"/>
          <w:szCs w:val="32"/>
          <w:highlight w:val="none"/>
        </w:rPr>
        <w:t>等</w:t>
      </w:r>
      <w:r>
        <w:rPr>
          <w:rFonts w:hint="eastAsia" w:ascii="仿宋_GB2312" w:hAnsi="仿宋_GB2312" w:eastAsia="仿宋_GB2312" w:cs="仿宋_GB2312"/>
          <w:snapToGrid w:val="0"/>
          <w:color w:val="auto"/>
          <w:spacing w:val="6"/>
          <w:kern w:val="0"/>
          <w:sz w:val="32"/>
          <w:szCs w:val="32"/>
          <w:highlight w:val="none"/>
          <w:lang w:val="en-US" w:eastAsia="zh-CN"/>
        </w:rPr>
        <w:t>方面</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rPr>
        <w:t>对基金的运行情况进行全面综合考评，确保</w:t>
      </w:r>
      <w:r>
        <w:rPr>
          <w:rFonts w:hint="eastAsia" w:ascii="仿宋_GB2312" w:hAnsi="仿宋_GB2312" w:eastAsia="仿宋_GB2312" w:cs="仿宋_GB2312"/>
          <w:b w:val="0"/>
          <w:bCs w:val="0"/>
          <w:color w:val="auto"/>
          <w:spacing w:val="11"/>
          <w:sz w:val="32"/>
          <w:szCs w:val="32"/>
          <w:highlight w:val="none"/>
          <w:lang w:val="en-US" w:eastAsia="zh-CN"/>
        </w:rPr>
        <w:t>市科创母基金</w:t>
      </w:r>
      <w:r>
        <w:rPr>
          <w:rFonts w:hint="eastAsia" w:ascii="仿宋_GB2312" w:hAnsi="仿宋_GB2312" w:eastAsia="仿宋_GB2312" w:cs="仿宋_GB2312"/>
          <w:snapToGrid w:val="0"/>
          <w:color w:val="auto"/>
          <w:spacing w:val="6"/>
          <w:kern w:val="0"/>
          <w:sz w:val="32"/>
          <w:szCs w:val="32"/>
          <w:highlight w:val="none"/>
        </w:rPr>
        <w:t>在市场化运作的基础上发挥好政策导向作用。</w:t>
      </w:r>
    </w:p>
    <w:p>
      <w:pPr>
        <w:widowControl w:val="0"/>
        <w:spacing w:line="600" w:lineRule="exact"/>
        <w:ind w:firstLine="664" w:firstLineChars="200"/>
        <w:jc w:val="left"/>
        <w:rPr>
          <w:rFonts w:hint="eastAsia" w:ascii="仿宋_GB2312" w:hAnsi="仿宋_GB2312" w:eastAsia="仿宋_GB2312" w:cs="仿宋_GB2312"/>
          <w:sz w:val="32"/>
          <w:szCs w:val="40"/>
          <w:highlight w:val="none"/>
        </w:rPr>
      </w:pPr>
      <w:r>
        <w:rPr>
          <w:rFonts w:hint="eastAsia" w:ascii="楷体" w:hAnsi="楷体" w:eastAsia="楷体" w:cs="楷体"/>
          <w:snapToGrid w:val="0"/>
          <w:spacing w:val="6"/>
          <w:sz w:val="32"/>
          <w:szCs w:val="32"/>
          <w:highlight w:val="none"/>
        </w:rPr>
        <w:t>（</w:t>
      </w:r>
      <w:r>
        <w:rPr>
          <w:rFonts w:hint="eastAsia" w:ascii="楷体" w:hAnsi="楷体" w:eastAsia="楷体" w:cs="楷体"/>
          <w:snapToGrid w:val="0"/>
          <w:spacing w:val="6"/>
          <w:sz w:val="32"/>
          <w:szCs w:val="32"/>
          <w:highlight w:val="none"/>
          <w:lang w:val="en-US" w:eastAsia="zh-CN"/>
        </w:rPr>
        <w:t>三</w:t>
      </w:r>
      <w:r>
        <w:rPr>
          <w:rFonts w:hint="eastAsia" w:ascii="楷体" w:hAnsi="楷体" w:eastAsia="楷体" w:cs="楷体"/>
          <w:snapToGrid w:val="0"/>
          <w:spacing w:val="6"/>
          <w:sz w:val="32"/>
          <w:szCs w:val="32"/>
          <w:highlight w:val="none"/>
        </w:rPr>
        <w:t>）完善</w:t>
      </w:r>
      <w:r>
        <w:rPr>
          <w:rFonts w:hint="eastAsia" w:ascii="楷体" w:hAnsi="楷体" w:eastAsia="楷体" w:cs="楷体"/>
          <w:snapToGrid w:val="0"/>
          <w:spacing w:val="6"/>
          <w:sz w:val="32"/>
          <w:szCs w:val="32"/>
          <w:highlight w:val="none"/>
          <w:lang w:val="en-US" w:eastAsia="zh-CN"/>
        </w:rPr>
        <w:t>尽职免责</w:t>
      </w:r>
      <w:r>
        <w:rPr>
          <w:rFonts w:hint="eastAsia" w:ascii="楷体" w:hAnsi="楷体" w:eastAsia="楷体" w:cs="楷体"/>
          <w:snapToGrid w:val="0"/>
          <w:spacing w:val="6"/>
          <w:sz w:val="32"/>
          <w:szCs w:val="32"/>
          <w:highlight w:val="none"/>
        </w:rPr>
        <w:t>。</w:t>
      </w:r>
      <w:r>
        <w:rPr>
          <w:rFonts w:hint="eastAsia" w:ascii="仿宋_GB2312" w:hAnsi="仿宋_GB2312" w:eastAsia="仿宋_GB2312" w:cs="仿宋_GB2312"/>
          <w:sz w:val="32"/>
          <w:szCs w:val="40"/>
          <w:highlight w:val="none"/>
          <w:lang w:val="en-US" w:eastAsia="zh-CN"/>
        </w:rPr>
        <w:t>基金投资运营遵循市场规律，注重基金整体业绩和政策目标实现，以</w:t>
      </w:r>
      <w:r>
        <w:rPr>
          <w:rFonts w:hint="eastAsia" w:ascii="仿宋_GB2312" w:hAnsi="仿宋_GB2312" w:eastAsia="仿宋_GB2312" w:cs="仿宋_GB2312"/>
          <w:sz w:val="32"/>
          <w:szCs w:val="40"/>
          <w:highlight w:val="none"/>
        </w:rPr>
        <w:t>市科创母基金</w:t>
      </w:r>
      <w:r>
        <w:rPr>
          <w:rFonts w:hint="eastAsia" w:ascii="仿宋_GB2312" w:hAnsi="仿宋_GB2312" w:eastAsia="仿宋_GB2312" w:cs="仿宋_GB2312"/>
          <w:sz w:val="32"/>
          <w:szCs w:val="40"/>
          <w:highlight w:val="none"/>
          <w:lang w:val="en-US" w:eastAsia="zh-CN"/>
        </w:rPr>
        <w:t>整体表现作为评价依据，</w:t>
      </w:r>
      <w:r>
        <w:rPr>
          <w:rFonts w:hint="eastAsia" w:ascii="仿宋_GB2312" w:hAnsi="仿宋_GB2312" w:eastAsia="仿宋_GB2312" w:cs="仿宋_GB2312"/>
          <w:sz w:val="32"/>
          <w:szCs w:val="40"/>
          <w:highlight w:val="none"/>
        </w:rPr>
        <w:t>不以单个子基金或项目损失作为评价依据，不以正常投资风险作为追责依据。在市科创母基金运营管理中，符合相关规定的情形，</w:t>
      </w:r>
      <w:r>
        <w:rPr>
          <w:rFonts w:hint="eastAsia" w:ascii="仿宋_GB2312" w:hAnsi="仿宋_GB2312" w:eastAsia="仿宋_GB2312" w:cs="仿宋_GB2312"/>
          <w:sz w:val="32"/>
          <w:szCs w:val="40"/>
          <w:highlight w:val="none"/>
          <w:lang w:eastAsia="zh-CN"/>
        </w:rPr>
        <w:t>未违纪违法谋取私立且符合尽职免责工作指引中的关于免责适用情形的，可按规定程序在</w:t>
      </w:r>
      <w:r>
        <w:rPr>
          <w:rFonts w:hint="eastAsia" w:ascii="仿宋_GB2312" w:hAnsi="仿宋_GB2312" w:eastAsia="仿宋_GB2312" w:cs="仿宋_GB2312"/>
          <w:sz w:val="32"/>
          <w:szCs w:val="40"/>
          <w:highlight w:val="none"/>
        </w:rPr>
        <w:t>考核</w:t>
      </w:r>
      <w:r>
        <w:rPr>
          <w:rFonts w:hint="eastAsia" w:ascii="仿宋_GB2312" w:hAnsi="仿宋_GB2312" w:eastAsia="仿宋_GB2312" w:cs="仿宋_GB2312"/>
          <w:sz w:val="32"/>
          <w:szCs w:val="40"/>
          <w:highlight w:val="none"/>
          <w:lang w:eastAsia="zh-CN"/>
        </w:rPr>
        <w:t>评价</w:t>
      </w:r>
      <w:r>
        <w:rPr>
          <w:rFonts w:hint="eastAsia" w:ascii="仿宋_GB2312" w:hAnsi="仿宋_GB2312" w:eastAsia="仿宋_GB2312" w:cs="仿宋_GB2312"/>
          <w:sz w:val="32"/>
          <w:szCs w:val="40"/>
          <w:highlight w:val="none"/>
        </w:rPr>
        <w:t>时不作负向</w:t>
      </w:r>
      <w:r>
        <w:rPr>
          <w:rFonts w:hint="eastAsia" w:ascii="仿宋_GB2312" w:hAnsi="仿宋_GB2312" w:eastAsia="仿宋_GB2312" w:cs="仿宋_GB2312"/>
          <w:sz w:val="32"/>
          <w:szCs w:val="40"/>
          <w:highlight w:val="none"/>
          <w:lang w:val="en-US" w:eastAsia="zh-CN"/>
        </w:rPr>
        <w:t>评价</w:t>
      </w:r>
      <w:r>
        <w:rPr>
          <w:rFonts w:hint="eastAsia" w:ascii="仿宋_GB2312" w:hAnsi="仿宋_GB2312" w:eastAsia="仿宋_GB2312" w:cs="仿宋_GB2312"/>
          <w:sz w:val="32"/>
          <w:szCs w:val="40"/>
          <w:highlight w:val="none"/>
        </w:rPr>
        <w:t>。</w:t>
      </w:r>
    </w:p>
    <w:p>
      <w:pPr>
        <w:spacing w:line="600" w:lineRule="exact"/>
        <w:ind w:firstLine="620" w:firstLineChars="200"/>
        <w:jc w:val="left"/>
        <w:rPr>
          <w:rFonts w:hint="eastAsia" w:ascii="仿宋_GB2312" w:hAnsi="宋体" w:eastAsia="仿宋_GB2312" w:cs="仿宋_GB2312"/>
          <w:color w:val="000000"/>
          <w:sz w:val="31"/>
          <w:szCs w:val="31"/>
          <w:highlight w:val="none"/>
          <w:lang w:eastAsia="zh-CN" w:bidi="ar"/>
        </w:rPr>
      </w:pPr>
      <w:r>
        <w:rPr>
          <w:rFonts w:ascii="仿宋_GB2312" w:hAnsi="宋体" w:eastAsia="仿宋_GB2312" w:cs="仿宋_GB2312"/>
          <w:color w:val="000000"/>
          <w:sz w:val="31"/>
          <w:szCs w:val="31"/>
          <w:highlight w:val="none"/>
          <w:lang w:bidi="ar"/>
        </w:rPr>
        <w:t>本方案自 202</w:t>
      </w:r>
      <w:r>
        <w:rPr>
          <w:rFonts w:hint="eastAsia" w:ascii="仿宋_GB2312" w:hAnsi="宋体" w:eastAsia="仿宋_GB2312" w:cs="仿宋_GB2312"/>
          <w:color w:val="000000"/>
          <w:sz w:val="31"/>
          <w:szCs w:val="31"/>
          <w:highlight w:val="none"/>
          <w:lang w:bidi="ar"/>
        </w:rPr>
        <w:t>4</w:t>
      </w:r>
      <w:r>
        <w:rPr>
          <w:rFonts w:ascii="仿宋_GB2312" w:hAnsi="宋体" w:eastAsia="仿宋_GB2312" w:cs="仿宋_GB2312"/>
          <w:color w:val="000000"/>
          <w:sz w:val="31"/>
          <w:szCs w:val="31"/>
          <w:highlight w:val="none"/>
          <w:lang w:bidi="ar"/>
        </w:rPr>
        <w:t xml:space="preserve"> 年*月*日起施行。</w:t>
      </w:r>
      <w:r>
        <w:rPr>
          <w:rFonts w:hint="eastAsia" w:ascii="仿宋_GB2312" w:hAnsi="宋体" w:eastAsia="仿宋_GB2312" w:cs="仿宋_GB2312"/>
          <w:color w:val="000000"/>
          <w:sz w:val="31"/>
          <w:szCs w:val="31"/>
          <w:highlight w:val="none"/>
          <w:lang w:eastAsia="zh-CN" w:bidi="ar"/>
        </w:rPr>
        <w:t>本方案未尽之处，以《台州市政府产业基金管理办法》的规定为准。</w:t>
      </w:r>
    </w:p>
    <w:p>
      <w:pPr>
        <w:pStyle w:val="2"/>
        <w:rPr>
          <w:rFonts w:hint="eastAsia"/>
          <w:highlight w:val="none"/>
          <w:lang w:val="en-US" w:eastAsia="zh-CN"/>
        </w:rPr>
      </w:pPr>
    </w:p>
    <w:p/>
    <w:p/>
    <w:p>
      <w:pPr>
        <w:rPr>
          <w:rFonts w:hint="default"/>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7A"/>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jZjZjY5MjJkOGE4NDNkMDkwYWQyOGE2ZDU4OWEifQ=="/>
  </w:docVars>
  <w:rsids>
    <w:rsidRoot w:val="3D741149"/>
    <w:rsid w:val="00086471"/>
    <w:rsid w:val="0023162D"/>
    <w:rsid w:val="00B431C9"/>
    <w:rsid w:val="00D8645B"/>
    <w:rsid w:val="01271B63"/>
    <w:rsid w:val="02244543"/>
    <w:rsid w:val="027F12E5"/>
    <w:rsid w:val="039B14C4"/>
    <w:rsid w:val="03FB7D5B"/>
    <w:rsid w:val="04540FDD"/>
    <w:rsid w:val="05BD6681"/>
    <w:rsid w:val="05E34DF9"/>
    <w:rsid w:val="06A77052"/>
    <w:rsid w:val="073E2466"/>
    <w:rsid w:val="07A00844"/>
    <w:rsid w:val="084426E9"/>
    <w:rsid w:val="0B0C45CC"/>
    <w:rsid w:val="0B66080B"/>
    <w:rsid w:val="0C0A66B7"/>
    <w:rsid w:val="0CFF3AFF"/>
    <w:rsid w:val="0E257E3C"/>
    <w:rsid w:val="0ECC3497"/>
    <w:rsid w:val="0F500BF7"/>
    <w:rsid w:val="0FBFC921"/>
    <w:rsid w:val="0FF34FDB"/>
    <w:rsid w:val="10230EA3"/>
    <w:rsid w:val="102A4536"/>
    <w:rsid w:val="10692BD6"/>
    <w:rsid w:val="10FF126E"/>
    <w:rsid w:val="11A1239E"/>
    <w:rsid w:val="11CC372A"/>
    <w:rsid w:val="12A87363"/>
    <w:rsid w:val="13A02957"/>
    <w:rsid w:val="140267CD"/>
    <w:rsid w:val="14A648A3"/>
    <w:rsid w:val="14BB5845"/>
    <w:rsid w:val="15B35186"/>
    <w:rsid w:val="15ED6DCD"/>
    <w:rsid w:val="16D136E8"/>
    <w:rsid w:val="1760697E"/>
    <w:rsid w:val="183266C6"/>
    <w:rsid w:val="19136C38"/>
    <w:rsid w:val="19F2451B"/>
    <w:rsid w:val="1A2A3FD3"/>
    <w:rsid w:val="1A632489"/>
    <w:rsid w:val="1A8030AE"/>
    <w:rsid w:val="1C3D7213"/>
    <w:rsid w:val="1C67119D"/>
    <w:rsid w:val="1DC3048E"/>
    <w:rsid w:val="1DF00371"/>
    <w:rsid w:val="20890555"/>
    <w:rsid w:val="20E24B14"/>
    <w:rsid w:val="239A4692"/>
    <w:rsid w:val="23B87170"/>
    <w:rsid w:val="23EF2BC3"/>
    <w:rsid w:val="241157A2"/>
    <w:rsid w:val="25447015"/>
    <w:rsid w:val="268C14FB"/>
    <w:rsid w:val="28B72CB7"/>
    <w:rsid w:val="2AA171C9"/>
    <w:rsid w:val="2CD91B2B"/>
    <w:rsid w:val="2D5C339E"/>
    <w:rsid w:val="2D805F5E"/>
    <w:rsid w:val="2F93499D"/>
    <w:rsid w:val="31DE18BF"/>
    <w:rsid w:val="321511AE"/>
    <w:rsid w:val="322659E1"/>
    <w:rsid w:val="32335AEA"/>
    <w:rsid w:val="3241745E"/>
    <w:rsid w:val="327854C7"/>
    <w:rsid w:val="32CF33CC"/>
    <w:rsid w:val="338C1A95"/>
    <w:rsid w:val="33FC5ADD"/>
    <w:rsid w:val="34FC1B5E"/>
    <w:rsid w:val="3548626D"/>
    <w:rsid w:val="35F83281"/>
    <w:rsid w:val="363E1F50"/>
    <w:rsid w:val="36577865"/>
    <w:rsid w:val="36B601BF"/>
    <w:rsid w:val="371FF3E6"/>
    <w:rsid w:val="373E01D0"/>
    <w:rsid w:val="375E6F9C"/>
    <w:rsid w:val="385B176C"/>
    <w:rsid w:val="38A34BA1"/>
    <w:rsid w:val="390B44C7"/>
    <w:rsid w:val="39B81C7A"/>
    <w:rsid w:val="39BA6F28"/>
    <w:rsid w:val="39E41F3E"/>
    <w:rsid w:val="3A0165A5"/>
    <w:rsid w:val="3A57449F"/>
    <w:rsid w:val="3C013388"/>
    <w:rsid w:val="3C536B98"/>
    <w:rsid w:val="3D156588"/>
    <w:rsid w:val="3D294974"/>
    <w:rsid w:val="3D407EE4"/>
    <w:rsid w:val="3D553C65"/>
    <w:rsid w:val="3D741149"/>
    <w:rsid w:val="3E032F57"/>
    <w:rsid w:val="3EEBFEB2"/>
    <w:rsid w:val="403A1E89"/>
    <w:rsid w:val="40C55107"/>
    <w:rsid w:val="42A36512"/>
    <w:rsid w:val="43046AAF"/>
    <w:rsid w:val="43105A0C"/>
    <w:rsid w:val="447A1D78"/>
    <w:rsid w:val="44923051"/>
    <w:rsid w:val="455704DB"/>
    <w:rsid w:val="457F7C48"/>
    <w:rsid w:val="46120E37"/>
    <w:rsid w:val="4621146A"/>
    <w:rsid w:val="466A2505"/>
    <w:rsid w:val="48FF524C"/>
    <w:rsid w:val="492F7359"/>
    <w:rsid w:val="4A256EB9"/>
    <w:rsid w:val="4A5757C3"/>
    <w:rsid w:val="4C9A1749"/>
    <w:rsid w:val="4CC23480"/>
    <w:rsid w:val="4D354484"/>
    <w:rsid w:val="4D7F3033"/>
    <w:rsid w:val="4D9C46A4"/>
    <w:rsid w:val="4E2C2493"/>
    <w:rsid w:val="4EAC5DCA"/>
    <w:rsid w:val="4FF4233F"/>
    <w:rsid w:val="51987742"/>
    <w:rsid w:val="51DA079F"/>
    <w:rsid w:val="51F34599"/>
    <w:rsid w:val="53296969"/>
    <w:rsid w:val="5356410A"/>
    <w:rsid w:val="54F24016"/>
    <w:rsid w:val="55150ED2"/>
    <w:rsid w:val="55B75673"/>
    <w:rsid w:val="55DEBE42"/>
    <w:rsid w:val="565B3560"/>
    <w:rsid w:val="56842998"/>
    <w:rsid w:val="568F6C73"/>
    <w:rsid w:val="577F1BF9"/>
    <w:rsid w:val="59CE293C"/>
    <w:rsid w:val="5A1C390B"/>
    <w:rsid w:val="5BE97F8F"/>
    <w:rsid w:val="5D6D0908"/>
    <w:rsid w:val="5DEC0CCC"/>
    <w:rsid w:val="5DFE57DF"/>
    <w:rsid w:val="5EAD2D98"/>
    <w:rsid w:val="5EBF0E78"/>
    <w:rsid w:val="5EDF3BBE"/>
    <w:rsid w:val="5EFDAF05"/>
    <w:rsid w:val="5F2A356A"/>
    <w:rsid w:val="5F5859DD"/>
    <w:rsid w:val="602167A9"/>
    <w:rsid w:val="60603FA8"/>
    <w:rsid w:val="609B3B42"/>
    <w:rsid w:val="60B53F65"/>
    <w:rsid w:val="60BD69DF"/>
    <w:rsid w:val="60C67554"/>
    <w:rsid w:val="616D6DAB"/>
    <w:rsid w:val="63002CD8"/>
    <w:rsid w:val="646C2781"/>
    <w:rsid w:val="648548AB"/>
    <w:rsid w:val="649A57ED"/>
    <w:rsid w:val="64A6567C"/>
    <w:rsid w:val="64FB2E22"/>
    <w:rsid w:val="651E53CB"/>
    <w:rsid w:val="66CC00F5"/>
    <w:rsid w:val="672824E4"/>
    <w:rsid w:val="672E5582"/>
    <w:rsid w:val="67BFC9DF"/>
    <w:rsid w:val="68012C10"/>
    <w:rsid w:val="68061AC3"/>
    <w:rsid w:val="69025270"/>
    <w:rsid w:val="6A2435CB"/>
    <w:rsid w:val="6A6C0569"/>
    <w:rsid w:val="6AA97646"/>
    <w:rsid w:val="6B730E2D"/>
    <w:rsid w:val="6C2546E8"/>
    <w:rsid w:val="6D2A64EB"/>
    <w:rsid w:val="6D385ED3"/>
    <w:rsid w:val="6E087281"/>
    <w:rsid w:val="6FAF1C5D"/>
    <w:rsid w:val="6FB77B0F"/>
    <w:rsid w:val="6FBBAA4E"/>
    <w:rsid w:val="70DD5398"/>
    <w:rsid w:val="70E5109A"/>
    <w:rsid w:val="71AE418F"/>
    <w:rsid w:val="734E63CC"/>
    <w:rsid w:val="73E77446"/>
    <w:rsid w:val="73FB8CBB"/>
    <w:rsid w:val="749A21DB"/>
    <w:rsid w:val="74D90B8E"/>
    <w:rsid w:val="74F04532"/>
    <w:rsid w:val="75162904"/>
    <w:rsid w:val="7535311E"/>
    <w:rsid w:val="75726A03"/>
    <w:rsid w:val="76AF0239"/>
    <w:rsid w:val="77BA0561"/>
    <w:rsid w:val="77F3F0CC"/>
    <w:rsid w:val="79483BDE"/>
    <w:rsid w:val="79EFD967"/>
    <w:rsid w:val="7A177321"/>
    <w:rsid w:val="7BF534A4"/>
    <w:rsid w:val="7C44624D"/>
    <w:rsid w:val="7C4D511E"/>
    <w:rsid w:val="7C7A20BF"/>
    <w:rsid w:val="7CC77FD2"/>
    <w:rsid w:val="7D251F1B"/>
    <w:rsid w:val="7D591E6A"/>
    <w:rsid w:val="7DB42FD3"/>
    <w:rsid w:val="7DDF7130"/>
    <w:rsid w:val="7DFCDFF1"/>
    <w:rsid w:val="7DFEEA5F"/>
    <w:rsid w:val="7E0A2C3A"/>
    <w:rsid w:val="7E7B63AA"/>
    <w:rsid w:val="7EDBF810"/>
    <w:rsid w:val="7F0FAB65"/>
    <w:rsid w:val="7F2F5F80"/>
    <w:rsid w:val="7F8B549C"/>
    <w:rsid w:val="7FD5E4BE"/>
    <w:rsid w:val="7FDA426E"/>
    <w:rsid w:val="9DF1E09A"/>
    <w:rsid w:val="AE5CF578"/>
    <w:rsid w:val="BB3FB558"/>
    <w:rsid w:val="BF7ECDD1"/>
    <w:rsid w:val="BFFFBA9D"/>
    <w:rsid w:val="DEEC5F1B"/>
    <w:rsid w:val="DEFFC163"/>
    <w:rsid w:val="DF6F017C"/>
    <w:rsid w:val="DFB72A19"/>
    <w:rsid w:val="DFFB4E38"/>
    <w:rsid w:val="E2F5939B"/>
    <w:rsid w:val="E9EBF261"/>
    <w:rsid w:val="EDFB4469"/>
    <w:rsid w:val="EFEBB57F"/>
    <w:rsid w:val="F5FE031D"/>
    <w:rsid w:val="F7DE06CB"/>
    <w:rsid w:val="F9B72810"/>
    <w:rsid w:val="FB153A77"/>
    <w:rsid w:val="FBD5BEA5"/>
    <w:rsid w:val="FBFBF804"/>
    <w:rsid w:val="FBFFF5F4"/>
    <w:rsid w:val="FD1B17A9"/>
    <w:rsid w:val="FEBFD87D"/>
    <w:rsid w:val="FFF54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Times New Roman" w:cs="Times New Roman"/>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3732</Words>
  <Characters>3972</Characters>
  <Lines>0</Lines>
  <Paragraphs>0</Paragraphs>
  <TotalTime>0</TotalTime>
  <ScaleCrop>false</ScaleCrop>
  <LinksUpToDate>false</LinksUpToDate>
  <CharactersWithSpaces>3972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2019-01-08T00:01:00Z</dcterms:created>
  <dc:creator>Administrator</dc:creator>
  <cp:lastModifiedBy>木眉</cp:lastModifiedBy>
  <dcterms:modified xsi:type="dcterms:W3CDTF">2024-06-05T07:32:07Z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1A84A703C01A483B8EC19DEF55A885BD_13</vt:lpwstr>
  </property>
</Properties>
</file>