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C2CDF">
      <w:pPr>
        <w:widowControl/>
        <w:jc w:val="center"/>
        <w:rPr>
          <w:rFonts w:hint="eastAsia" w:ascii="方正小标宋简体" w:hAnsi="方正小标宋简体" w:eastAsia="方正小标宋简体" w:cs="方正小标宋简体"/>
          <w:kern w:val="0"/>
          <w:sz w:val="44"/>
          <w:szCs w:val="44"/>
          <w:highlight w:val="none"/>
          <w:lang w:bidi="ar"/>
        </w:rPr>
      </w:pPr>
      <w:bookmarkStart w:id="1" w:name="_GoBack"/>
      <w:r>
        <w:rPr>
          <w:rFonts w:hint="eastAsia" w:ascii="方正小标宋简体" w:hAnsi="方正小标宋简体" w:eastAsia="方正小标宋简体" w:cs="方正小标宋简体"/>
          <w:kern w:val="0"/>
          <w:sz w:val="44"/>
          <w:szCs w:val="44"/>
          <w:highlight w:val="none"/>
          <w:lang w:eastAsia="zh-CN" w:bidi="ar"/>
        </w:rPr>
        <w:t>台州市自然资源和规划局</w:t>
      </w:r>
      <w:r>
        <w:rPr>
          <w:rFonts w:hint="eastAsia" w:ascii="方正小标宋简体" w:hAnsi="方正小标宋简体" w:eastAsia="方正小标宋简体" w:cs="方正小标宋简体"/>
          <w:kern w:val="0"/>
          <w:sz w:val="44"/>
          <w:szCs w:val="44"/>
          <w:highlight w:val="none"/>
          <w:lang w:bidi="ar"/>
        </w:rPr>
        <w:t>关于进一步规范临时用地管理的通知</w:t>
      </w:r>
    </w:p>
    <w:p w14:paraId="323676B0">
      <w:pPr>
        <w:widowControl/>
        <w:jc w:val="center"/>
        <w:rPr>
          <w:rFonts w:hint="eastAsia" w:ascii="楷体_GB2312" w:hAnsi="楷体_GB2312" w:eastAsia="楷体_GB2312" w:cs="楷体_GB2312"/>
          <w:kern w:val="0"/>
          <w:sz w:val="32"/>
          <w:szCs w:val="32"/>
          <w:highlight w:val="none"/>
          <w:lang w:eastAsia="zh-CN" w:bidi="ar"/>
        </w:rPr>
      </w:pPr>
      <w:r>
        <w:rPr>
          <w:rFonts w:hint="eastAsia" w:ascii="楷体_GB2312" w:hAnsi="楷体_GB2312" w:eastAsia="楷体_GB2312" w:cs="楷体_GB2312"/>
          <w:kern w:val="0"/>
          <w:sz w:val="32"/>
          <w:szCs w:val="32"/>
          <w:highlight w:val="none"/>
          <w:lang w:eastAsia="zh-CN" w:bidi="ar"/>
        </w:rPr>
        <w:t>（征求意见稿）</w:t>
      </w:r>
    </w:p>
    <w:bookmarkEnd w:id="1"/>
    <w:p w14:paraId="62EAD33B">
      <w:pPr>
        <w:pStyle w:val="34"/>
        <w:spacing w:line="240" w:lineRule="auto"/>
        <w:ind w:firstLine="0" w:firstLineChars="0"/>
        <w:rPr>
          <w:rFonts w:hint="eastAsia" w:ascii="仿宋_GB2312" w:hAnsi="黑体" w:eastAsia="仿宋_GB2312" w:cs="仿宋_GB2312"/>
          <w:kern w:val="0"/>
          <w:sz w:val="32"/>
          <w:szCs w:val="32"/>
        </w:rPr>
      </w:pPr>
    </w:p>
    <w:p w14:paraId="420FA34A">
      <w:pPr>
        <w:pStyle w:val="34"/>
        <w:spacing w:line="240" w:lineRule="auto"/>
        <w:ind w:firstLine="0" w:firstLineChars="0"/>
        <w:rPr>
          <w:rFonts w:ascii="Times New Roman" w:hAnsi="Times New Roman" w:eastAsia="仿宋_GB2312" w:cs="Times New Roman"/>
          <w:kern w:val="0"/>
          <w:sz w:val="32"/>
          <w:szCs w:val="32"/>
          <w:highlight w:val="none"/>
          <w:lang w:bidi="ar"/>
        </w:rPr>
      </w:pPr>
      <w:r>
        <w:rPr>
          <w:rFonts w:hint="eastAsia" w:ascii="仿宋_GB2312" w:hAnsi="黑体" w:eastAsia="仿宋_GB2312" w:cs="仿宋_GB2312"/>
          <w:kern w:val="0"/>
          <w:sz w:val="32"/>
          <w:szCs w:val="32"/>
        </w:rPr>
        <w:t>各县（市、区）自然资源和规划局（分局），台州湾新区（高新区）分局，市局机关有关处（室、局）、直属事业单位</w:t>
      </w:r>
      <w:r>
        <w:rPr>
          <w:rFonts w:hint="eastAsia" w:ascii="仿宋_GB2312" w:hAnsi="黑体" w:eastAsia="仿宋_GB2312"/>
          <w:color w:val="auto"/>
          <w:sz w:val="32"/>
          <w:szCs w:val="32"/>
        </w:rPr>
        <w:t>：</w:t>
      </w:r>
    </w:p>
    <w:p w14:paraId="53D1EC4A">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为</w:t>
      </w:r>
      <w:r>
        <w:rPr>
          <w:rFonts w:hint="eastAsia" w:ascii="Times New Roman" w:hAnsi="Times New Roman" w:eastAsia="仿宋_GB2312" w:cs="Times New Roman"/>
          <w:kern w:val="0"/>
          <w:sz w:val="32"/>
          <w:szCs w:val="32"/>
          <w:highlight w:val="none"/>
          <w:lang w:bidi="ar"/>
        </w:rPr>
        <w:t>严格规范我市临时用地管理</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切实加强土地要素服务保障</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落实最严格的耕地保护制度和节约集约用地制度，根据土地管理相关法律法规和《自然资源部关于规范临时用地管理的通知》(自然资规〔2021〕2号)、《自然资源部办公厅关于加强临时用地监管有关工作的通知》(自然资办函〔2023〕1280号)、《浙江省自然资源厅关于进一步规范临时用地管理的通知》(浙自然资规〔2023〕18号)等规定，</w:t>
      </w:r>
      <w:r>
        <w:rPr>
          <w:rFonts w:ascii="Times New Roman" w:hAnsi="Times New Roman" w:eastAsia="仿宋_GB2312" w:cs="Times New Roman"/>
          <w:kern w:val="0"/>
          <w:sz w:val="32"/>
          <w:szCs w:val="32"/>
          <w:highlight w:val="none"/>
          <w:lang w:bidi="ar"/>
        </w:rPr>
        <w:t>结合我市实际，制定本办法。</w:t>
      </w:r>
    </w:p>
    <w:p w14:paraId="32E68AFE">
      <w:pPr>
        <w:pStyle w:val="31"/>
        <w:numPr>
          <w:ilvl w:val="0"/>
          <w:numId w:val="1"/>
        </w:numPr>
        <w:spacing w:line="540" w:lineRule="exact"/>
        <w:ind w:firstLineChars="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总体</w:t>
      </w:r>
      <w:r>
        <w:rPr>
          <w:rFonts w:ascii="Times New Roman" w:hAnsi="Times New Roman" w:eastAsia="黑体" w:cs="Times New Roman"/>
          <w:sz w:val="32"/>
          <w:szCs w:val="32"/>
          <w:highlight w:val="none"/>
        </w:rPr>
        <w:t>要求</w:t>
      </w:r>
    </w:p>
    <w:p w14:paraId="4ABAF456">
      <w:pPr>
        <w:ind w:firstLine="480" w:firstLineChars="15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严格遵循节约集约、保护耕地、依法申请、合理使用、落实复垦的原则，进一步规范临时用地审批流程和监管职责，强化临时用地规划利用、耕地智保、违法查处、复垦监管等协同配合，形成工作合力，构建临时用地“全生命周期”监管体系。</w:t>
      </w:r>
    </w:p>
    <w:p w14:paraId="3762AD19">
      <w:pPr>
        <w:pStyle w:val="31"/>
        <w:numPr>
          <w:ilvl w:val="0"/>
          <w:numId w:val="1"/>
        </w:numPr>
        <w:spacing w:line="540" w:lineRule="exact"/>
        <w:ind w:firstLineChars="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适用范围</w:t>
      </w:r>
    </w:p>
    <w:p w14:paraId="5F97663B">
      <w:pPr>
        <w:widowControl/>
        <w:ind w:firstLine="640" w:firstLineChars="200"/>
        <w:rPr>
          <w:rFonts w:hint="eastAsia" w:ascii="Times New Roman" w:hAnsi="Times New Roman" w:eastAsia="仿宋_GB2312" w:cs="Times New Roman"/>
          <w:kern w:val="0"/>
          <w:sz w:val="32"/>
          <w:szCs w:val="32"/>
          <w:highlight w:val="none"/>
          <w:lang w:val="en-US" w:eastAsia="zh-CN" w:bidi="ar"/>
        </w:rPr>
      </w:pPr>
      <w:r>
        <w:rPr>
          <w:rFonts w:ascii="Times New Roman" w:hAnsi="Times New Roman" w:eastAsia="仿宋_GB2312" w:cs="Times New Roman"/>
          <w:kern w:val="0"/>
          <w:sz w:val="32"/>
          <w:szCs w:val="32"/>
          <w:highlight w:val="none"/>
          <w:lang w:bidi="ar"/>
        </w:rPr>
        <w:t>本办法适用于台州市行政辖区范围内涉及占用耕地和永久基本农田的临时用地审批，其他</w:t>
      </w:r>
      <w:r>
        <w:rPr>
          <w:rFonts w:hint="eastAsia" w:ascii="Times New Roman" w:hAnsi="Times New Roman" w:eastAsia="仿宋_GB2312" w:cs="Times New Roman"/>
          <w:kern w:val="0"/>
          <w:sz w:val="32"/>
          <w:szCs w:val="32"/>
          <w:highlight w:val="none"/>
          <w:lang w:bidi="ar"/>
        </w:rPr>
        <w:t>地类</w:t>
      </w:r>
      <w:r>
        <w:rPr>
          <w:rFonts w:ascii="Times New Roman" w:hAnsi="Times New Roman" w:eastAsia="仿宋_GB2312" w:cs="Times New Roman"/>
          <w:kern w:val="0"/>
          <w:sz w:val="32"/>
          <w:szCs w:val="32"/>
          <w:highlight w:val="none"/>
          <w:lang w:bidi="ar"/>
        </w:rPr>
        <w:t>临时用地审批权限不变。</w:t>
      </w:r>
      <w:r>
        <w:rPr>
          <w:rFonts w:hint="eastAsia" w:ascii="Times New Roman" w:hAnsi="Times New Roman" w:eastAsia="仿宋_GB2312" w:cs="Times New Roman"/>
          <w:kern w:val="0"/>
          <w:sz w:val="32"/>
          <w:szCs w:val="32"/>
          <w:highlight w:val="none"/>
          <w:lang w:bidi="ar"/>
        </w:rPr>
        <w:t>临时</w:t>
      </w:r>
      <w:r>
        <w:rPr>
          <w:rFonts w:ascii="Times New Roman" w:hAnsi="Times New Roman" w:eastAsia="仿宋_GB2312" w:cs="Times New Roman"/>
          <w:kern w:val="0"/>
          <w:sz w:val="32"/>
          <w:szCs w:val="32"/>
          <w:highlight w:val="none"/>
          <w:lang w:bidi="ar"/>
        </w:rPr>
        <w:t>用地</w:t>
      </w:r>
      <w:r>
        <w:rPr>
          <w:rFonts w:hint="eastAsia" w:ascii="Times New Roman" w:hAnsi="Times New Roman" w:eastAsia="仿宋_GB2312" w:cs="Times New Roman"/>
          <w:kern w:val="0"/>
          <w:sz w:val="32"/>
          <w:szCs w:val="32"/>
          <w:highlight w:val="none"/>
          <w:lang w:bidi="ar"/>
        </w:rPr>
        <w:t>的</w:t>
      </w:r>
      <w:r>
        <w:rPr>
          <w:rFonts w:ascii="Times New Roman" w:hAnsi="Times New Roman" w:eastAsia="仿宋_GB2312" w:cs="Times New Roman"/>
          <w:kern w:val="0"/>
          <w:sz w:val="32"/>
          <w:szCs w:val="32"/>
          <w:highlight w:val="none"/>
          <w:lang w:bidi="ar"/>
        </w:rPr>
        <w:t>审批</w:t>
      </w:r>
      <w:r>
        <w:rPr>
          <w:rFonts w:hint="eastAsia" w:ascii="Times New Roman" w:hAnsi="Times New Roman" w:eastAsia="仿宋_GB2312" w:cs="Times New Roman"/>
          <w:kern w:val="0"/>
          <w:sz w:val="32"/>
          <w:szCs w:val="32"/>
          <w:highlight w:val="none"/>
          <w:lang w:bidi="ar"/>
        </w:rPr>
        <w:t>范围参照《浙江省自然资源厅关于进一步规范临时用地管理的通知》(浙自然资规〔2023〕18号)。涉及</w:t>
      </w:r>
      <w:r>
        <w:rPr>
          <w:rFonts w:ascii="Times New Roman" w:hAnsi="Times New Roman" w:eastAsia="仿宋_GB2312" w:cs="Times New Roman"/>
          <w:kern w:val="0"/>
          <w:sz w:val="32"/>
          <w:szCs w:val="32"/>
          <w:highlight w:val="none"/>
          <w:lang w:bidi="ar"/>
        </w:rPr>
        <w:t>考古临时用地</w:t>
      </w:r>
      <w:r>
        <w:rPr>
          <w:rFonts w:hint="eastAsia" w:ascii="Times New Roman" w:hAnsi="Times New Roman" w:eastAsia="仿宋_GB2312" w:cs="Times New Roman"/>
          <w:kern w:val="0"/>
          <w:sz w:val="32"/>
          <w:szCs w:val="32"/>
          <w:highlight w:val="none"/>
          <w:lang w:bidi="ar"/>
        </w:rPr>
        <w:t>按照</w:t>
      </w:r>
      <w:r>
        <w:rPr>
          <w:rFonts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bidi="ar"/>
        </w:rPr>
        <w:t>自然资源部办公厅国家文物局办公室关于加强考古临时用地保障的通知</w:t>
      </w:r>
      <w:r>
        <w:rPr>
          <w:rFonts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bidi="ar"/>
        </w:rPr>
        <w:t>（自然资办发〔2024〕6号）执行</w:t>
      </w:r>
      <w:r>
        <w:rPr>
          <w:rFonts w:hint="eastAsia" w:ascii="Times New Roman" w:hAnsi="Times New Roman" w:eastAsia="仿宋_GB2312" w:cs="Times New Roman"/>
          <w:kern w:val="0"/>
          <w:sz w:val="32"/>
          <w:szCs w:val="32"/>
          <w:highlight w:val="none"/>
          <w:lang w:eastAsia="zh-CN" w:bidi="ar"/>
        </w:rPr>
        <w:t>。</w:t>
      </w:r>
    </w:p>
    <w:p w14:paraId="708B08E4">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临时用地应逐宗申请，一般不跨区域审批。</w:t>
      </w:r>
    </w:p>
    <w:p w14:paraId="4E39D095">
      <w:pPr>
        <w:spacing w:line="54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 申请主体</w:t>
      </w:r>
      <w:r>
        <w:rPr>
          <w:rFonts w:hint="eastAsia" w:ascii="Times New Roman" w:hAnsi="Times New Roman" w:eastAsia="黑体" w:cs="Times New Roman"/>
          <w:sz w:val="32"/>
          <w:szCs w:val="32"/>
          <w:highlight w:val="none"/>
        </w:rPr>
        <w:t>和</w:t>
      </w:r>
      <w:r>
        <w:rPr>
          <w:rFonts w:ascii="Times New Roman" w:hAnsi="Times New Roman" w:eastAsia="黑体" w:cs="Times New Roman"/>
          <w:sz w:val="32"/>
          <w:szCs w:val="32"/>
          <w:highlight w:val="none"/>
        </w:rPr>
        <w:t>选址要求</w:t>
      </w:r>
    </w:p>
    <w:p w14:paraId="1B03B43B">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（一）</w:t>
      </w:r>
      <w:r>
        <w:rPr>
          <w:rFonts w:ascii="Times New Roman" w:hAnsi="Times New Roman" w:eastAsia="仿宋_GB2312" w:cs="Times New Roman"/>
          <w:kern w:val="0"/>
          <w:sz w:val="32"/>
          <w:szCs w:val="32"/>
          <w:highlight w:val="none"/>
          <w:lang w:bidi="ar"/>
        </w:rPr>
        <w:t>临时用地申请主体</w:t>
      </w:r>
      <w:r>
        <w:rPr>
          <w:rFonts w:hint="eastAsia" w:ascii="Times New Roman" w:hAnsi="Times New Roman" w:eastAsia="仿宋_GB2312" w:cs="Times New Roman"/>
          <w:kern w:val="0"/>
          <w:sz w:val="32"/>
          <w:szCs w:val="32"/>
          <w:highlight w:val="none"/>
          <w:lang w:bidi="ar"/>
        </w:rPr>
        <w:t>为项目建设依据文件明确的项目业主。铁路、高速公路等线性工程项目可由项目业主书面委托施工单位承担临时用地申请的具体工作，临时用地申请主体不变</w:t>
      </w:r>
      <w:r>
        <w:rPr>
          <w:rFonts w:hint="eastAsia" w:ascii="Times New Roman" w:hAnsi="Times New Roman" w:eastAsia="仿宋_GB2312" w:cs="Times New Roman"/>
          <w:kern w:val="0"/>
          <w:sz w:val="32"/>
          <w:szCs w:val="32"/>
          <w:highlight w:val="none"/>
          <w:lang w:eastAsia="zh-CN" w:bidi="ar"/>
        </w:rPr>
        <w:t>。</w:t>
      </w:r>
      <w:r>
        <w:rPr>
          <w:rFonts w:ascii="Times New Roman" w:hAnsi="Times New Roman" w:eastAsia="仿宋_GB2312" w:cs="Times New Roman"/>
          <w:kern w:val="0"/>
          <w:sz w:val="32"/>
          <w:szCs w:val="32"/>
          <w:highlight w:val="none"/>
          <w:lang w:bidi="ar"/>
        </w:rPr>
        <w:t>临时用地申请原则上应在项目建设用地审批完成之后。</w:t>
      </w:r>
    </w:p>
    <w:p w14:paraId="10E2AF40">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（二）临时用地选址应坚持节约集约、科学合理。</w:t>
      </w:r>
    </w:p>
    <w:p w14:paraId="63AEDC87">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 xml:space="preserve">1. </w:t>
      </w:r>
      <w:r>
        <w:rPr>
          <w:rFonts w:hint="eastAsia" w:ascii="Times New Roman" w:hAnsi="Times New Roman" w:eastAsia="仿宋_GB2312" w:cs="Times New Roman"/>
          <w:kern w:val="0"/>
          <w:sz w:val="32"/>
          <w:szCs w:val="32"/>
          <w:highlight w:val="none"/>
          <w:lang w:bidi="ar"/>
        </w:rPr>
        <w:t>优先使用建设用地和未利用地，尽量不占或者少占耕地，尽量避让永久基本农田、生态保护红线。除国家和省批准立项的交通、能源、水利、军事设施等项目建设施工和地质勘查、地下管线埋设、抢险救灾等特殊情形外，临时用地不得占用永久基本农田。</w:t>
      </w:r>
    </w:p>
    <w:p w14:paraId="6BD47CCC">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2. 临时用地占用耕地及永久基本农田必须履行论证程序且能够恢复原种植条件。使用后土地复垦难度较大的临时用地，要严格控制占用耕地，临时用地确需占用永久基本农田的，需符合《自然资源部农业农村部关于加强和改进永久基本农田保护工作的通知》(自然资规〔2019]1号)中申请条件、土壤剥离、复垦验收等有关规定。生态保护红线内允许的有限人为活动和国家重大项目占用生态保护红线涉及临时用地的，参照临时占用永久基本农田规定办理，严格落实恢复责任。</w:t>
      </w:r>
    </w:p>
    <w:p w14:paraId="10880D22">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3. 制梁场、拌合站等难以恢复原种植条</w:t>
      </w:r>
      <w:r>
        <w:rPr>
          <w:rFonts w:hint="eastAsia" w:ascii="Times New Roman" w:hAnsi="Times New Roman" w:eastAsia="仿宋" w:cs="Times New Roman"/>
          <w:sz w:val="32"/>
          <w:szCs w:val="32"/>
          <w:highlight w:val="none"/>
        </w:rPr>
        <w:t>件的不得以临时用地方式占用耕地和永久基本农田。直接服务于铁路、公路、水利工程施工的制梁场、拌合站</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需临时使用土地的,按照《自然资源部关于进一步做好用地用海要素保障的通知》(自然资发〔2023〕89号)有关规定执行。</w:t>
      </w:r>
    </w:p>
    <w:p w14:paraId="7825F593">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 w:cs="Times New Roman"/>
          <w:sz w:val="32"/>
          <w:szCs w:val="32"/>
          <w:highlight w:val="none"/>
        </w:rPr>
        <w:t>房地产、工业、商服、娱乐等项目建设时所需的临时施工用地原则上在供地范围</w:t>
      </w:r>
      <w:r>
        <w:rPr>
          <w:rFonts w:ascii="Times New Roman" w:hAnsi="Times New Roman" w:eastAsia="仿宋_GB2312" w:cs="Times New Roman"/>
          <w:kern w:val="0"/>
          <w:sz w:val="32"/>
          <w:szCs w:val="32"/>
          <w:highlight w:val="none"/>
          <w:lang w:bidi="ar"/>
        </w:rPr>
        <w:t>内自行落实。</w:t>
      </w:r>
    </w:p>
    <w:p w14:paraId="31D80FB0">
      <w:pPr>
        <w:widowControl/>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临时用地地类认定应以最新年度国土变更调查成果现状地类为准，无需往前追溯地类。属于地质灾害易发地区的临时用地，应开展地质灾害危险性评估，并做好相关防护措施，保障工作人员和周边群众的生命安全。临时用地选址应当避让压覆矿产资源,确实无法避让的参照建设项目压覆矿产资源程序审批。</w:t>
      </w:r>
    </w:p>
    <w:p w14:paraId="4133A92D">
      <w:pPr>
        <w:spacing w:line="54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 使用规模和</w:t>
      </w:r>
      <w:r>
        <w:rPr>
          <w:rFonts w:hint="eastAsia" w:ascii="Times New Roman" w:hAnsi="Times New Roman" w:eastAsia="黑体" w:cs="Times New Roman"/>
          <w:sz w:val="32"/>
          <w:szCs w:val="32"/>
          <w:highlight w:val="none"/>
        </w:rPr>
        <w:t>期限</w:t>
      </w:r>
    </w:p>
    <w:p w14:paraId="0D71F7B1">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根据临时使用用途的功能特点、建设内容等实际需求，参照现行各类用地标准、行业专业技术设计、建设规范等，结合主体建设项目的地形地质、工程条件等因素合理确定临时用地规模。除省级以上交通、能源、水利等重大基础设施外，一般建设项目使用的临时用地规模原则上不超过主体项目批准面积的30%，且单块临时用地规模原则上不超过50亩</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确需超出的</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应开展节地论证</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建(构)物结构原则上不得超过2层。</w:t>
      </w:r>
    </w:p>
    <w:p w14:paraId="2D1D7E8A">
      <w:pPr>
        <w:ind w:firstLine="640" w:firstLineChars="200"/>
        <w:rPr>
          <w:rFonts w:ascii="Times New Roman" w:hAnsi="Times New Roman" w:eastAsia="仿宋" w:cs="Times New Roman"/>
          <w:kern w:val="0"/>
          <w:sz w:val="32"/>
          <w:szCs w:val="32"/>
          <w:highlight w:val="none"/>
          <w:shd w:val="clear" w:color="auto" w:fill="FFFFFF"/>
          <w:lang w:bidi="ar"/>
        </w:rPr>
      </w:pPr>
      <w:r>
        <w:rPr>
          <w:rFonts w:hint="eastAsia" w:ascii="Times New Roman" w:hAnsi="Times New Roman" w:eastAsia="仿宋" w:cs="Times New Roman"/>
          <w:sz w:val="32"/>
          <w:szCs w:val="32"/>
          <w:highlight w:val="none"/>
        </w:rPr>
        <w:t>（二）</w:t>
      </w:r>
      <w:r>
        <w:rPr>
          <w:rFonts w:hint="eastAsia" w:ascii="Times New Roman" w:hAnsi="Times New Roman" w:eastAsia="仿宋" w:cs="Times New Roman"/>
          <w:kern w:val="0"/>
          <w:sz w:val="32"/>
          <w:szCs w:val="32"/>
          <w:highlight w:val="none"/>
          <w:shd w:val="clear" w:color="auto" w:fill="FFFFFF"/>
          <w:lang w:bidi="ar"/>
        </w:rPr>
        <w:t>临时用地的使用期限从批准之日起算，一般不超过两年。建设周期较长的能源、交通、水利等基础设施建设项目施工使用的临时用地期限不超过四年。</w:t>
      </w:r>
    </w:p>
    <w:p w14:paraId="4D26B011">
      <w:pPr>
        <w:ind w:firstLine="640" w:firstLineChars="200"/>
        <w:rPr>
          <w:rFonts w:ascii="Times New Roman" w:hAnsi="Times New Roman" w:eastAsia="仿宋" w:cs="Times New Roman"/>
          <w:kern w:val="0"/>
          <w:sz w:val="32"/>
          <w:szCs w:val="32"/>
          <w:highlight w:val="none"/>
          <w:shd w:val="clear" w:color="auto" w:fill="FFFFFF"/>
          <w:lang w:bidi="ar"/>
        </w:rPr>
      </w:pPr>
      <w:r>
        <w:rPr>
          <w:rFonts w:hint="eastAsia" w:ascii="Times New Roman" w:hAnsi="Times New Roman" w:eastAsia="仿宋" w:cs="Times New Roman"/>
          <w:kern w:val="0"/>
          <w:sz w:val="32"/>
          <w:szCs w:val="32"/>
          <w:highlight w:val="none"/>
          <w:shd w:val="clear" w:color="auto" w:fill="FFFFFF"/>
          <w:lang w:bidi="ar"/>
        </w:rPr>
        <w:t>对于占用耕地以外地类的临时用地，在规定的使用期限内,不改变用途和范围的前提下</w:t>
      </w:r>
      <w:r>
        <w:rPr>
          <w:rFonts w:hint="eastAsia" w:ascii="Times New Roman" w:hAnsi="Times New Roman" w:eastAsia="仿宋" w:cs="Times New Roman"/>
          <w:kern w:val="0"/>
          <w:sz w:val="32"/>
          <w:szCs w:val="32"/>
          <w:highlight w:val="none"/>
          <w:shd w:val="clear" w:color="auto" w:fill="FFFFFF"/>
          <w:lang w:eastAsia="zh-CN" w:bidi="ar"/>
        </w:rPr>
        <w:t>，</w:t>
      </w:r>
      <w:r>
        <w:rPr>
          <w:rFonts w:hint="eastAsia" w:ascii="Times New Roman" w:hAnsi="Times New Roman" w:eastAsia="仿宋" w:cs="Times New Roman"/>
          <w:kern w:val="0"/>
          <w:sz w:val="32"/>
          <w:szCs w:val="32"/>
          <w:highlight w:val="none"/>
          <w:shd w:val="clear" w:color="auto" w:fill="FFFFFF"/>
          <w:lang w:bidi="ar"/>
        </w:rPr>
        <w:t>经临时用地原审批机关批准可以确定给其他建设项目作为临时用地使用，但必须明确土地复垦义务人，确保土地复垦义务履行到位。</w:t>
      </w:r>
    </w:p>
    <w:p w14:paraId="603D63A6">
      <w:pPr>
        <w:widowControl/>
        <w:ind w:firstLine="640" w:firstLineChars="200"/>
        <w:rPr>
          <w:rFonts w:ascii="Times New Roman" w:hAnsi="Times New Roman" w:cs="Times New Roman"/>
          <w:sz w:val="32"/>
          <w:szCs w:val="32"/>
          <w:highlight w:val="none"/>
        </w:rPr>
      </w:pPr>
      <w:r>
        <w:rPr>
          <w:rFonts w:ascii="Times New Roman" w:hAnsi="Times New Roman" w:eastAsia="黑体" w:cs="Times New Roman"/>
          <w:kern w:val="0"/>
          <w:sz w:val="32"/>
          <w:szCs w:val="32"/>
          <w:highlight w:val="none"/>
          <w:lang w:bidi="ar"/>
        </w:rPr>
        <w:t xml:space="preserve">三、申请材料 </w:t>
      </w:r>
    </w:p>
    <w:p w14:paraId="51D83841">
      <w:pPr>
        <w:widowControl/>
        <w:ind w:firstLine="640" w:firstLineChars="200"/>
        <w:rPr>
          <w:rFonts w:hint="eastAsia" w:ascii="Times New Roman" w:hAnsi="Times New Roman" w:eastAsia="仿宋" w:cs="Times New Roman"/>
          <w:kern w:val="0"/>
          <w:sz w:val="32"/>
          <w:szCs w:val="32"/>
          <w:highlight w:val="none"/>
          <w:shd w:val="clear" w:color="auto" w:fill="FFFFFF"/>
          <w:lang w:eastAsia="zh-CN" w:bidi="ar"/>
        </w:rPr>
      </w:pPr>
      <w:r>
        <w:rPr>
          <w:rFonts w:hint="eastAsia" w:ascii="Times New Roman" w:hAnsi="Times New Roman" w:eastAsia="仿宋" w:cs="Times New Roman"/>
          <w:kern w:val="0"/>
          <w:sz w:val="32"/>
          <w:szCs w:val="32"/>
          <w:highlight w:val="none"/>
          <w:shd w:val="clear" w:color="auto" w:fill="FFFFFF"/>
          <w:lang w:eastAsia="zh-CN" w:bidi="ar"/>
        </w:rPr>
        <w:t>根据具体情况提供以下申请材料：</w:t>
      </w:r>
    </w:p>
    <w:p w14:paraId="2E24D197">
      <w:pPr>
        <w:widowControl/>
        <w:ind w:firstLine="640" w:firstLineChars="200"/>
        <w:rPr>
          <w:rFonts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（一）临时用地申请主体资格材料、申请书、实地踏勘表（</w:t>
      </w:r>
      <w:r>
        <w:rPr>
          <w:rFonts w:hint="eastAsia" w:ascii="Times New Roman" w:hAnsi="Times New Roman" w:eastAsia="仿宋" w:cs="Times New Roman"/>
          <w:kern w:val="0"/>
          <w:sz w:val="32"/>
          <w:szCs w:val="32"/>
          <w:highlight w:val="none"/>
          <w:shd w:val="clear" w:color="auto" w:fill="FFFFFF"/>
          <w:lang w:bidi="ar"/>
        </w:rPr>
        <w:t>附带</w:t>
      </w:r>
      <w:r>
        <w:rPr>
          <w:rFonts w:ascii="Times New Roman" w:hAnsi="Times New Roman" w:eastAsia="仿宋" w:cs="Times New Roman"/>
          <w:kern w:val="0"/>
          <w:sz w:val="32"/>
          <w:szCs w:val="32"/>
          <w:highlight w:val="none"/>
          <w:shd w:val="clear" w:color="auto" w:fill="FFFFFF"/>
          <w:lang w:bidi="ar"/>
        </w:rPr>
        <w:t>踏勘日期</w:t>
      </w:r>
      <w:r>
        <w:rPr>
          <w:rFonts w:hint="eastAsia" w:ascii="Times New Roman" w:hAnsi="Times New Roman" w:eastAsia="仿宋" w:cs="Times New Roman"/>
          <w:kern w:val="0"/>
          <w:sz w:val="32"/>
          <w:szCs w:val="32"/>
          <w:highlight w:val="none"/>
          <w:shd w:val="clear" w:color="auto" w:fill="FFFFFF"/>
          <w:lang w:bidi="ar"/>
        </w:rPr>
        <w:t>、踏勘</w:t>
      </w:r>
      <w:r>
        <w:rPr>
          <w:rFonts w:ascii="Times New Roman" w:hAnsi="Times New Roman" w:eastAsia="仿宋" w:cs="Times New Roman"/>
          <w:kern w:val="0"/>
          <w:sz w:val="32"/>
          <w:szCs w:val="32"/>
          <w:highlight w:val="none"/>
          <w:shd w:val="clear" w:color="auto" w:fill="FFFFFF"/>
          <w:lang w:bidi="ar"/>
        </w:rPr>
        <w:t>人</w:t>
      </w:r>
      <w:r>
        <w:rPr>
          <w:rFonts w:hint="eastAsia" w:ascii="Times New Roman" w:hAnsi="Times New Roman" w:eastAsia="仿宋" w:cs="Times New Roman"/>
          <w:kern w:val="0"/>
          <w:sz w:val="32"/>
          <w:szCs w:val="32"/>
          <w:highlight w:val="none"/>
          <w:shd w:val="clear" w:color="auto" w:fill="FFFFFF"/>
          <w:lang w:eastAsia="zh-CN" w:bidi="ar"/>
        </w:rPr>
        <w:t>签字</w:t>
      </w:r>
      <w:r>
        <w:rPr>
          <w:rFonts w:ascii="Times New Roman" w:hAnsi="Times New Roman" w:eastAsia="仿宋" w:cs="Times New Roman"/>
          <w:kern w:val="0"/>
          <w:sz w:val="32"/>
          <w:szCs w:val="32"/>
          <w:highlight w:val="none"/>
          <w:shd w:val="clear" w:color="auto" w:fill="FFFFFF"/>
          <w:lang w:bidi="ar"/>
        </w:rPr>
        <w:t xml:space="preserve">的现场照片）。 </w:t>
      </w:r>
    </w:p>
    <w:p w14:paraId="5589521D">
      <w:pPr>
        <w:widowControl/>
        <w:ind w:firstLine="640" w:firstLineChars="200"/>
        <w:rPr>
          <w:rFonts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 xml:space="preserve">（二）工程建设项目审批（或者核准、备案）文件；地质勘查、探矿批准文件；政府临时组织实施急需的公共服务配套设施应提供政府批准文件。 </w:t>
      </w:r>
    </w:p>
    <w:p w14:paraId="10200E96">
      <w:pPr>
        <w:widowControl/>
        <w:ind w:firstLine="640" w:firstLineChars="200"/>
        <w:rPr>
          <w:rFonts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（三）土地权属证明材料。</w:t>
      </w:r>
    </w:p>
    <w:p w14:paraId="2CB4173A">
      <w:pPr>
        <w:widowControl/>
        <w:ind w:firstLine="640" w:firstLineChars="200"/>
        <w:rPr>
          <w:rFonts w:hint="eastAsia"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（四）临时使用土地合同</w:t>
      </w:r>
      <w:r>
        <w:rPr>
          <w:rFonts w:hint="eastAsia" w:ascii="Times New Roman" w:hAnsi="Times New Roman" w:eastAsia="仿宋" w:cs="Times New Roman"/>
          <w:kern w:val="0"/>
          <w:sz w:val="32"/>
          <w:szCs w:val="32"/>
          <w:highlight w:val="none"/>
          <w:shd w:val="clear" w:color="auto" w:fill="FFFFFF"/>
          <w:lang w:bidi="ar"/>
        </w:rPr>
        <w:t>、租金</w:t>
      </w:r>
      <w:r>
        <w:rPr>
          <w:rFonts w:ascii="Times New Roman" w:hAnsi="Times New Roman" w:eastAsia="仿宋" w:cs="Times New Roman"/>
          <w:kern w:val="0"/>
          <w:sz w:val="32"/>
          <w:szCs w:val="32"/>
          <w:highlight w:val="none"/>
          <w:shd w:val="clear" w:color="auto" w:fill="FFFFFF"/>
          <w:lang w:bidi="ar"/>
        </w:rPr>
        <w:t>缴纳凭证；</w:t>
      </w:r>
      <w:r>
        <w:rPr>
          <w:rFonts w:hint="eastAsia" w:ascii="Times New Roman" w:hAnsi="Times New Roman" w:eastAsia="仿宋" w:cs="Times New Roman"/>
          <w:kern w:val="0"/>
          <w:sz w:val="32"/>
          <w:szCs w:val="32"/>
          <w:highlight w:val="none"/>
          <w:shd w:val="clear" w:color="auto" w:fill="FFFFFF"/>
          <w:lang w:bidi="ar"/>
        </w:rPr>
        <w:t>承包</w:t>
      </w:r>
      <w:r>
        <w:rPr>
          <w:rFonts w:ascii="Times New Roman" w:hAnsi="Times New Roman" w:eastAsia="仿宋" w:cs="Times New Roman"/>
          <w:kern w:val="0"/>
          <w:sz w:val="32"/>
          <w:szCs w:val="32"/>
          <w:highlight w:val="none"/>
          <w:shd w:val="clear" w:color="auto" w:fill="FFFFFF"/>
          <w:lang w:bidi="ar"/>
        </w:rPr>
        <w:t>户书面同意证明或红线内不涉及承包户证明材料</w:t>
      </w:r>
      <w:r>
        <w:rPr>
          <w:rFonts w:hint="eastAsia" w:ascii="Times New Roman" w:hAnsi="Times New Roman" w:eastAsia="仿宋" w:cs="Times New Roman"/>
          <w:kern w:val="0"/>
          <w:sz w:val="32"/>
          <w:szCs w:val="32"/>
          <w:highlight w:val="none"/>
          <w:shd w:val="clear" w:color="auto" w:fill="FFFFFF"/>
          <w:lang w:bidi="ar"/>
        </w:rPr>
        <w:t>。</w:t>
      </w:r>
    </w:p>
    <w:p w14:paraId="38DC411F">
      <w:pPr>
        <w:widowControl/>
        <w:ind w:firstLine="640" w:firstLineChars="200"/>
        <w:rPr>
          <w:rFonts w:hint="eastAsia" w:ascii="Times New Roman" w:hAnsi="Times New Roman" w:eastAsia="仿宋" w:cs="Times New Roman"/>
          <w:kern w:val="0"/>
          <w:sz w:val="32"/>
          <w:szCs w:val="32"/>
          <w:highlight w:val="none"/>
          <w:shd w:val="clear" w:color="auto" w:fill="FFFFFF"/>
          <w:lang w:bidi="ar"/>
        </w:rPr>
      </w:pPr>
      <w:r>
        <w:rPr>
          <w:rFonts w:hint="eastAsia" w:ascii="Times New Roman" w:hAnsi="Times New Roman" w:eastAsia="仿宋" w:cs="Times New Roman"/>
          <w:kern w:val="0"/>
          <w:sz w:val="32"/>
          <w:szCs w:val="32"/>
          <w:highlight w:val="none"/>
          <w:shd w:val="clear" w:color="auto" w:fill="FFFFFF"/>
          <w:lang w:bidi="ar"/>
        </w:rPr>
        <w:t>（五）</w:t>
      </w:r>
      <w:r>
        <w:rPr>
          <w:rFonts w:ascii="Times New Roman" w:hAnsi="Times New Roman" w:eastAsia="仿宋" w:cs="Times New Roman"/>
          <w:kern w:val="0"/>
          <w:sz w:val="32"/>
          <w:szCs w:val="32"/>
          <w:highlight w:val="none"/>
          <w:shd w:val="clear" w:color="auto" w:fill="FFFFFF"/>
          <w:lang w:bidi="ar"/>
        </w:rPr>
        <w:t>临时用地复垦协议</w:t>
      </w:r>
      <w:r>
        <w:rPr>
          <w:rFonts w:hint="eastAsia" w:ascii="Times New Roman" w:hAnsi="Times New Roman" w:eastAsia="仿宋" w:cs="Times New Roman"/>
          <w:kern w:val="0"/>
          <w:sz w:val="32"/>
          <w:szCs w:val="32"/>
          <w:highlight w:val="none"/>
          <w:shd w:val="clear" w:color="auto" w:fill="FFFFFF"/>
          <w:lang w:eastAsia="zh-CN" w:bidi="ar"/>
        </w:rPr>
        <w:t>（建设用地土地恢复协议）</w:t>
      </w:r>
      <w:r>
        <w:rPr>
          <w:rFonts w:hint="eastAsia" w:ascii="Times New Roman" w:hAnsi="Times New Roman" w:eastAsia="仿宋" w:cs="Times New Roman"/>
          <w:kern w:val="0"/>
          <w:sz w:val="32"/>
          <w:szCs w:val="32"/>
          <w:highlight w:val="none"/>
          <w:shd w:val="clear" w:color="auto" w:fill="FFFFFF"/>
          <w:lang w:bidi="ar"/>
        </w:rPr>
        <w:t>、</w:t>
      </w:r>
      <w:r>
        <w:rPr>
          <w:rFonts w:ascii="Times New Roman" w:hAnsi="Times New Roman" w:eastAsia="仿宋" w:cs="Times New Roman"/>
          <w:kern w:val="0"/>
          <w:sz w:val="32"/>
          <w:szCs w:val="32"/>
          <w:highlight w:val="none"/>
          <w:shd w:val="clear" w:color="auto" w:fill="FFFFFF"/>
          <w:lang w:bidi="ar"/>
        </w:rPr>
        <w:t>土地复垦方案</w:t>
      </w:r>
      <w:r>
        <w:rPr>
          <w:rFonts w:hint="eastAsia" w:ascii="Times New Roman" w:hAnsi="Times New Roman" w:eastAsia="仿宋" w:cs="Times New Roman"/>
          <w:kern w:val="0"/>
          <w:sz w:val="32"/>
          <w:szCs w:val="32"/>
          <w:highlight w:val="none"/>
          <w:shd w:val="clear" w:color="auto" w:fill="FFFFFF"/>
          <w:lang w:bidi="ar"/>
        </w:rPr>
        <w:t>书</w:t>
      </w:r>
      <w:r>
        <w:rPr>
          <w:rFonts w:ascii="Times New Roman" w:hAnsi="Times New Roman" w:eastAsia="仿宋" w:cs="Times New Roman"/>
          <w:kern w:val="0"/>
          <w:sz w:val="32"/>
          <w:szCs w:val="32"/>
          <w:highlight w:val="none"/>
          <w:shd w:val="clear" w:color="auto" w:fill="FFFFFF"/>
          <w:lang w:bidi="ar"/>
        </w:rPr>
        <w:t>（</w:t>
      </w:r>
      <w:r>
        <w:rPr>
          <w:rFonts w:hint="eastAsia" w:ascii="Times New Roman" w:hAnsi="Times New Roman" w:eastAsia="仿宋" w:cs="Times New Roman"/>
          <w:kern w:val="0"/>
          <w:sz w:val="32"/>
          <w:szCs w:val="32"/>
          <w:highlight w:val="none"/>
          <w:shd w:val="clear" w:color="auto" w:fill="FFFFFF"/>
          <w:lang w:bidi="ar"/>
        </w:rPr>
        <w:t>或</w:t>
      </w:r>
      <w:r>
        <w:rPr>
          <w:rFonts w:ascii="Times New Roman" w:hAnsi="Times New Roman" w:eastAsia="仿宋" w:cs="Times New Roman"/>
          <w:kern w:val="0"/>
          <w:sz w:val="32"/>
          <w:szCs w:val="32"/>
          <w:highlight w:val="none"/>
          <w:shd w:val="clear" w:color="auto" w:fill="FFFFFF"/>
          <w:lang w:bidi="ar"/>
        </w:rPr>
        <w:t>表），</w:t>
      </w:r>
      <w:r>
        <w:rPr>
          <w:rFonts w:hint="eastAsia" w:ascii="Times New Roman" w:hAnsi="Times New Roman" w:eastAsia="仿宋" w:cs="Times New Roman"/>
          <w:kern w:val="0"/>
          <w:sz w:val="32"/>
          <w:szCs w:val="32"/>
          <w:highlight w:val="none"/>
          <w:shd w:val="clear" w:color="auto" w:fill="FFFFFF"/>
          <w:lang w:bidi="ar"/>
        </w:rPr>
        <w:t>选址</w:t>
      </w:r>
      <w:r>
        <w:rPr>
          <w:rFonts w:ascii="Times New Roman" w:hAnsi="Times New Roman" w:eastAsia="仿宋" w:cs="Times New Roman"/>
          <w:kern w:val="0"/>
          <w:sz w:val="32"/>
          <w:szCs w:val="32"/>
          <w:highlight w:val="none"/>
          <w:shd w:val="clear" w:color="auto" w:fill="FFFFFF"/>
          <w:lang w:bidi="ar"/>
        </w:rPr>
        <w:t>论证及土地复垦方案</w:t>
      </w:r>
      <w:r>
        <w:rPr>
          <w:rFonts w:hint="eastAsia" w:ascii="Times New Roman" w:hAnsi="Times New Roman" w:eastAsia="仿宋" w:cs="Times New Roman"/>
          <w:kern w:val="0"/>
          <w:sz w:val="32"/>
          <w:szCs w:val="32"/>
          <w:highlight w:val="none"/>
          <w:shd w:val="clear" w:color="auto" w:fill="FFFFFF"/>
          <w:lang w:bidi="ar"/>
        </w:rPr>
        <w:t>专家</w:t>
      </w:r>
      <w:r>
        <w:rPr>
          <w:rFonts w:ascii="Times New Roman" w:hAnsi="Times New Roman" w:eastAsia="仿宋" w:cs="Times New Roman"/>
          <w:kern w:val="0"/>
          <w:sz w:val="32"/>
          <w:szCs w:val="32"/>
          <w:highlight w:val="none"/>
          <w:shd w:val="clear" w:color="auto" w:fill="FFFFFF"/>
          <w:lang w:bidi="ar"/>
        </w:rPr>
        <w:t>评审意见</w:t>
      </w:r>
      <w:r>
        <w:rPr>
          <w:rFonts w:hint="eastAsia" w:ascii="Times New Roman" w:hAnsi="Times New Roman" w:eastAsia="仿宋" w:cs="Times New Roman"/>
          <w:kern w:val="0"/>
          <w:sz w:val="32"/>
          <w:szCs w:val="32"/>
          <w:highlight w:val="none"/>
          <w:shd w:val="clear" w:color="auto" w:fill="FFFFFF"/>
          <w:lang w:bidi="ar"/>
        </w:rPr>
        <w:t>，</w:t>
      </w:r>
      <w:r>
        <w:rPr>
          <w:rFonts w:ascii="Times New Roman" w:hAnsi="Times New Roman" w:eastAsia="仿宋" w:cs="Times New Roman"/>
          <w:kern w:val="0"/>
          <w:sz w:val="32"/>
          <w:szCs w:val="32"/>
          <w:highlight w:val="none"/>
          <w:shd w:val="clear" w:color="auto" w:fill="FFFFFF"/>
          <w:lang w:bidi="ar"/>
        </w:rPr>
        <w:t>土地复垦方案</w:t>
      </w:r>
      <w:r>
        <w:rPr>
          <w:rFonts w:hint="eastAsia" w:ascii="Times New Roman" w:hAnsi="Times New Roman" w:eastAsia="仿宋" w:cs="Times New Roman"/>
          <w:kern w:val="0"/>
          <w:sz w:val="32"/>
          <w:szCs w:val="32"/>
          <w:highlight w:val="none"/>
          <w:shd w:val="clear" w:color="auto" w:fill="FFFFFF"/>
          <w:lang w:bidi="ar"/>
        </w:rPr>
        <w:t>县（市、区）</w:t>
      </w:r>
      <w:r>
        <w:rPr>
          <w:rFonts w:ascii="Times New Roman" w:hAnsi="Times New Roman" w:eastAsia="仿宋" w:cs="Times New Roman"/>
          <w:kern w:val="0"/>
          <w:sz w:val="32"/>
          <w:szCs w:val="32"/>
          <w:highlight w:val="none"/>
          <w:shd w:val="clear" w:color="auto" w:fill="FFFFFF"/>
          <w:lang w:bidi="ar"/>
        </w:rPr>
        <w:t>局审查意见</w:t>
      </w:r>
      <w:r>
        <w:rPr>
          <w:rFonts w:hint="eastAsia" w:ascii="Times New Roman" w:hAnsi="Times New Roman" w:eastAsia="仿宋" w:cs="Times New Roman"/>
          <w:kern w:val="0"/>
          <w:sz w:val="32"/>
          <w:szCs w:val="32"/>
          <w:highlight w:val="none"/>
          <w:shd w:val="clear" w:color="auto" w:fill="FFFFFF"/>
          <w:lang w:bidi="ar"/>
        </w:rPr>
        <w:t>、复垦</w:t>
      </w:r>
      <w:r>
        <w:rPr>
          <w:rFonts w:hint="eastAsia" w:ascii="Times New Roman" w:hAnsi="Times New Roman" w:eastAsia="仿宋" w:cs="Times New Roman"/>
          <w:kern w:val="0"/>
          <w:sz w:val="32"/>
          <w:szCs w:val="32"/>
          <w:highlight w:val="none"/>
          <w:shd w:val="clear" w:color="auto" w:fill="FFFFFF"/>
          <w:lang w:eastAsia="zh-CN" w:bidi="ar"/>
        </w:rPr>
        <w:t>，</w:t>
      </w:r>
      <w:r>
        <w:rPr>
          <w:rFonts w:ascii="Times New Roman" w:hAnsi="Times New Roman" w:eastAsia="仿宋" w:cs="Times New Roman"/>
          <w:kern w:val="0"/>
          <w:sz w:val="32"/>
          <w:szCs w:val="32"/>
          <w:highlight w:val="none"/>
          <w:shd w:val="clear" w:color="auto" w:fill="FFFFFF"/>
          <w:lang w:bidi="ar"/>
        </w:rPr>
        <w:t>保证金缴纳凭证</w:t>
      </w:r>
      <w:r>
        <w:rPr>
          <w:rFonts w:hint="eastAsia" w:ascii="Times New Roman" w:hAnsi="Times New Roman" w:eastAsia="仿宋" w:cs="Times New Roman"/>
          <w:kern w:val="0"/>
          <w:sz w:val="32"/>
          <w:szCs w:val="32"/>
          <w:highlight w:val="none"/>
          <w:shd w:val="clear" w:color="auto" w:fill="FFFFFF"/>
          <w:lang w:bidi="ar"/>
        </w:rPr>
        <w:t>。</w:t>
      </w:r>
    </w:p>
    <w:p w14:paraId="74BB17AD">
      <w:pPr>
        <w:widowControl/>
        <w:ind w:firstLine="640" w:firstLineChars="200"/>
        <w:rPr>
          <w:rFonts w:hint="eastAsia"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（五）临时用地规划许可</w:t>
      </w:r>
      <w:r>
        <w:rPr>
          <w:rFonts w:hint="eastAsia" w:ascii="Times New Roman" w:hAnsi="Times New Roman" w:eastAsia="仿宋" w:cs="Times New Roman"/>
          <w:kern w:val="0"/>
          <w:sz w:val="32"/>
          <w:szCs w:val="32"/>
          <w:highlight w:val="none"/>
          <w:shd w:val="clear" w:color="auto" w:fill="FFFFFF"/>
          <w:lang w:bidi="ar"/>
        </w:rPr>
        <w:t>证</w:t>
      </w:r>
      <w:r>
        <w:rPr>
          <w:rFonts w:ascii="Times New Roman" w:hAnsi="Times New Roman" w:eastAsia="仿宋" w:cs="Times New Roman"/>
          <w:kern w:val="0"/>
          <w:sz w:val="32"/>
          <w:szCs w:val="32"/>
          <w:highlight w:val="none"/>
          <w:shd w:val="clear" w:color="auto" w:fill="FFFFFF"/>
          <w:lang w:bidi="ar"/>
        </w:rPr>
        <w:t>及相关</w:t>
      </w:r>
      <w:r>
        <w:rPr>
          <w:rFonts w:hint="eastAsia" w:ascii="Times New Roman" w:hAnsi="Times New Roman" w:eastAsia="仿宋" w:cs="Times New Roman"/>
          <w:kern w:val="0"/>
          <w:sz w:val="32"/>
          <w:szCs w:val="32"/>
          <w:highlight w:val="none"/>
          <w:shd w:val="clear" w:color="auto" w:fill="FFFFFF"/>
          <w:lang w:bidi="ar"/>
        </w:rPr>
        <w:t>材料</w:t>
      </w:r>
      <w:r>
        <w:rPr>
          <w:rFonts w:ascii="Times New Roman" w:hAnsi="Times New Roman" w:eastAsia="仿宋" w:cs="Times New Roman"/>
          <w:kern w:val="0"/>
          <w:sz w:val="32"/>
          <w:szCs w:val="32"/>
          <w:highlight w:val="none"/>
          <w:shd w:val="clear" w:color="auto" w:fill="FFFFFF"/>
          <w:lang w:bidi="ar"/>
        </w:rPr>
        <w:t>，规划用地红线图、标注临时用地位置和范围的勘测定界图</w:t>
      </w:r>
      <w:r>
        <w:rPr>
          <w:rFonts w:hint="eastAsia" w:ascii="Times New Roman" w:hAnsi="Times New Roman" w:eastAsia="仿宋" w:cs="Times New Roman"/>
          <w:kern w:val="0"/>
          <w:sz w:val="32"/>
          <w:szCs w:val="32"/>
          <w:highlight w:val="none"/>
          <w:shd w:val="clear" w:color="auto" w:fill="FFFFFF"/>
          <w:lang w:bidi="ar"/>
        </w:rPr>
        <w:t>、</w:t>
      </w:r>
      <w:r>
        <w:rPr>
          <w:rFonts w:ascii="Times New Roman" w:hAnsi="Times New Roman" w:eastAsia="仿宋" w:cs="Times New Roman"/>
          <w:kern w:val="0"/>
          <w:sz w:val="32"/>
          <w:szCs w:val="32"/>
          <w:highlight w:val="none"/>
          <w:shd w:val="clear" w:color="auto" w:fill="FFFFFF"/>
          <w:lang w:bidi="ar"/>
        </w:rPr>
        <w:t>国土空间规划图（土地利用总体规划图、土地利用现状图）、总平面布局图。</w:t>
      </w:r>
      <w:r>
        <w:rPr>
          <w:rFonts w:hint="eastAsia" w:ascii="Times New Roman" w:hAnsi="Times New Roman" w:eastAsia="仿宋" w:cs="Times New Roman"/>
          <w:kern w:val="0"/>
          <w:sz w:val="32"/>
          <w:szCs w:val="32"/>
          <w:highlight w:val="none"/>
          <w:shd w:val="clear" w:color="auto" w:fill="FFFFFF"/>
          <w:lang w:bidi="ar"/>
        </w:rPr>
        <w:t>（城镇</w:t>
      </w:r>
      <w:r>
        <w:rPr>
          <w:rFonts w:ascii="Times New Roman" w:hAnsi="Times New Roman" w:eastAsia="仿宋" w:cs="Times New Roman"/>
          <w:kern w:val="0"/>
          <w:sz w:val="32"/>
          <w:szCs w:val="32"/>
          <w:highlight w:val="none"/>
          <w:shd w:val="clear" w:color="auto" w:fill="FFFFFF"/>
          <w:lang w:bidi="ar"/>
        </w:rPr>
        <w:t>开发边界外无法出具临时用地规划许可证的应提供</w:t>
      </w:r>
      <w:r>
        <w:rPr>
          <w:rFonts w:hint="eastAsia" w:ascii="Times New Roman" w:hAnsi="Times New Roman" w:eastAsia="仿宋_GB2312" w:cs="Times New Roman"/>
          <w:kern w:val="0"/>
          <w:sz w:val="32"/>
          <w:szCs w:val="32"/>
          <w:highlight w:val="none"/>
          <w:lang w:bidi="ar"/>
        </w:rPr>
        <w:t>县（市、区）</w:t>
      </w:r>
      <w:r>
        <w:rPr>
          <w:rFonts w:hint="eastAsia" w:ascii="Times New Roman" w:hAnsi="Times New Roman" w:eastAsia="仿宋_GB2312" w:cs="Times New Roman"/>
          <w:kern w:val="0"/>
          <w:sz w:val="32"/>
          <w:szCs w:val="32"/>
          <w:highlight w:val="none"/>
          <w:lang w:eastAsia="zh-CN" w:bidi="ar"/>
        </w:rPr>
        <w:t>局</w:t>
      </w:r>
      <w:r>
        <w:rPr>
          <w:rFonts w:ascii="Times New Roman" w:hAnsi="Times New Roman" w:eastAsia="仿宋" w:cs="Times New Roman"/>
          <w:kern w:val="0"/>
          <w:sz w:val="32"/>
          <w:szCs w:val="32"/>
          <w:highlight w:val="none"/>
          <w:shd w:val="clear" w:color="auto" w:fill="FFFFFF"/>
          <w:lang w:bidi="ar"/>
        </w:rPr>
        <w:t>规划</w:t>
      </w:r>
      <w:r>
        <w:rPr>
          <w:rFonts w:hint="eastAsia" w:ascii="Times New Roman" w:hAnsi="Times New Roman" w:eastAsia="仿宋" w:cs="Times New Roman"/>
          <w:kern w:val="0"/>
          <w:sz w:val="32"/>
          <w:szCs w:val="32"/>
          <w:highlight w:val="none"/>
          <w:shd w:val="clear" w:color="auto" w:fill="FFFFFF"/>
          <w:lang w:bidi="ar"/>
        </w:rPr>
        <w:t>科室选址</w:t>
      </w:r>
      <w:r>
        <w:rPr>
          <w:rFonts w:ascii="Times New Roman" w:hAnsi="Times New Roman" w:eastAsia="仿宋" w:cs="Times New Roman"/>
          <w:kern w:val="0"/>
          <w:sz w:val="32"/>
          <w:szCs w:val="32"/>
          <w:highlight w:val="none"/>
          <w:shd w:val="clear" w:color="auto" w:fill="FFFFFF"/>
          <w:lang w:bidi="ar"/>
        </w:rPr>
        <w:t>审查意见</w:t>
      </w:r>
      <w:r>
        <w:rPr>
          <w:rFonts w:hint="eastAsia" w:ascii="Times New Roman" w:hAnsi="Times New Roman" w:eastAsia="仿宋" w:cs="Times New Roman"/>
          <w:kern w:val="0"/>
          <w:sz w:val="32"/>
          <w:szCs w:val="32"/>
          <w:highlight w:val="none"/>
          <w:shd w:val="clear" w:color="auto" w:fill="FFFFFF"/>
          <w:lang w:bidi="ar"/>
        </w:rPr>
        <w:t>。）</w:t>
      </w:r>
    </w:p>
    <w:p w14:paraId="48884ABF">
      <w:pPr>
        <w:widowControl/>
        <w:ind w:firstLine="640" w:firstLineChars="200"/>
        <w:rPr>
          <w:rFonts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（六）临时用地位于地质灾害易发区的，应提供做好地质灾害、山洪灾害防护工作承诺书。</w:t>
      </w:r>
    </w:p>
    <w:p w14:paraId="2FA867D1">
      <w:pPr>
        <w:widowControl/>
        <w:ind w:firstLine="640" w:firstLineChars="200"/>
        <w:rPr>
          <w:rFonts w:ascii="Times New Roman" w:hAnsi="Times New Roman" w:eastAsia="仿宋" w:cs="Times New Roman"/>
          <w:kern w:val="0"/>
          <w:sz w:val="32"/>
          <w:szCs w:val="32"/>
          <w:highlight w:val="none"/>
          <w:shd w:val="clear" w:color="auto" w:fill="FFFFFF"/>
          <w:lang w:bidi="ar"/>
        </w:rPr>
      </w:pPr>
      <w:r>
        <w:rPr>
          <w:rFonts w:ascii="Times New Roman" w:hAnsi="Times New Roman" w:eastAsia="仿宋" w:cs="Times New Roman"/>
          <w:kern w:val="0"/>
          <w:sz w:val="32"/>
          <w:szCs w:val="32"/>
          <w:highlight w:val="none"/>
          <w:shd w:val="clear" w:color="auto" w:fill="FFFFFF"/>
          <w:lang w:bidi="ar"/>
        </w:rPr>
        <w:t>（七）其他必要的材料，涉及其他职能部门的应提交相关主管部门意见。</w:t>
      </w:r>
    </w:p>
    <w:p w14:paraId="6AA37C03">
      <w:pPr>
        <w:widowControl/>
        <w:ind w:firstLine="640" w:firstLineChars="200"/>
        <w:rPr>
          <w:rFonts w:ascii="Times New Roman" w:hAnsi="Times New Roman" w:eastAsia="黑体" w:cs="Times New Roman"/>
          <w:kern w:val="0"/>
          <w:sz w:val="32"/>
          <w:szCs w:val="32"/>
          <w:highlight w:val="none"/>
          <w:lang w:bidi="ar"/>
        </w:rPr>
      </w:pPr>
      <w:r>
        <w:rPr>
          <w:rFonts w:ascii="Times New Roman" w:hAnsi="Times New Roman" w:eastAsia="黑体" w:cs="Times New Roman"/>
          <w:kern w:val="0"/>
          <w:sz w:val="32"/>
          <w:szCs w:val="32"/>
          <w:highlight w:val="none"/>
          <w:lang w:bidi="ar"/>
        </w:rPr>
        <w:t>四、</w:t>
      </w:r>
      <w:r>
        <w:rPr>
          <w:rFonts w:ascii="Times New Roman" w:hAnsi="Times New Roman" w:eastAsia="黑体" w:cs="Times New Roman"/>
          <w:sz w:val="32"/>
          <w:szCs w:val="32"/>
          <w:highlight w:val="none"/>
        </w:rPr>
        <w:t>职责分工</w:t>
      </w:r>
    </w:p>
    <w:p w14:paraId="1CD97D0C">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eastAsia="zh-CN" w:bidi="ar"/>
        </w:rPr>
        <w:t>县（市、区）</w:t>
      </w:r>
      <w:r>
        <w:rPr>
          <w:rFonts w:hint="eastAsia" w:ascii="Times New Roman" w:hAnsi="Times New Roman" w:eastAsia="仿宋_GB2312" w:cs="Times New Roman"/>
          <w:kern w:val="0"/>
          <w:sz w:val="32"/>
          <w:szCs w:val="32"/>
          <w:highlight w:val="none"/>
          <w:lang w:bidi="ar"/>
        </w:rPr>
        <w:t>自然资源主管部门应建立开发利用、空间规划、用途管制、耕地保护、生态修复、确权登记、执法监督、林业、自然资源所等参与的联合审查机制</w:t>
      </w:r>
      <w:r>
        <w:rPr>
          <w:rFonts w:hint="eastAsia" w:ascii="Times New Roman" w:hAnsi="Times New Roman" w:eastAsia="仿宋_GB2312" w:cs="Times New Roman"/>
          <w:kern w:val="0"/>
          <w:sz w:val="32"/>
          <w:szCs w:val="32"/>
          <w:highlight w:val="none"/>
          <w:lang w:eastAsia="zh-CN" w:bidi="ar"/>
        </w:rPr>
        <w:t>，</w:t>
      </w:r>
      <w:r>
        <w:rPr>
          <w:rFonts w:ascii="Times New Roman" w:hAnsi="Times New Roman" w:eastAsia="仿宋_GB2312" w:cs="Times New Roman"/>
          <w:kern w:val="0"/>
          <w:sz w:val="32"/>
          <w:szCs w:val="32"/>
          <w:highlight w:val="none"/>
          <w:lang w:bidi="ar"/>
        </w:rPr>
        <w:t>负责临时用地的受理、组织临时用地规划选址和土地复垦方案论证、初审、批文发放、批后监管及组织复垦验收，市</w:t>
      </w:r>
      <w:r>
        <w:rPr>
          <w:rFonts w:hint="eastAsia" w:ascii="Times New Roman" w:hAnsi="Times New Roman" w:eastAsia="仿宋_GB2312" w:cs="Times New Roman"/>
          <w:kern w:val="0"/>
          <w:sz w:val="32"/>
          <w:szCs w:val="32"/>
          <w:highlight w:val="none"/>
          <w:lang w:eastAsia="zh-CN" w:bidi="ar"/>
        </w:rPr>
        <w:t>局</w:t>
      </w:r>
      <w:r>
        <w:rPr>
          <w:rFonts w:ascii="Times New Roman" w:hAnsi="Times New Roman" w:eastAsia="仿宋_GB2312" w:cs="Times New Roman"/>
          <w:kern w:val="0"/>
          <w:sz w:val="32"/>
          <w:szCs w:val="32"/>
          <w:highlight w:val="none"/>
          <w:lang w:bidi="ar"/>
        </w:rPr>
        <w:t>负责复审、政策指导和监管。</w:t>
      </w:r>
    </w:p>
    <w:p w14:paraId="5E9EF5CC">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市</w:t>
      </w:r>
      <w:r>
        <w:rPr>
          <w:rFonts w:hint="eastAsia" w:ascii="Times New Roman" w:hAnsi="Times New Roman" w:eastAsia="仿宋_GB2312" w:cs="Times New Roman"/>
          <w:kern w:val="0"/>
          <w:sz w:val="32"/>
          <w:szCs w:val="32"/>
          <w:highlight w:val="none"/>
          <w:lang w:eastAsia="zh-CN" w:bidi="ar"/>
        </w:rPr>
        <w:t>局</w:t>
      </w:r>
      <w:r>
        <w:rPr>
          <w:rFonts w:ascii="Times New Roman" w:hAnsi="Times New Roman" w:eastAsia="仿宋_GB2312" w:cs="Times New Roman"/>
          <w:kern w:val="0"/>
          <w:sz w:val="32"/>
          <w:szCs w:val="32"/>
          <w:highlight w:val="none"/>
          <w:lang w:bidi="ar"/>
        </w:rPr>
        <w:t>自然资源主管部门涉及临时用地职责分工如下：</w:t>
      </w:r>
    </w:p>
    <w:p w14:paraId="1348750B">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开发利用处：负责审查临时用地占用依据是否充分并符合相关规定，申请的各种文件、图件资料是否齐全，相关材料的逻辑合理性，负责对接部、省相关工作。</w:t>
      </w:r>
    </w:p>
    <w:p w14:paraId="5DBEE9FB">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城乡规划处、空间规划处：负责审查临时用地选址是否符合相关要求，界址是否清楚，规模是否合理。城乡规划处</w:t>
      </w:r>
      <w:r>
        <w:rPr>
          <w:rFonts w:hint="eastAsia" w:ascii="Times New Roman" w:hAnsi="Times New Roman" w:eastAsia="仿宋_GB2312" w:cs="Times New Roman"/>
          <w:kern w:val="0"/>
          <w:sz w:val="32"/>
          <w:szCs w:val="32"/>
          <w:highlight w:val="none"/>
          <w:lang w:bidi="ar"/>
        </w:rPr>
        <w:t>还</w:t>
      </w:r>
      <w:r>
        <w:rPr>
          <w:rFonts w:ascii="Times New Roman" w:hAnsi="Times New Roman" w:eastAsia="仿宋_GB2312" w:cs="Times New Roman"/>
          <w:kern w:val="0"/>
          <w:sz w:val="32"/>
          <w:szCs w:val="32"/>
          <w:highlight w:val="none"/>
          <w:lang w:bidi="ar"/>
        </w:rPr>
        <w:t>负责审查临时建设用地规划许可是否符合相关规定。</w:t>
      </w:r>
    </w:p>
    <w:p w14:paraId="00232ADD">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耕地保护处：负责审查临时用地占用耕地和永久基本农田是否符合相关政策，选址是否属于“确实无法避让耕地和永久基本农田”情形。</w:t>
      </w:r>
    </w:p>
    <w:p w14:paraId="60300A3E">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生态修复处：负责对土地复垦方案进行审查，对土地复垦方案评审意见进行复核</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负责</w:t>
      </w:r>
      <w:r>
        <w:rPr>
          <w:rFonts w:hint="eastAsia" w:ascii="Times New Roman" w:hAnsi="Times New Roman" w:eastAsia="仿宋_GB2312" w:cs="Times New Roman"/>
          <w:kern w:val="0"/>
          <w:sz w:val="32"/>
          <w:szCs w:val="32"/>
          <w:highlight w:val="none"/>
          <w:lang w:eastAsia="zh-CN" w:bidi="ar"/>
        </w:rPr>
        <w:t>监督</w:t>
      </w:r>
      <w:r>
        <w:rPr>
          <w:rFonts w:ascii="Times New Roman" w:hAnsi="Times New Roman" w:eastAsia="仿宋_GB2312" w:cs="Times New Roman"/>
          <w:kern w:val="0"/>
          <w:sz w:val="32"/>
          <w:szCs w:val="32"/>
          <w:highlight w:val="none"/>
          <w:lang w:bidi="ar"/>
        </w:rPr>
        <w:t>县（市、区）自然资源主管部门临时用地到期后复垦验收</w:t>
      </w:r>
      <w:r>
        <w:rPr>
          <w:rFonts w:hint="eastAsia" w:ascii="Times New Roman" w:hAnsi="Times New Roman" w:eastAsia="仿宋_GB2312" w:cs="Times New Roman"/>
          <w:kern w:val="0"/>
          <w:sz w:val="32"/>
          <w:szCs w:val="32"/>
          <w:highlight w:val="none"/>
          <w:lang w:eastAsia="zh-CN" w:bidi="ar"/>
        </w:rPr>
        <w:t>工作</w:t>
      </w:r>
      <w:r>
        <w:rPr>
          <w:rFonts w:ascii="Times New Roman" w:hAnsi="Times New Roman" w:eastAsia="仿宋_GB2312" w:cs="Times New Roman"/>
          <w:kern w:val="0"/>
          <w:sz w:val="32"/>
          <w:szCs w:val="32"/>
          <w:highlight w:val="none"/>
          <w:lang w:bidi="ar"/>
        </w:rPr>
        <w:t>。</w:t>
      </w:r>
    </w:p>
    <w:p w14:paraId="2E05E1F0">
      <w:pPr>
        <w:widowControl/>
        <w:ind w:firstLine="640" w:firstLineChars="200"/>
        <w:rPr>
          <w:rFonts w:ascii="Times New Roman" w:hAnsi="Times New Roman" w:eastAsia="仿宋_GB2312" w:cs="Times New Roman"/>
          <w:kern w:val="0"/>
          <w:sz w:val="32"/>
          <w:szCs w:val="32"/>
          <w:highlight w:val="none"/>
          <w:shd w:val="clear" w:color="auto" w:fill="FFFFFF"/>
          <w:lang w:bidi="ar"/>
        </w:rPr>
      </w:pPr>
      <w:r>
        <w:rPr>
          <w:rFonts w:ascii="Times New Roman" w:hAnsi="Times New Roman" w:eastAsia="仿宋_GB2312" w:cs="Times New Roman"/>
          <w:kern w:val="0"/>
          <w:sz w:val="32"/>
          <w:szCs w:val="32"/>
          <w:highlight w:val="none"/>
          <w:lang w:bidi="ar"/>
        </w:rPr>
        <w:t>执法</w:t>
      </w:r>
      <w:r>
        <w:rPr>
          <w:rFonts w:hint="eastAsia" w:ascii="Times New Roman" w:hAnsi="Times New Roman" w:eastAsia="仿宋_GB2312" w:cs="Times New Roman"/>
          <w:kern w:val="0"/>
          <w:sz w:val="32"/>
          <w:szCs w:val="32"/>
          <w:highlight w:val="none"/>
          <w:lang w:eastAsia="zh-CN" w:bidi="ar"/>
        </w:rPr>
        <w:t>监察</w:t>
      </w:r>
      <w:r>
        <w:rPr>
          <w:rFonts w:ascii="Times New Roman" w:hAnsi="Times New Roman" w:eastAsia="仿宋_GB2312" w:cs="Times New Roman"/>
          <w:kern w:val="0"/>
          <w:sz w:val="32"/>
          <w:szCs w:val="32"/>
          <w:highlight w:val="none"/>
          <w:lang w:bidi="ar"/>
        </w:rPr>
        <w:t>局：对实地踏勘情况进行核查，</w:t>
      </w:r>
      <w:r>
        <w:rPr>
          <w:rFonts w:hint="eastAsia" w:ascii="Times New Roman" w:hAnsi="Times New Roman" w:eastAsia="仿宋_GB2312" w:cs="Times New Roman"/>
          <w:kern w:val="0"/>
          <w:sz w:val="32"/>
          <w:szCs w:val="32"/>
          <w:highlight w:val="none"/>
          <w:lang w:eastAsia="zh-CN" w:bidi="ar"/>
        </w:rPr>
        <w:t>负责监管</w:t>
      </w:r>
      <w:r>
        <w:rPr>
          <w:rFonts w:hint="eastAsia" w:ascii="Times New Roman" w:hAnsi="Times New Roman" w:eastAsia="仿宋_GB2312" w:cs="Times New Roman"/>
          <w:kern w:val="0"/>
          <w:sz w:val="32"/>
          <w:szCs w:val="32"/>
          <w:highlight w:val="none"/>
          <w:lang w:bidi="ar"/>
        </w:rPr>
        <w:t>临时用地超批准范围、未批先用、擅自改变用途、修建永久建(构)物、逾期不恢复种植条件、违反土地复垦规定等违法行为</w:t>
      </w:r>
      <w:r>
        <w:rPr>
          <w:rFonts w:ascii="Times New Roman" w:hAnsi="Times New Roman" w:eastAsia="仿宋_GB2312" w:cs="Times New Roman"/>
          <w:kern w:val="0"/>
          <w:sz w:val="32"/>
          <w:szCs w:val="32"/>
          <w:highlight w:val="none"/>
          <w:lang w:bidi="ar"/>
        </w:rPr>
        <w:t>，负责监督县（市、区）自然资源主管部门临时用地到期后按约交回土地</w:t>
      </w:r>
      <w:r>
        <w:rPr>
          <w:rFonts w:hint="eastAsia" w:ascii="Times New Roman" w:hAnsi="Times New Roman" w:eastAsia="仿宋_GB2312" w:cs="Times New Roman"/>
          <w:kern w:val="0"/>
          <w:sz w:val="32"/>
          <w:szCs w:val="32"/>
          <w:highlight w:val="none"/>
          <w:lang w:eastAsia="zh-CN" w:bidi="ar"/>
        </w:rPr>
        <w:t>工作</w:t>
      </w:r>
      <w:r>
        <w:rPr>
          <w:rFonts w:ascii="Times New Roman" w:hAnsi="Times New Roman" w:eastAsia="仿宋_GB2312" w:cs="Times New Roman"/>
          <w:kern w:val="0"/>
          <w:sz w:val="32"/>
          <w:szCs w:val="32"/>
          <w:highlight w:val="none"/>
          <w:lang w:bidi="ar"/>
        </w:rPr>
        <w:t>。</w:t>
      </w:r>
    </w:p>
    <w:p w14:paraId="32B98E41">
      <w:pPr>
        <w:widowControl/>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五、工作流程</w:t>
      </w:r>
    </w:p>
    <w:p w14:paraId="139313D4">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楷体_GB2312" w:cs="Times New Roman"/>
          <w:sz w:val="32"/>
          <w:szCs w:val="32"/>
          <w:highlight w:val="none"/>
        </w:rPr>
        <w:t>（一）</w:t>
      </w:r>
      <w:r>
        <w:rPr>
          <w:rFonts w:ascii="Times New Roman" w:hAnsi="Times New Roman" w:eastAsia="仿宋_GB2312" w:cs="Times New Roman"/>
          <w:kern w:val="0"/>
          <w:sz w:val="32"/>
          <w:szCs w:val="32"/>
          <w:highlight w:val="none"/>
          <w:lang w:bidi="ar"/>
        </w:rPr>
        <w:t>受理和选址论证</w:t>
      </w:r>
    </w:p>
    <w:p w14:paraId="0C6C790C">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县（市、区）自然资源主管部门受理临时用地申请后，经前期审查后组织邀请乡镇人民政府（街道办事处）、相关部门和专家代表等进行现场踏勘，对规划选址、用途、规模、使用方式、年限等临时用地方案和土地复垦方案进行论证并形成规划选址论证结论和土地复垦方案评审意见。相关处室和各县（市、区）自然资源主管部门应当加强沟通对接，必要时可在前期审查环节提前介入，指导业主做好相关工作。</w:t>
      </w:r>
    </w:p>
    <w:p w14:paraId="386C6A59">
      <w:pPr>
        <w:widowControl/>
        <w:ind w:firstLine="640" w:firstLineChars="200"/>
        <w:rPr>
          <w:rFonts w:hint="eastAsia" w:ascii="Times New Roman" w:hAnsi="Times New Roman" w:eastAsia="仿宋_GB2312" w:cs="Times New Roman"/>
          <w:kern w:val="0"/>
          <w:sz w:val="32"/>
          <w:szCs w:val="32"/>
          <w:highlight w:val="yellow"/>
          <w:lang w:eastAsia="zh-CN" w:bidi="ar"/>
        </w:rPr>
      </w:pPr>
      <w:r>
        <w:rPr>
          <w:rFonts w:ascii="Times New Roman" w:hAnsi="Times New Roman" w:eastAsia="仿宋_GB2312" w:cs="Times New Roman"/>
          <w:kern w:val="0"/>
          <w:sz w:val="32"/>
          <w:szCs w:val="32"/>
          <w:highlight w:val="none"/>
          <w:lang w:bidi="ar"/>
        </w:rPr>
        <w:t>未通过论证的，县（市、区）自然资源主管部门应当书面告知临时用地申请人补正。逾期不补正，或者补正后仍不符合要求的，不予批准临时用地。县（市、区）自然资源主管部门应审查</w:t>
      </w:r>
      <w:r>
        <w:rPr>
          <w:rFonts w:hint="eastAsia" w:ascii="Times New Roman" w:hAnsi="Times New Roman" w:eastAsia="仿宋_GB2312" w:cs="Times New Roman"/>
          <w:kern w:val="0"/>
          <w:sz w:val="32"/>
          <w:szCs w:val="32"/>
          <w:highlight w:val="none"/>
          <w:lang w:eastAsia="zh-CN" w:bidi="ar"/>
        </w:rPr>
        <w:t>临时用地</w:t>
      </w:r>
      <w:r>
        <w:rPr>
          <w:rFonts w:ascii="Times New Roman" w:hAnsi="Times New Roman" w:eastAsia="仿宋_GB2312" w:cs="Times New Roman"/>
          <w:kern w:val="0"/>
          <w:sz w:val="32"/>
          <w:szCs w:val="32"/>
          <w:highlight w:val="none"/>
          <w:lang w:bidi="ar"/>
        </w:rPr>
        <w:t>用地主体以往审批项目是否存在违规使用、超期未复垦等情况，如存在上述情况不得受理新临时用地审批</w:t>
      </w:r>
      <w:r>
        <w:rPr>
          <w:rFonts w:hint="eastAsia" w:ascii="Times New Roman" w:hAnsi="Times New Roman" w:eastAsia="仿宋_GB2312" w:cs="Times New Roman"/>
          <w:kern w:val="0"/>
          <w:sz w:val="32"/>
          <w:szCs w:val="32"/>
          <w:highlight w:val="none"/>
          <w:lang w:eastAsia="zh-CN" w:bidi="ar"/>
        </w:rPr>
        <w:t>。</w:t>
      </w:r>
    </w:p>
    <w:p w14:paraId="32389985">
      <w:pPr>
        <w:spacing w:line="540" w:lineRule="exact"/>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楷体_GB2312" w:cs="Times New Roman"/>
          <w:sz w:val="32"/>
          <w:szCs w:val="32"/>
          <w:highlight w:val="none"/>
        </w:rPr>
        <w:t>（二）组件报批</w:t>
      </w:r>
    </w:p>
    <w:p w14:paraId="40665E34">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临时用地规划选址和土地复垦方案论证通过后，县（市、区）自然资源主管部门出具初审意见并组件报</w:t>
      </w:r>
      <w:r>
        <w:rPr>
          <w:rFonts w:hint="eastAsia" w:ascii="Times New Roman" w:hAnsi="Times New Roman" w:eastAsia="仿宋_GB2312" w:cs="Times New Roman"/>
          <w:kern w:val="0"/>
          <w:sz w:val="32"/>
          <w:szCs w:val="32"/>
          <w:highlight w:val="none"/>
          <w:lang w:eastAsia="zh-CN" w:bidi="ar"/>
        </w:rPr>
        <w:t>市局</w:t>
      </w:r>
      <w:r>
        <w:rPr>
          <w:rFonts w:ascii="Times New Roman" w:hAnsi="Times New Roman" w:eastAsia="仿宋_GB2312" w:cs="Times New Roman"/>
          <w:kern w:val="0"/>
          <w:sz w:val="32"/>
          <w:szCs w:val="32"/>
          <w:highlight w:val="none"/>
          <w:lang w:bidi="ar"/>
        </w:rPr>
        <w:t>审批，涉及需要办理临时用地占用林地等其他许可事项，应在报件提交市局前完成审批。</w:t>
      </w:r>
    </w:p>
    <w:p w14:paraId="3238D765">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市</w:t>
      </w:r>
      <w:r>
        <w:rPr>
          <w:rFonts w:hint="eastAsia" w:ascii="Times New Roman" w:hAnsi="Times New Roman" w:eastAsia="仿宋_GB2312" w:cs="Times New Roman"/>
          <w:kern w:val="0"/>
          <w:sz w:val="32"/>
          <w:szCs w:val="32"/>
          <w:highlight w:val="none"/>
          <w:lang w:eastAsia="zh-CN" w:bidi="ar"/>
        </w:rPr>
        <w:t>局</w:t>
      </w:r>
      <w:r>
        <w:rPr>
          <w:rFonts w:ascii="Times New Roman" w:hAnsi="Times New Roman" w:eastAsia="仿宋_GB2312" w:cs="Times New Roman"/>
          <w:kern w:val="0"/>
          <w:sz w:val="32"/>
          <w:szCs w:val="32"/>
          <w:highlight w:val="none"/>
          <w:lang w:bidi="ar"/>
        </w:rPr>
        <w:t>受理后，各相关处室应在3个工作日内根据处室职责并联审查临时用地报件并签署审查意见。</w:t>
      </w:r>
    </w:p>
    <w:p w14:paraId="49AC03C0">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开发利用处根据相关处室审查意见，对条件符合、资料齐全的办件，3个工作日内报局领导完成审批，出具临时用地批准文件，并反馈县（市、区）自然资源主管部门。</w:t>
      </w:r>
    </w:p>
    <w:p w14:paraId="6718B038">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以上时间不含需补正、公告、听证及经批准延长办理期限的时间。</w:t>
      </w:r>
    </w:p>
    <w:p w14:paraId="392D3B85">
      <w:pPr>
        <w:spacing w:line="54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（三）批文发放</w:t>
      </w:r>
    </w:p>
    <w:p w14:paraId="17513BBB">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县（市、区）自然资源主管部门收到临时用地批准文件后及时将审批结果抄告农业、环保、林业、税务等部门，通知申请人领取临时建设用地规划许可</w:t>
      </w:r>
      <w:r>
        <w:rPr>
          <w:rFonts w:hint="eastAsia" w:ascii="Times New Roman" w:hAnsi="Times New Roman" w:eastAsia="仿宋_GB2312" w:cs="Times New Roman"/>
          <w:kern w:val="0"/>
          <w:sz w:val="32"/>
          <w:szCs w:val="32"/>
          <w:highlight w:val="none"/>
          <w:lang w:bidi="ar"/>
        </w:rPr>
        <w:t>证</w:t>
      </w:r>
      <w:r>
        <w:rPr>
          <w:rFonts w:ascii="Times New Roman" w:hAnsi="Times New Roman" w:eastAsia="仿宋_GB2312" w:cs="Times New Roman"/>
          <w:kern w:val="0"/>
          <w:sz w:val="32"/>
          <w:szCs w:val="32"/>
          <w:highlight w:val="none"/>
          <w:lang w:bidi="ar"/>
        </w:rPr>
        <w:t>及临时用地批准文件，办理土地交付使用手续，要求申请人按规定申报缴纳耕地占用税。</w:t>
      </w:r>
    </w:p>
    <w:p w14:paraId="226D2351">
      <w:pPr>
        <w:widowControl/>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六、批后监管</w:t>
      </w:r>
    </w:p>
    <w:p w14:paraId="4FF09E9C">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各县（市、区）自然资源主管部门应当及时在临时用地信息系统上填报临时用地审批信息，并在门户网站公布临时用地审批结果，内容包括审批文号</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用地单位</w:t>
      </w:r>
      <w:r>
        <w:rPr>
          <w:rFonts w:hint="eastAsia" w:ascii="Times New Roman" w:hAnsi="Times New Roman" w:eastAsia="仿宋_GB2312" w:cs="Times New Roman"/>
          <w:kern w:val="0"/>
          <w:sz w:val="32"/>
          <w:szCs w:val="32"/>
          <w:highlight w:val="none"/>
          <w:lang w:bidi="ar"/>
        </w:rPr>
        <w:t>、土地</w:t>
      </w:r>
      <w:r>
        <w:rPr>
          <w:rFonts w:ascii="Times New Roman" w:hAnsi="Times New Roman" w:eastAsia="仿宋_GB2312" w:cs="Times New Roman"/>
          <w:kern w:val="0"/>
          <w:sz w:val="32"/>
          <w:szCs w:val="32"/>
          <w:highlight w:val="none"/>
          <w:lang w:bidi="ar"/>
        </w:rPr>
        <w:t>坐落</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批准面积等。切实加强对临时用地的监督检查，核实临时用地地点、四至范围、面积，临时用地开发利用情况、是否改变用途等情况</w:t>
      </w:r>
      <w:r>
        <w:rPr>
          <w:rFonts w:hint="eastAsia" w:ascii="Times New Roman" w:hAnsi="Times New Roman" w:eastAsia="仿宋_GB2312" w:cs="Times New Roman"/>
          <w:kern w:val="0"/>
          <w:sz w:val="32"/>
          <w:szCs w:val="32"/>
          <w:highlight w:val="none"/>
          <w:lang w:bidi="ar"/>
        </w:rPr>
        <w:t>，对于涉及临时用地</w:t>
      </w:r>
      <w:r>
        <w:rPr>
          <w:rFonts w:ascii="Times New Roman" w:hAnsi="Times New Roman" w:eastAsia="仿宋_GB2312" w:cs="Times New Roman"/>
          <w:kern w:val="0"/>
          <w:sz w:val="32"/>
          <w:szCs w:val="32"/>
          <w:highlight w:val="none"/>
          <w:lang w:bidi="ar"/>
        </w:rPr>
        <w:t>的违法行为</w:t>
      </w:r>
      <w:r>
        <w:rPr>
          <w:rFonts w:hint="eastAsia" w:ascii="Times New Roman" w:hAnsi="Times New Roman" w:eastAsia="仿宋_GB2312" w:cs="Times New Roman"/>
          <w:kern w:val="0"/>
          <w:sz w:val="32"/>
          <w:szCs w:val="32"/>
          <w:highlight w:val="none"/>
          <w:lang w:bidi="ar"/>
        </w:rPr>
        <w:t>，依法依规进行查处。</w:t>
      </w:r>
      <w:r>
        <w:rPr>
          <w:rFonts w:ascii="Times New Roman" w:hAnsi="Times New Roman" w:eastAsia="仿宋_GB2312" w:cs="Times New Roman"/>
          <w:kern w:val="0"/>
          <w:sz w:val="32"/>
          <w:szCs w:val="32"/>
          <w:highlight w:val="none"/>
          <w:lang w:bidi="ar"/>
        </w:rPr>
        <w:t>加强临时用地日常巡查、跟踪管理，在临时用地使用期届满前2个月向</w:t>
      </w:r>
      <w:r>
        <w:rPr>
          <w:rFonts w:hint="eastAsia" w:ascii="Times New Roman" w:hAnsi="Times New Roman" w:eastAsia="仿宋_GB2312" w:cs="Times New Roman"/>
          <w:kern w:val="0"/>
          <w:sz w:val="32"/>
          <w:szCs w:val="32"/>
          <w:highlight w:val="none"/>
          <w:lang w:bidi="ar"/>
        </w:rPr>
        <w:t>临时用地申请人</w:t>
      </w:r>
      <w:r>
        <w:rPr>
          <w:rFonts w:ascii="Times New Roman" w:hAnsi="Times New Roman" w:eastAsia="仿宋_GB2312" w:cs="Times New Roman"/>
          <w:kern w:val="0"/>
          <w:sz w:val="32"/>
          <w:szCs w:val="32"/>
          <w:highlight w:val="none"/>
          <w:lang w:bidi="ar"/>
        </w:rPr>
        <w:t>发放《临时用地到期通知书》</w:t>
      </w:r>
      <w:r>
        <w:rPr>
          <w:rFonts w:hint="eastAsia" w:ascii="Times New Roman" w:hAnsi="Times New Roman" w:eastAsia="仿宋_GB2312" w:cs="Times New Roman"/>
          <w:kern w:val="0"/>
          <w:sz w:val="32"/>
          <w:szCs w:val="32"/>
          <w:highlight w:val="none"/>
          <w:lang w:bidi="ar"/>
        </w:rPr>
        <w:t>。对于以</w:t>
      </w:r>
      <w:r>
        <w:rPr>
          <w:rFonts w:ascii="Times New Roman" w:hAnsi="Times New Roman" w:eastAsia="仿宋_GB2312" w:cs="Times New Roman"/>
          <w:kern w:val="0"/>
          <w:sz w:val="32"/>
          <w:szCs w:val="32"/>
          <w:highlight w:val="none"/>
          <w:lang w:bidi="ar"/>
        </w:rPr>
        <w:t>保函形式出具的复垦保证金，</w:t>
      </w:r>
      <w:r>
        <w:rPr>
          <w:rFonts w:hint="eastAsia" w:ascii="Times New Roman" w:hAnsi="Times New Roman" w:eastAsia="仿宋_GB2312" w:cs="Times New Roman"/>
          <w:kern w:val="0"/>
          <w:sz w:val="32"/>
          <w:szCs w:val="32"/>
          <w:highlight w:val="none"/>
          <w:lang w:bidi="ar"/>
        </w:rPr>
        <w:t>应在</w:t>
      </w:r>
      <w:r>
        <w:rPr>
          <w:rFonts w:ascii="Times New Roman" w:hAnsi="Times New Roman" w:eastAsia="仿宋_GB2312" w:cs="Times New Roman"/>
          <w:kern w:val="0"/>
          <w:sz w:val="32"/>
          <w:szCs w:val="32"/>
          <w:highlight w:val="none"/>
          <w:lang w:bidi="ar"/>
        </w:rPr>
        <w:t>期限届满前，</w:t>
      </w:r>
      <w:r>
        <w:rPr>
          <w:rFonts w:hint="eastAsia" w:ascii="Times New Roman" w:hAnsi="Times New Roman" w:eastAsia="仿宋_GB2312" w:cs="Times New Roman"/>
          <w:kern w:val="0"/>
          <w:sz w:val="32"/>
          <w:szCs w:val="32"/>
          <w:highlight w:val="none"/>
          <w:lang w:bidi="ar"/>
        </w:rPr>
        <w:t>及时</w:t>
      </w:r>
      <w:r>
        <w:rPr>
          <w:rFonts w:ascii="Times New Roman" w:hAnsi="Times New Roman" w:eastAsia="仿宋_GB2312" w:cs="Times New Roman"/>
          <w:kern w:val="0"/>
          <w:sz w:val="32"/>
          <w:szCs w:val="32"/>
          <w:highlight w:val="none"/>
          <w:lang w:bidi="ar"/>
        </w:rPr>
        <w:t>索偿</w:t>
      </w:r>
      <w:r>
        <w:rPr>
          <w:rFonts w:hint="eastAsia" w:ascii="Times New Roman" w:hAnsi="Times New Roman" w:eastAsia="仿宋_GB2312" w:cs="Times New Roman"/>
          <w:kern w:val="0"/>
          <w:sz w:val="32"/>
          <w:szCs w:val="32"/>
          <w:highlight w:val="none"/>
          <w:lang w:bidi="ar"/>
        </w:rPr>
        <w:t>。</w:t>
      </w:r>
    </w:p>
    <w:p w14:paraId="7D9B5653">
      <w:pPr>
        <w:widowControl/>
        <w:ind w:firstLine="640" w:firstLineChars="200"/>
        <w:rPr>
          <w:rFonts w:hint="eastAsia" w:ascii="Times New Roman" w:hAnsi="Times New Roman" w:eastAsia="仿宋_GB2312" w:cs="Times New Roman"/>
          <w:kern w:val="0"/>
          <w:sz w:val="32"/>
          <w:szCs w:val="32"/>
          <w:highlight w:val="none"/>
          <w:lang w:eastAsia="zh-CN" w:bidi="ar"/>
        </w:rPr>
      </w:pPr>
      <w:r>
        <w:rPr>
          <w:rFonts w:ascii="Times New Roman" w:hAnsi="Times New Roman" w:eastAsia="仿宋_GB2312" w:cs="Times New Roman"/>
          <w:kern w:val="0"/>
          <w:sz w:val="32"/>
          <w:szCs w:val="32"/>
          <w:highlight w:val="none"/>
          <w:lang w:bidi="ar"/>
        </w:rPr>
        <w:t>县（市、区）自然资源主管部门</w:t>
      </w:r>
      <w:r>
        <w:rPr>
          <w:rFonts w:hint="eastAsia" w:ascii="Times New Roman" w:hAnsi="Times New Roman" w:eastAsia="仿宋_GB2312" w:cs="Times New Roman"/>
          <w:kern w:val="0"/>
          <w:sz w:val="32"/>
          <w:szCs w:val="32"/>
          <w:highlight w:val="none"/>
          <w:lang w:eastAsia="zh-CN" w:bidi="ar"/>
        </w:rPr>
        <w:t>应将临时用地监管纳入属地自然资源所日常巡查工作。</w:t>
      </w:r>
      <w:r>
        <w:rPr>
          <w:rFonts w:ascii="Times New Roman" w:hAnsi="Times New Roman" w:eastAsia="仿宋_GB2312" w:cs="Times New Roman"/>
          <w:kern w:val="0"/>
          <w:sz w:val="32"/>
          <w:szCs w:val="32"/>
          <w:highlight w:val="none"/>
          <w:lang w:bidi="ar"/>
        </w:rPr>
        <w:t>巡查时，发现申请人擅自改变临时用地用途、扩大用地规模、改变建（构）筑层次及项目建设方案的，应立即予以制止</w:t>
      </w:r>
      <w:r>
        <w:rPr>
          <w:rFonts w:hint="eastAsia" w:ascii="Times New Roman" w:hAnsi="Times New Roman" w:eastAsia="仿宋_GB2312" w:cs="Times New Roman"/>
          <w:kern w:val="0"/>
          <w:sz w:val="32"/>
          <w:szCs w:val="32"/>
          <w:highlight w:val="none"/>
          <w:lang w:eastAsia="zh-CN" w:bidi="ar"/>
        </w:rPr>
        <w:t>，并移交</w:t>
      </w:r>
      <w:r>
        <w:rPr>
          <w:rFonts w:ascii="Times New Roman" w:hAnsi="Times New Roman" w:eastAsia="仿宋_GB2312" w:cs="Times New Roman"/>
          <w:kern w:val="0"/>
          <w:sz w:val="32"/>
          <w:szCs w:val="32"/>
          <w:highlight w:val="none"/>
          <w:lang w:bidi="ar"/>
        </w:rPr>
        <w:t>县（市、区）自然资源主管部门</w:t>
      </w:r>
      <w:r>
        <w:rPr>
          <w:rFonts w:hint="eastAsia" w:ascii="Times New Roman" w:hAnsi="Times New Roman" w:eastAsia="仿宋_GB2312" w:cs="Times New Roman"/>
          <w:kern w:val="0"/>
          <w:sz w:val="32"/>
          <w:szCs w:val="32"/>
          <w:highlight w:val="none"/>
          <w:lang w:eastAsia="zh-CN" w:bidi="ar"/>
        </w:rPr>
        <w:t>执法科室查处</w:t>
      </w:r>
      <w:r>
        <w:rPr>
          <w:rFonts w:ascii="Times New Roman" w:hAnsi="Times New Roman" w:eastAsia="仿宋_GB2312" w:cs="Times New Roman"/>
          <w:kern w:val="0"/>
          <w:sz w:val="32"/>
          <w:szCs w:val="32"/>
          <w:highlight w:val="none"/>
          <w:lang w:bidi="ar"/>
        </w:rPr>
        <w:t>。县（市、区）自然资源主管部门</w:t>
      </w:r>
      <w:r>
        <w:rPr>
          <w:rFonts w:hint="eastAsia" w:ascii="Times New Roman" w:hAnsi="Times New Roman" w:eastAsia="仿宋_GB2312" w:cs="Times New Roman"/>
          <w:kern w:val="0"/>
          <w:sz w:val="32"/>
          <w:szCs w:val="32"/>
          <w:highlight w:val="none"/>
          <w:lang w:eastAsia="zh-CN" w:bidi="ar"/>
        </w:rPr>
        <w:t>每季度向市局报送临时用地自查整改情况。</w:t>
      </w:r>
    </w:p>
    <w:p w14:paraId="725CB84B">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市</w:t>
      </w:r>
      <w:r>
        <w:rPr>
          <w:rFonts w:hint="eastAsia" w:ascii="Times New Roman" w:hAnsi="Times New Roman" w:eastAsia="仿宋_GB2312" w:cs="Times New Roman"/>
          <w:kern w:val="0"/>
          <w:sz w:val="32"/>
          <w:szCs w:val="32"/>
          <w:highlight w:val="none"/>
          <w:lang w:eastAsia="zh-CN" w:bidi="ar"/>
        </w:rPr>
        <w:t>局将临时用地工作纳入市局对县（市、区）局考核，并建立处室联合监督检查机制，对县（市、区）局报送的临时用地自查情况每季度</w:t>
      </w:r>
      <w:r>
        <w:rPr>
          <w:rFonts w:ascii="Times New Roman" w:hAnsi="Times New Roman" w:eastAsia="仿宋_GB2312" w:cs="Times New Roman"/>
          <w:kern w:val="0"/>
          <w:sz w:val="32"/>
          <w:szCs w:val="32"/>
          <w:highlight w:val="none"/>
          <w:lang w:bidi="ar"/>
        </w:rPr>
        <w:t>开展抽查，对于</w:t>
      </w:r>
      <w:r>
        <w:rPr>
          <w:rFonts w:hint="eastAsia" w:ascii="Times New Roman" w:hAnsi="Times New Roman" w:eastAsia="仿宋_GB2312" w:cs="Times New Roman"/>
          <w:kern w:val="0"/>
          <w:sz w:val="32"/>
          <w:szCs w:val="32"/>
          <w:highlight w:val="none"/>
          <w:lang w:bidi="ar"/>
        </w:rPr>
        <w:t>监管</w:t>
      </w:r>
      <w:r>
        <w:rPr>
          <w:rFonts w:ascii="Times New Roman" w:hAnsi="Times New Roman" w:eastAsia="仿宋_GB2312" w:cs="Times New Roman"/>
          <w:kern w:val="0"/>
          <w:sz w:val="32"/>
          <w:szCs w:val="32"/>
          <w:highlight w:val="none"/>
          <w:lang w:bidi="ar"/>
        </w:rPr>
        <w:t>薄弱</w:t>
      </w:r>
      <w:r>
        <w:rPr>
          <w:rFonts w:hint="eastAsia" w:ascii="Times New Roman" w:hAnsi="Times New Roman" w:eastAsia="仿宋_GB2312" w:cs="Times New Roman"/>
          <w:kern w:val="0"/>
          <w:sz w:val="32"/>
          <w:szCs w:val="32"/>
          <w:highlight w:val="none"/>
          <w:lang w:eastAsia="zh-CN" w:bidi="ar"/>
        </w:rPr>
        <w:t>、</w:t>
      </w:r>
      <w:r>
        <w:rPr>
          <w:rFonts w:ascii="Times New Roman" w:hAnsi="Times New Roman" w:eastAsia="仿宋_GB2312" w:cs="Times New Roman"/>
          <w:kern w:val="0"/>
          <w:sz w:val="32"/>
          <w:szCs w:val="32"/>
          <w:highlight w:val="none"/>
          <w:lang w:bidi="ar"/>
        </w:rPr>
        <w:t>违法</w:t>
      </w:r>
      <w:r>
        <w:rPr>
          <w:rFonts w:hint="eastAsia" w:ascii="Times New Roman" w:hAnsi="Times New Roman" w:eastAsia="仿宋_GB2312" w:cs="Times New Roman"/>
          <w:kern w:val="0"/>
          <w:sz w:val="32"/>
          <w:szCs w:val="32"/>
          <w:highlight w:val="none"/>
          <w:lang w:bidi="ar"/>
        </w:rPr>
        <w:t>较多</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超期</w:t>
      </w:r>
      <w:r>
        <w:rPr>
          <w:rFonts w:ascii="Times New Roman" w:hAnsi="Times New Roman" w:eastAsia="仿宋_GB2312" w:cs="Times New Roman"/>
          <w:kern w:val="0"/>
          <w:sz w:val="32"/>
          <w:szCs w:val="32"/>
          <w:highlight w:val="none"/>
          <w:lang w:bidi="ar"/>
        </w:rPr>
        <w:t>未复垦</w:t>
      </w:r>
      <w:r>
        <w:rPr>
          <w:rFonts w:hint="eastAsia" w:ascii="Times New Roman" w:hAnsi="Times New Roman" w:eastAsia="仿宋_GB2312" w:cs="Times New Roman"/>
          <w:kern w:val="0"/>
          <w:sz w:val="32"/>
          <w:szCs w:val="32"/>
          <w:highlight w:val="none"/>
          <w:lang w:bidi="ar"/>
        </w:rPr>
        <w:t>用地</w:t>
      </w:r>
      <w:r>
        <w:rPr>
          <w:rFonts w:ascii="Times New Roman" w:hAnsi="Times New Roman" w:eastAsia="仿宋_GB2312" w:cs="Times New Roman"/>
          <w:kern w:val="0"/>
          <w:sz w:val="32"/>
          <w:szCs w:val="32"/>
          <w:highlight w:val="none"/>
          <w:lang w:bidi="ar"/>
        </w:rPr>
        <w:t>占比较高的地区</w:t>
      </w:r>
      <w:r>
        <w:rPr>
          <w:rFonts w:hint="eastAsia" w:ascii="Times New Roman" w:hAnsi="Times New Roman" w:eastAsia="仿宋_GB2312" w:cs="Times New Roman"/>
          <w:kern w:val="0"/>
          <w:sz w:val="32"/>
          <w:szCs w:val="32"/>
          <w:highlight w:val="none"/>
          <w:lang w:bidi="ar"/>
        </w:rPr>
        <w:t>暂停临时用地</w:t>
      </w:r>
      <w:r>
        <w:rPr>
          <w:rFonts w:ascii="Times New Roman" w:hAnsi="Times New Roman" w:eastAsia="仿宋_GB2312" w:cs="Times New Roman"/>
          <w:kern w:val="0"/>
          <w:sz w:val="32"/>
          <w:szCs w:val="32"/>
          <w:highlight w:val="none"/>
          <w:lang w:bidi="ar"/>
        </w:rPr>
        <w:t>审批。</w:t>
      </w:r>
    </w:p>
    <w:p w14:paraId="4B4BB493">
      <w:pPr>
        <w:widowControl/>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七、复垦复耕</w:t>
      </w:r>
    </w:p>
    <w:p w14:paraId="325B4026">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临时用地使用者依照本办法取得临时用地批准后，对可能被损毁的耕地，应当进行表土剥离，分层存放，分层回填，用于被损毁土地的复垦。</w:t>
      </w:r>
    </w:p>
    <w:p w14:paraId="71B8B5FD">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用地使用期限届满，临时用地使用者应当及时退出占用的土地。临时建设应当在批准的使用期限届满前自行拆除。临时用地使用者应当在一年内落实土地复垦责任，包括拆除地上建（构）筑物、清理建（构）物垃圾、平整土地、恢复土地种植条件或恢复土地原状等。</w:t>
      </w:r>
    </w:p>
    <w:p w14:paraId="562A8FFD">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用地使用者完成土地复垦任务后，向项目所在地县（市、区）自然资源主管部门提出验收书面申请。各县（市、区）自然资源主管部门应当会同同级农业、林业、生态环境等有关部门，组织邀请有关专家和农村集体经济组织代表，依据土地复垦方案、阶段土地复垦计划，进行验收。经组织验收合格的，临时用地使用者可申请出具退还耕地占用税意见并退回预存的土地复垦费用。</w:t>
      </w:r>
    </w:p>
    <w:p w14:paraId="39E2B819">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负有土地复垦义务的临时用地使用者不复垦，或者复垦验收经整改后仍不合格的，由县（市、区）自然资源主管部门代为组织复垦，费用从临时用地使用者预存的土地复垦费用中支出，支付给复垦任务承担单位。预存的土地复垦费用不予退还。预存的土地复垦费用不足以完成土地复垦的，县（市、区）自然资源主管部门有权向负有土地复垦义务的临时用地使用者追偿。</w:t>
      </w:r>
    </w:p>
    <w:p w14:paraId="49BD7318">
      <w:pPr>
        <w:widowControl/>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八、</w:t>
      </w:r>
      <w:r>
        <w:rPr>
          <w:rFonts w:hint="eastAsia" w:ascii="Times New Roman" w:hAnsi="Times New Roman" w:eastAsia="黑体" w:cs="Times New Roman"/>
          <w:sz w:val="32"/>
          <w:szCs w:val="32"/>
          <w:highlight w:val="none"/>
        </w:rPr>
        <w:t>法律责任</w:t>
      </w:r>
    </w:p>
    <w:p w14:paraId="404C94DA">
      <w:pPr>
        <w:widowControl/>
        <w:ind w:firstLine="640" w:firstLineChars="200"/>
        <w:rPr>
          <w:rFonts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在临时使用的土地上修建永久性建筑物的，由县级以上人民政府自然资源主管部门责令限期拆除，按占用面积处土地复垦费</w:t>
      </w:r>
      <w:r>
        <w:rPr>
          <w:rFonts w:ascii="Times New Roman" w:hAnsi="Times New Roman" w:eastAsia="仿宋_GB2312" w:cs="Times New Roman"/>
          <w:kern w:val="0"/>
          <w:sz w:val="32"/>
          <w:szCs w:val="32"/>
          <w:highlight w:val="none"/>
          <w:lang w:bidi="ar"/>
        </w:rPr>
        <w:t>5</w:t>
      </w:r>
      <w:r>
        <w:rPr>
          <w:rFonts w:hint="eastAsia" w:ascii="Times New Roman" w:hAnsi="Times New Roman" w:eastAsia="仿宋_GB2312" w:cs="Times New Roman"/>
          <w:kern w:val="0"/>
          <w:sz w:val="32"/>
          <w:szCs w:val="32"/>
          <w:highlight w:val="none"/>
          <w:lang w:bidi="ar"/>
        </w:rPr>
        <w:t>倍以上</w:t>
      </w:r>
      <w:r>
        <w:rPr>
          <w:rFonts w:ascii="Times New Roman" w:hAnsi="Times New Roman" w:eastAsia="仿宋_GB2312" w:cs="Times New Roman"/>
          <w:kern w:val="0"/>
          <w:sz w:val="32"/>
          <w:szCs w:val="32"/>
          <w:highlight w:val="none"/>
          <w:lang w:bidi="ar"/>
        </w:rPr>
        <w:t>10</w:t>
      </w:r>
      <w:r>
        <w:rPr>
          <w:rFonts w:hint="eastAsia" w:ascii="Times New Roman" w:hAnsi="Times New Roman" w:eastAsia="仿宋_GB2312" w:cs="Times New Roman"/>
          <w:kern w:val="0"/>
          <w:sz w:val="32"/>
          <w:szCs w:val="32"/>
          <w:highlight w:val="none"/>
          <w:lang w:bidi="ar"/>
        </w:rPr>
        <w:t>倍以下的罚款；逾期不拆除的，由作出行政决定的机关依法申请人民法院强制执行。</w:t>
      </w:r>
    </w:p>
    <w:p w14:paraId="03F53BA9">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临时使用土地期满拒不归还的，或者不按照批准的用途使用国有土地的，由县级以上人民政府自然资源主管部门责令交还土地，处以罚款。</w:t>
      </w:r>
    </w:p>
    <w:p w14:paraId="71FE70FF">
      <w:pPr>
        <w:widowControl/>
        <w:ind w:firstLine="640" w:firstLineChars="200"/>
        <w:jc w:val="left"/>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土地复垦义务人不依法履行土地复垦义务的，不得审批新的临时用地。土地复垦义务人违反土地管理相关法律规定，</w:t>
      </w:r>
      <w:r>
        <w:rPr>
          <w:rFonts w:hint="eastAsia" w:ascii="Times New Roman" w:hAnsi="Times New Roman" w:eastAsia="仿宋_GB2312" w:cs="Times New Roman"/>
          <w:kern w:val="0"/>
          <w:sz w:val="32"/>
          <w:szCs w:val="32"/>
          <w:highlight w:val="none"/>
          <w:lang w:bidi="ar"/>
        </w:rPr>
        <w:t>在临时用地期满之日起一年内未完成复垦或者未恢复种植条件的，由县级以上人民政府自然资源主管部门责令限期改正，</w:t>
      </w:r>
      <w:r>
        <w:rPr>
          <w:rFonts w:ascii="Times New Roman" w:hAnsi="Times New Roman" w:eastAsia="仿宋_GB2312" w:cs="Times New Roman"/>
          <w:kern w:val="0"/>
          <w:sz w:val="32"/>
          <w:szCs w:val="32"/>
          <w:highlight w:val="none"/>
          <w:lang w:bidi="ar"/>
        </w:rPr>
        <w:t>逾期不改正的，责令缴纳复垦费，专项用于土地复垦，</w:t>
      </w:r>
      <w:r>
        <w:rPr>
          <w:rFonts w:hint="eastAsia" w:ascii="Times New Roman" w:hAnsi="Times New Roman" w:eastAsia="仿宋_GB2312" w:cs="Times New Roman"/>
          <w:kern w:val="0"/>
          <w:sz w:val="32"/>
          <w:szCs w:val="32"/>
          <w:highlight w:val="none"/>
          <w:lang w:bidi="ar"/>
        </w:rPr>
        <w:t>可并处土地复垦费的</w:t>
      </w:r>
      <w:r>
        <w:rPr>
          <w:rFonts w:ascii="Times New Roman" w:hAnsi="Times New Roman" w:eastAsia="仿宋_GB2312" w:cs="Times New Roman"/>
          <w:kern w:val="0"/>
          <w:sz w:val="32"/>
          <w:szCs w:val="32"/>
          <w:highlight w:val="none"/>
          <w:lang w:bidi="ar"/>
        </w:rPr>
        <w:t>2</w:t>
      </w:r>
      <w:r>
        <w:rPr>
          <w:rFonts w:hint="eastAsia" w:ascii="Times New Roman" w:hAnsi="Times New Roman" w:eastAsia="仿宋_GB2312" w:cs="Times New Roman"/>
          <w:kern w:val="0"/>
          <w:sz w:val="32"/>
          <w:szCs w:val="32"/>
          <w:highlight w:val="none"/>
          <w:lang w:bidi="ar"/>
        </w:rPr>
        <w:t>倍以上</w:t>
      </w:r>
      <w:r>
        <w:rPr>
          <w:rFonts w:ascii="Times New Roman" w:hAnsi="Times New Roman" w:eastAsia="仿宋_GB2312" w:cs="Times New Roman"/>
          <w:kern w:val="0"/>
          <w:sz w:val="32"/>
          <w:szCs w:val="32"/>
          <w:highlight w:val="none"/>
          <w:lang w:bidi="ar"/>
        </w:rPr>
        <w:t>5</w:t>
      </w:r>
      <w:r>
        <w:rPr>
          <w:rFonts w:hint="eastAsia" w:ascii="Times New Roman" w:hAnsi="Times New Roman" w:eastAsia="仿宋_GB2312" w:cs="Times New Roman"/>
          <w:kern w:val="0"/>
          <w:sz w:val="32"/>
          <w:szCs w:val="32"/>
          <w:highlight w:val="none"/>
          <w:lang w:bidi="ar"/>
        </w:rPr>
        <w:t>倍以下的</w:t>
      </w:r>
      <w:r>
        <w:rPr>
          <w:rFonts w:ascii="Times New Roman" w:hAnsi="Times New Roman" w:eastAsia="仿宋_GB2312" w:cs="Times New Roman"/>
          <w:kern w:val="0"/>
          <w:sz w:val="32"/>
          <w:szCs w:val="32"/>
          <w:highlight w:val="none"/>
          <w:lang w:bidi="ar"/>
        </w:rPr>
        <w:t>罚款</w:t>
      </w:r>
      <w:r>
        <w:rPr>
          <w:rFonts w:hint="eastAsia" w:ascii="Times New Roman" w:hAnsi="Times New Roman" w:eastAsia="仿宋_GB2312" w:cs="Times New Roman"/>
          <w:kern w:val="0"/>
          <w:sz w:val="32"/>
          <w:szCs w:val="32"/>
          <w:highlight w:val="none"/>
          <w:lang w:bidi="ar"/>
        </w:rPr>
        <w:t>，并由县级以上人民政府自然资源主管部门会同农业农村主管部门代为完成复垦或者恢复种植条件。</w:t>
      </w:r>
    </w:p>
    <w:p w14:paraId="4941E617">
      <w:pPr>
        <w:widowControl/>
        <w:ind w:firstLine="640" w:firstLineChars="200"/>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临时用地使用者采取欺骗手段骗取批准，批准后擅自改变用途的，及以临时用地建设名义行矿产资源开采之实的，由县级以上自然资源主管部门根据《中华人民共和国土地管理法》《中华人民共和国矿产资源法》的相关规定进行处罚。情节严重的，依法移交公安部门追究刑事责任。</w:t>
      </w:r>
    </w:p>
    <w:p w14:paraId="0024D926">
      <w:pPr>
        <w:keepNext w:val="0"/>
        <w:keepLines w:val="0"/>
        <w:widowControl/>
        <w:suppressLineNumbers w:val="0"/>
        <w:ind w:firstLine="640" w:firstLineChars="200"/>
        <w:jc w:val="left"/>
        <w:rPr>
          <w:rFonts w:hint="eastAsia" w:ascii="Times New Roman" w:hAnsi="Times New Roman" w:eastAsia="仿宋_GB2312" w:cs="Times New Roman"/>
          <w:kern w:val="0"/>
          <w:sz w:val="32"/>
          <w:szCs w:val="32"/>
          <w:highlight w:val="none"/>
          <w:lang w:bidi="ar"/>
        </w:rPr>
      </w:pPr>
      <w:r>
        <w:rPr>
          <w:rFonts w:hint="eastAsia" w:ascii="Times New Roman" w:hAnsi="Times New Roman" w:eastAsia="仿宋_GB2312" w:cs="Times New Roman"/>
          <w:kern w:val="0"/>
          <w:sz w:val="32"/>
          <w:szCs w:val="32"/>
          <w:highlight w:val="none"/>
          <w:lang w:bidi="ar"/>
        </w:rPr>
        <w:t>本通知自 2024年</w:t>
      </w:r>
      <w:r>
        <w:rPr>
          <w:rFonts w:hint="eastAsia" w:ascii="Times New Roman" w:hAnsi="Times New Roman" w:eastAsia="仿宋_GB2312" w:cs="Times New Roman"/>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lang w:bidi="ar"/>
        </w:rPr>
        <w:t>月</w:t>
      </w:r>
      <w:r>
        <w:rPr>
          <w:rFonts w:hint="eastAsia" w:ascii="Times New Roman" w:hAnsi="Times New Roman" w:eastAsia="仿宋_GB2312" w:cs="Times New Roman"/>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lang w:bidi="ar"/>
        </w:rPr>
        <w:t>日起实施。执行过程中若遇国家政策调整</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按照新规定执行</w:t>
      </w:r>
      <w:r>
        <w:rPr>
          <w:rFonts w:hint="eastAsia"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kern w:val="0"/>
          <w:sz w:val="32"/>
          <w:szCs w:val="32"/>
          <w:highlight w:val="none"/>
          <w:lang w:bidi="ar"/>
        </w:rPr>
        <w:t>《</w:t>
      </w:r>
      <w:r>
        <w:rPr>
          <w:rFonts w:hint="eastAsia" w:ascii="Times New Roman" w:hAnsi="Times New Roman" w:eastAsia="仿宋_GB2312" w:cs="Times New Roman"/>
          <w:kern w:val="0"/>
          <w:sz w:val="32"/>
          <w:szCs w:val="32"/>
          <w:highlight w:val="none"/>
          <w:lang w:eastAsia="zh-CN" w:bidi="ar"/>
        </w:rPr>
        <w:t>台州市</w:t>
      </w:r>
      <w:r>
        <w:rPr>
          <w:rFonts w:hint="eastAsia" w:ascii="Times New Roman" w:hAnsi="Times New Roman" w:eastAsia="仿宋_GB2312" w:cs="Times New Roman"/>
          <w:kern w:val="0"/>
          <w:sz w:val="32"/>
          <w:szCs w:val="32"/>
          <w:highlight w:val="none"/>
          <w:lang w:bidi="ar"/>
        </w:rPr>
        <w:t>临时用地</w:t>
      </w:r>
      <w:r>
        <w:rPr>
          <w:rFonts w:hint="eastAsia" w:ascii="Times New Roman" w:hAnsi="Times New Roman" w:eastAsia="仿宋_GB2312" w:cs="Times New Roman"/>
          <w:kern w:val="0"/>
          <w:sz w:val="32"/>
          <w:szCs w:val="32"/>
          <w:highlight w:val="none"/>
          <w:lang w:eastAsia="zh-CN" w:bidi="ar"/>
        </w:rPr>
        <w:t>审批</w:t>
      </w:r>
      <w:r>
        <w:rPr>
          <w:rFonts w:hint="eastAsia" w:ascii="Times New Roman" w:hAnsi="Times New Roman" w:eastAsia="仿宋_GB2312" w:cs="Times New Roman"/>
          <w:kern w:val="0"/>
          <w:sz w:val="32"/>
          <w:szCs w:val="32"/>
          <w:highlight w:val="none"/>
          <w:lang w:bidi="ar"/>
        </w:rPr>
        <w:t>管理办法(试行)》(</w:t>
      </w:r>
      <w:r>
        <w:rPr>
          <w:rFonts w:hint="eastAsia" w:ascii="Times New Roman" w:hAnsi="Times New Roman" w:eastAsia="仿宋_GB2312" w:cs="Times New Roman"/>
          <w:kern w:val="0"/>
          <w:sz w:val="32"/>
          <w:szCs w:val="32"/>
          <w:highlight w:val="none"/>
          <w:lang w:val="en-US" w:eastAsia="zh-CN" w:bidi="ar"/>
        </w:rPr>
        <w:t>台自然资规发〔2022〕2号</w:t>
      </w:r>
      <w:r>
        <w:rPr>
          <w:rFonts w:hint="eastAsia" w:ascii="Times New Roman" w:hAnsi="Times New Roman" w:eastAsia="仿宋_GB2312" w:cs="Times New Roman"/>
          <w:kern w:val="0"/>
          <w:sz w:val="32"/>
          <w:szCs w:val="32"/>
          <w:highlight w:val="none"/>
          <w:lang w:bidi="ar"/>
        </w:rPr>
        <w:t>)同时废止。</w:t>
      </w:r>
    </w:p>
    <w:p w14:paraId="08529B2E">
      <w:pPr>
        <w:widowControl/>
        <w:ind w:firstLine="640" w:firstLineChars="200"/>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bidi="ar"/>
        </w:rPr>
        <w:t>附件：1.临时用地申请表</w:t>
      </w:r>
    </w:p>
    <w:p w14:paraId="6D574BA1">
      <w:pPr>
        <w:widowControl/>
        <w:ind w:firstLine="1600" w:firstLineChars="500"/>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bidi="ar"/>
        </w:rPr>
        <w:t>2.实地踏勘表</w:t>
      </w:r>
    </w:p>
    <w:p w14:paraId="04ECBFE5">
      <w:pPr>
        <w:widowControl/>
        <w:ind w:firstLine="1600" w:firstLineChars="5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3.</w:t>
      </w:r>
      <w:r>
        <w:rPr>
          <w:rFonts w:hint="default" w:ascii="Times New Roman" w:hAnsi="Times New Roman" w:eastAsia="仿宋_GB2312" w:cs="Times New Roman"/>
          <w:color w:val="auto"/>
          <w:kern w:val="0"/>
          <w:sz w:val="32"/>
          <w:szCs w:val="32"/>
          <w:lang w:eastAsia="zh-CN" w:bidi="ar"/>
        </w:rPr>
        <w:t>县（市、区）</w:t>
      </w:r>
      <w:r>
        <w:rPr>
          <w:rFonts w:hint="default" w:ascii="Times New Roman" w:hAnsi="Times New Roman" w:eastAsia="仿宋_GB2312" w:cs="Times New Roman"/>
          <w:color w:val="auto"/>
          <w:kern w:val="0"/>
          <w:sz w:val="32"/>
          <w:szCs w:val="32"/>
          <w:lang w:bidi="ar"/>
        </w:rPr>
        <w:t>临时用地初审意见</w:t>
      </w:r>
    </w:p>
    <w:p w14:paraId="61604023">
      <w:pPr>
        <w:widowControl/>
        <w:ind w:firstLine="1600" w:firstLineChars="5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4.XXX处审查意见</w:t>
      </w:r>
    </w:p>
    <w:p w14:paraId="6741FFF4">
      <w:pPr>
        <w:widowControl/>
        <w:ind w:firstLine="1600" w:firstLineChars="5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5.临时用地审批表</w:t>
      </w:r>
    </w:p>
    <w:p w14:paraId="15B9E459">
      <w:pPr>
        <w:widowControl/>
        <w:ind w:firstLine="1600" w:firstLineChars="50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6.临时用地审批意见</w:t>
      </w:r>
    </w:p>
    <w:p w14:paraId="395C3D42">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79B0376B">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2E7D9FCF">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5DF75556">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154D0952">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6CE60C82">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p>
    <w:p w14:paraId="1FE8D714">
      <w:pPr>
        <w:widowControl/>
        <w:shd w:val="clear" w:color="auto" w:fill="FFFFFF"/>
        <w:spacing w:line="285" w:lineRule="atLeast"/>
        <w:jc w:val="left"/>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xml:space="preserve">附件一：  </w:t>
      </w:r>
    </w:p>
    <w:p w14:paraId="01A756A8">
      <w:pPr>
        <w:widowControl/>
        <w:shd w:val="clear" w:color="auto" w:fill="FFFFFF"/>
        <w:spacing w:line="285" w:lineRule="atLeast"/>
        <w:jc w:val="center"/>
        <w:rPr>
          <w:rFonts w:ascii="仿宋" w:hAnsi="仿宋" w:eastAsia="仿宋" w:cs="仿宋"/>
          <w:color w:val="000000" w:themeColor="text1"/>
          <w:kern w:val="0"/>
          <w:sz w:val="28"/>
          <w:szCs w:val="28"/>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临时用地申请表</w:t>
      </w:r>
    </w:p>
    <w:tbl>
      <w:tblPr>
        <w:tblStyle w:val="11"/>
        <w:tblW w:w="8925" w:type="dxa"/>
        <w:tblInd w:w="0" w:type="dxa"/>
        <w:tblLayout w:type="autofit"/>
        <w:tblCellMar>
          <w:top w:w="0" w:type="dxa"/>
          <w:left w:w="0" w:type="dxa"/>
          <w:bottom w:w="0" w:type="dxa"/>
          <w:right w:w="0" w:type="dxa"/>
        </w:tblCellMar>
      </w:tblPr>
      <w:tblGrid>
        <w:gridCol w:w="1275"/>
        <w:gridCol w:w="1275"/>
        <w:gridCol w:w="1275"/>
        <w:gridCol w:w="1275"/>
        <w:gridCol w:w="1275"/>
        <w:gridCol w:w="1275"/>
        <w:gridCol w:w="1275"/>
      </w:tblGrid>
      <w:tr w14:paraId="452FA2C5">
        <w:tblPrEx>
          <w:tblCellMar>
            <w:top w:w="0" w:type="dxa"/>
            <w:left w:w="0" w:type="dxa"/>
            <w:bottom w:w="0" w:type="dxa"/>
            <w:right w:w="0" w:type="dxa"/>
          </w:tblCellMar>
        </w:tblPrEx>
        <w:trPr>
          <w:trHeight w:val="57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5D2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申请单位情况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539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申请单位(盖章)</w:t>
            </w:r>
          </w:p>
        </w:tc>
        <w:tc>
          <w:tcPr>
            <w:tcW w:w="6375"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F99A08">
            <w:pPr>
              <w:jc w:val="center"/>
              <w:rPr>
                <w:rFonts w:ascii="宋体" w:hAnsi="宋体" w:eastAsia="宋体" w:cs="宋体"/>
                <w:color w:val="000000" w:themeColor="text1"/>
                <w:sz w:val="24"/>
                <w14:textFill>
                  <w14:solidFill>
                    <w14:schemeClr w14:val="tx1"/>
                  </w14:solidFill>
                </w14:textFill>
              </w:rPr>
            </w:pPr>
          </w:p>
        </w:tc>
      </w:tr>
      <w:tr w14:paraId="5CA8B960">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DB91">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767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C2C65">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5CD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身份证号码</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A369">
            <w:pPr>
              <w:jc w:val="center"/>
              <w:rPr>
                <w:rFonts w:ascii="宋体" w:hAnsi="宋体" w:eastAsia="宋体" w:cs="宋体"/>
                <w:color w:val="000000" w:themeColor="text1"/>
                <w:sz w:val="24"/>
                <w14:textFill>
                  <w14:solidFill>
                    <w14:schemeClr w14:val="tx1"/>
                  </w14:solidFill>
                </w14:textFill>
              </w:rPr>
            </w:pPr>
          </w:p>
        </w:tc>
      </w:tr>
      <w:tr w14:paraId="4EC9C584">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A3AE">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FCF75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通讯地址</w:t>
            </w:r>
          </w:p>
        </w:tc>
        <w:tc>
          <w:tcPr>
            <w:tcW w:w="25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62D34D">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F115B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联系电话</w:t>
            </w:r>
          </w:p>
        </w:tc>
        <w:tc>
          <w:tcPr>
            <w:tcW w:w="25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90DD79">
            <w:pPr>
              <w:jc w:val="center"/>
              <w:rPr>
                <w:rFonts w:ascii="宋体" w:hAnsi="宋体" w:eastAsia="宋体" w:cs="宋体"/>
                <w:color w:val="000000" w:themeColor="text1"/>
                <w:sz w:val="24"/>
                <w14:textFill>
                  <w14:solidFill>
                    <w14:schemeClr w14:val="tx1"/>
                  </w14:solidFill>
                </w14:textFill>
              </w:rPr>
            </w:pPr>
          </w:p>
        </w:tc>
      </w:tr>
      <w:tr w14:paraId="01E47672">
        <w:tblPrEx>
          <w:tblCellMar>
            <w:top w:w="0" w:type="dxa"/>
            <w:left w:w="0" w:type="dxa"/>
            <w:bottom w:w="0" w:type="dxa"/>
            <w:right w:w="0" w:type="dxa"/>
          </w:tblCellMar>
        </w:tblPrEx>
        <w:trPr>
          <w:trHeight w:val="37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4DD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申请用地情况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FEA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项目名称</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8740">
            <w:pPr>
              <w:rPr>
                <w:rFonts w:ascii="宋体" w:hAnsi="宋体" w:eastAsia="宋体" w:cs="宋体"/>
                <w:color w:val="000000" w:themeColor="text1"/>
                <w:sz w:val="24"/>
                <w14:textFill>
                  <w14:solidFill>
                    <w14:schemeClr w14:val="tx1"/>
                  </w14:solidFill>
                </w14:textFill>
              </w:rPr>
            </w:pPr>
          </w:p>
        </w:tc>
      </w:tr>
      <w:tr w14:paraId="5A69C616">
        <w:tblPrEx>
          <w:tblCellMar>
            <w:top w:w="0" w:type="dxa"/>
            <w:left w:w="0" w:type="dxa"/>
            <w:bottom w:w="0" w:type="dxa"/>
            <w:right w:w="0" w:type="dxa"/>
          </w:tblCellMar>
        </w:tblPrEx>
        <w:trPr>
          <w:trHeight w:val="57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2ACA">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30E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项目建设依据文件编号</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FBA4">
            <w:pPr>
              <w:jc w:val="center"/>
              <w:rPr>
                <w:rFonts w:ascii="宋体" w:hAnsi="宋体" w:eastAsia="宋体" w:cs="宋体"/>
                <w:color w:val="000000" w:themeColor="text1"/>
                <w:sz w:val="24"/>
                <w14:textFill>
                  <w14:solidFill>
                    <w14:schemeClr w14:val="tx1"/>
                  </w14:solidFill>
                </w14:textFill>
              </w:rPr>
            </w:pPr>
          </w:p>
        </w:tc>
      </w:tr>
      <w:tr w14:paraId="16E56812">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A046">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A4F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用地坐落</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D700">
            <w:pPr>
              <w:jc w:val="center"/>
              <w:rPr>
                <w:rFonts w:ascii="宋体" w:hAnsi="宋体" w:eastAsia="宋体" w:cs="宋体"/>
                <w:color w:val="000000" w:themeColor="text1"/>
                <w:sz w:val="24"/>
                <w14:textFill>
                  <w14:solidFill>
                    <w14:schemeClr w14:val="tx1"/>
                  </w14:solidFill>
                </w14:textFill>
              </w:rPr>
            </w:pPr>
          </w:p>
        </w:tc>
      </w:tr>
      <w:tr w14:paraId="141FD96B">
        <w:tblPrEx>
          <w:tblCellMar>
            <w:top w:w="0" w:type="dxa"/>
            <w:left w:w="0" w:type="dxa"/>
            <w:bottom w:w="0" w:type="dxa"/>
            <w:right w:w="0" w:type="dxa"/>
          </w:tblCellMar>
        </w:tblPrEx>
        <w:trPr>
          <w:trHeight w:val="57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7D41">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6335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申请临时使用期限</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AAA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年      月    日——        年     月    日</w:t>
            </w:r>
          </w:p>
        </w:tc>
      </w:tr>
      <w:tr w14:paraId="234045C0">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A56D">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341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用地面积</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DC8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总面积            公顷，其中涉及</w:t>
            </w:r>
            <w:r>
              <w:rPr>
                <w:rFonts w:hint="eastAsia" w:ascii="宋体" w:hAnsi="宋体" w:eastAsia="宋体" w:cs="宋体"/>
                <w:color w:val="000000" w:themeColor="text1"/>
                <w:kern w:val="0"/>
                <w:sz w:val="24"/>
                <w:lang w:eastAsia="zh-CN" w:bidi="ar"/>
                <w14:textFill>
                  <w14:solidFill>
                    <w14:schemeClr w14:val="tx1"/>
                  </w14:solidFill>
                </w14:textFill>
              </w:rPr>
              <w:t>永久</w:t>
            </w:r>
            <w:r>
              <w:rPr>
                <w:rFonts w:hint="eastAsia" w:ascii="宋体" w:hAnsi="宋体" w:eastAsia="宋体" w:cs="宋体"/>
                <w:color w:val="000000" w:themeColor="text1"/>
                <w:kern w:val="0"/>
                <w:sz w:val="24"/>
                <w:lang w:bidi="ar"/>
                <w14:textFill>
                  <w14:solidFill>
                    <w14:schemeClr w14:val="tx1"/>
                  </w14:solidFill>
                </w14:textFill>
              </w:rPr>
              <w:t>基本农田               公顷。</w:t>
            </w:r>
          </w:p>
        </w:tc>
      </w:tr>
      <w:tr w14:paraId="45735F32">
        <w:tblPrEx>
          <w:tblCellMar>
            <w:top w:w="0" w:type="dxa"/>
            <w:left w:w="0" w:type="dxa"/>
            <w:bottom w:w="0" w:type="dxa"/>
            <w:right w:w="0" w:type="dxa"/>
          </w:tblCellMar>
        </w:tblPrEx>
        <w:trPr>
          <w:trHeight w:val="1321"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FC34">
            <w:pPr>
              <w:jc w:val="center"/>
              <w:rPr>
                <w:rFonts w:ascii="宋体" w:hAnsi="宋体" w:eastAsia="宋体" w:cs="宋体"/>
                <w:color w:val="000000" w:themeColor="text1"/>
                <w:sz w:val="24"/>
                <w14:textFill>
                  <w14:solidFill>
                    <w14:schemeClr w14:val="tx1"/>
                  </w14:solidFill>
                </w14:textFill>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2EA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地类情况</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0AE3">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建设用地     公顷；农用地      公顷</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未利用地    公顷。</w:t>
            </w:r>
          </w:p>
          <w:p w14:paraId="71FF209C">
            <w:pPr>
              <w:widowControl/>
              <w:jc w:val="both"/>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eastAsia="zh-CN" w:bidi="ar"/>
                <w14:textFill>
                  <w14:solidFill>
                    <w14:schemeClr w14:val="tx1"/>
                  </w14:solidFill>
                </w14:textFill>
              </w:rPr>
              <w:t>农用地中，</w:t>
            </w:r>
            <w:r>
              <w:rPr>
                <w:rFonts w:hint="eastAsia" w:ascii="宋体" w:hAnsi="宋体" w:eastAsia="宋体" w:cs="宋体"/>
                <w:color w:val="000000" w:themeColor="text1"/>
                <w:kern w:val="0"/>
                <w:sz w:val="24"/>
                <w:lang w:bidi="ar"/>
                <w14:textFill>
                  <w14:solidFill>
                    <w14:schemeClr w14:val="tx1"/>
                  </w14:solidFill>
                </w14:textFill>
              </w:rPr>
              <w:t>耕地       公顷；</w:t>
            </w:r>
            <w:r>
              <w:rPr>
                <w:rFonts w:hint="eastAsia" w:ascii="宋体" w:hAnsi="宋体" w:eastAsia="宋体" w:cs="宋体"/>
                <w:color w:val="000000" w:themeColor="text1"/>
                <w:kern w:val="0"/>
                <w:sz w:val="24"/>
                <w:lang w:eastAsia="zh-CN" w:bidi="ar"/>
                <w14:textFill>
                  <w14:solidFill>
                    <w14:schemeClr w14:val="tx1"/>
                  </w14:solidFill>
                </w14:textFill>
              </w:rPr>
              <w:t>含永久基本农田</w:t>
            </w:r>
            <w:r>
              <w:rPr>
                <w:rFonts w:hint="eastAsia" w:ascii="宋体" w:hAnsi="宋体" w:eastAsia="宋体" w:cs="宋体"/>
                <w:color w:val="000000" w:themeColor="text1"/>
                <w:kern w:val="0"/>
                <w:sz w:val="24"/>
                <w:lang w:val="en-US" w:eastAsia="zh-CN" w:bidi="ar"/>
                <w14:textFill>
                  <w14:solidFill>
                    <w14:schemeClr w14:val="tx1"/>
                  </w14:solidFill>
                </w14:textFill>
              </w:rPr>
              <w:t xml:space="preserve">       公顷</w:t>
            </w:r>
            <w:r>
              <w:rPr>
                <w:rFonts w:hint="eastAsia" w:ascii="宋体" w:hAnsi="宋体" w:eastAsia="宋体" w:cs="宋体"/>
                <w:color w:val="000000" w:themeColor="text1"/>
                <w:kern w:val="0"/>
                <w:sz w:val="24"/>
                <w:lang w:eastAsia="zh-CN" w:bidi="ar"/>
                <w14:textFill>
                  <w14:solidFill>
                    <w14:schemeClr w14:val="tx1"/>
                  </w14:solidFill>
                </w14:textFill>
              </w:rPr>
              <w:t>。</w:t>
            </w:r>
          </w:p>
          <w:p w14:paraId="5546AA67">
            <w:pPr>
              <w:widowControl/>
              <w:jc w:val="center"/>
              <w:textAlignment w:val="center"/>
              <w:rPr>
                <w:rFonts w:ascii="宋体" w:hAnsi="宋体" w:eastAsia="宋体" w:cs="宋体"/>
                <w:color w:val="000000" w:themeColor="text1"/>
                <w:sz w:val="24"/>
                <w14:textFill>
                  <w14:solidFill>
                    <w14:schemeClr w14:val="tx1"/>
                  </w14:solidFill>
                </w14:textFill>
              </w:rPr>
            </w:pPr>
          </w:p>
        </w:tc>
      </w:tr>
      <w:tr w14:paraId="0AB83B22">
        <w:tblPrEx>
          <w:tblCellMar>
            <w:top w:w="0" w:type="dxa"/>
            <w:left w:w="0" w:type="dxa"/>
            <w:bottom w:w="0" w:type="dxa"/>
            <w:right w:w="0" w:type="dxa"/>
          </w:tblCellMar>
        </w:tblPrEx>
        <w:trPr>
          <w:trHeight w:val="85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007B">
            <w:pPr>
              <w:jc w:val="center"/>
              <w:rPr>
                <w:rFonts w:ascii="宋体" w:hAnsi="宋体" w:eastAsia="宋体" w:cs="宋体"/>
                <w:color w:val="000000" w:themeColor="text1"/>
                <w:sz w:val="24"/>
                <w14:textFill>
                  <w14:solidFill>
                    <w14:schemeClr w14:val="tx1"/>
                  </w14:solidFill>
                </w14:textFill>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971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建设内容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930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拟申请用地分区地块编号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456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分区用途</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5A9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用地面积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A6D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建筑占地面积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598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建筑面积</w:t>
            </w:r>
          </w:p>
        </w:tc>
      </w:tr>
      <w:tr w14:paraId="3845C297">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E5DF">
            <w:pPr>
              <w:jc w:val="center"/>
              <w:rPr>
                <w:rFonts w:ascii="宋体" w:hAnsi="宋体" w:eastAsia="宋体" w:cs="宋体"/>
                <w:color w:val="000000" w:themeColor="text1"/>
                <w:sz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6D3A">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8CFA">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588A">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2AB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CF42">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38EB">
            <w:pPr>
              <w:jc w:val="center"/>
              <w:rPr>
                <w:rFonts w:ascii="宋体" w:hAnsi="宋体" w:eastAsia="宋体" w:cs="宋体"/>
                <w:color w:val="000000" w:themeColor="text1"/>
                <w:sz w:val="24"/>
                <w14:textFill>
                  <w14:solidFill>
                    <w14:schemeClr w14:val="tx1"/>
                  </w14:solidFill>
                </w14:textFill>
              </w:rPr>
            </w:pPr>
          </w:p>
        </w:tc>
      </w:tr>
      <w:tr w14:paraId="566B8ED7">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E32C">
            <w:pPr>
              <w:jc w:val="center"/>
              <w:rPr>
                <w:rFonts w:ascii="宋体" w:hAnsi="宋体" w:eastAsia="宋体" w:cs="宋体"/>
                <w:color w:val="000000" w:themeColor="text1"/>
                <w:sz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5346">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7563">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7033">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55E0">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77A2">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D15E">
            <w:pPr>
              <w:jc w:val="center"/>
              <w:rPr>
                <w:rFonts w:ascii="宋体" w:hAnsi="宋体" w:eastAsia="宋体" w:cs="宋体"/>
                <w:color w:val="000000" w:themeColor="text1"/>
                <w:sz w:val="24"/>
                <w14:textFill>
                  <w14:solidFill>
                    <w14:schemeClr w14:val="tx1"/>
                  </w14:solidFill>
                </w14:textFill>
              </w:rPr>
            </w:pPr>
          </w:p>
        </w:tc>
      </w:tr>
      <w:tr w14:paraId="110A09AC">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5177">
            <w:pPr>
              <w:jc w:val="center"/>
              <w:rPr>
                <w:rFonts w:ascii="宋体" w:hAnsi="宋体" w:eastAsia="宋体" w:cs="宋体"/>
                <w:color w:val="000000" w:themeColor="text1"/>
                <w:sz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7BAF">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19F5">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9240">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11EF">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AA28">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6B73">
            <w:pPr>
              <w:jc w:val="center"/>
              <w:rPr>
                <w:rFonts w:ascii="宋体" w:hAnsi="宋体" w:eastAsia="宋体" w:cs="宋体"/>
                <w:color w:val="000000" w:themeColor="text1"/>
                <w:sz w:val="24"/>
                <w14:textFill>
                  <w14:solidFill>
                    <w14:schemeClr w14:val="tx1"/>
                  </w14:solidFill>
                </w14:textFill>
              </w:rPr>
            </w:pPr>
          </w:p>
        </w:tc>
      </w:tr>
      <w:tr w14:paraId="5B0F55CA">
        <w:tblPrEx>
          <w:tblCellMar>
            <w:top w:w="0" w:type="dxa"/>
            <w:left w:w="0" w:type="dxa"/>
            <w:bottom w:w="0" w:type="dxa"/>
            <w:right w:w="0" w:type="dxa"/>
          </w:tblCellMar>
        </w:tblPrEx>
        <w:trPr>
          <w:trHeight w:val="37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AC78">
            <w:pPr>
              <w:jc w:val="center"/>
              <w:rPr>
                <w:rFonts w:ascii="宋体" w:hAnsi="宋体" w:eastAsia="宋体" w:cs="宋体"/>
                <w:color w:val="000000" w:themeColor="text1"/>
                <w:sz w:val="24"/>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A365">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82D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合   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3083">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1F8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7C6B">
            <w:pPr>
              <w:jc w:val="center"/>
              <w:rPr>
                <w:rFonts w:ascii="宋体" w:hAnsi="宋体" w:eastAsia="宋体" w:cs="宋体"/>
                <w:color w:val="000000" w:themeColor="text1"/>
                <w:sz w:val="24"/>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C8FB">
            <w:pPr>
              <w:jc w:val="center"/>
              <w:rPr>
                <w:rFonts w:ascii="宋体" w:hAnsi="宋体" w:eastAsia="宋体" w:cs="宋体"/>
                <w:color w:val="000000" w:themeColor="text1"/>
                <w:sz w:val="24"/>
                <w14:textFill>
                  <w14:solidFill>
                    <w14:schemeClr w14:val="tx1"/>
                  </w14:solidFill>
                </w14:textFill>
              </w:rPr>
            </w:pPr>
          </w:p>
        </w:tc>
      </w:tr>
      <w:tr w14:paraId="005DB1BF">
        <w:tblPrEx>
          <w:tblCellMar>
            <w:top w:w="0" w:type="dxa"/>
            <w:left w:w="0" w:type="dxa"/>
            <w:bottom w:w="0" w:type="dxa"/>
            <w:right w:w="0" w:type="dxa"/>
          </w:tblCellMar>
        </w:tblPrEx>
        <w:trPr>
          <w:trHeight w:val="375" w:hRule="atLeast"/>
        </w:trPr>
        <w:tc>
          <w:tcPr>
            <w:tcW w:w="255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DFBD5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项目主管部门意见</w:t>
            </w:r>
          </w:p>
        </w:tc>
        <w:tc>
          <w:tcPr>
            <w:tcW w:w="6375"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7F23C2">
            <w:pPr>
              <w:jc w:val="center"/>
              <w:rPr>
                <w:rFonts w:ascii="宋体" w:hAnsi="宋体" w:eastAsia="宋体" w:cs="宋体"/>
                <w:color w:val="000000" w:themeColor="text1"/>
                <w:sz w:val="24"/>
                <w14:textFill>
                  <w14:solidFill>
                    <w14:schemeClr w14:val="tx1"/>
                  </w14:solidFill>
                </w14:textFill>
              </w:rPr>
            </w:pPr>
          </w:p>
        </w:tc>
      </w:tr>
      <w:tr w14:paraId="36CE068A">
        <w:tblPrEx>
          <w:tblCellMar>
            <w:top w:w="0" w:type="dxa"/>
            <w:left w:w="0" w:type="dxa"/>
            <w:bottom w:w="0" w:type="dxa"/>
            <w:right w:w="0" w:type="dxa"/>
          </w:tblCellMar>
        </w:tblPrEx>
        <w:trPr>
          <w:trHeight w:val="570" w:hRule="atLeast"/>
        </w:trPr>
        <w:tc>
          <w:tcPr>
            <w:tcW w:w="255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30C339">
            <w:pPr>
              <w:jc w:val="center"/>
              <w:rPr>
                <w:rFonts w:ascii="宋体" w:hAnsi="宋体" w:eastAsia="宋体" w:cs="宋体"/>
                <w:color w:val="000000" w:themeColor="text1"/>
                <w:sz w:val="24"/>
                <w14:textFill>
                  <w14:solidFill>
                    <w14:schemeClr w14:val="tx1"/>
                  </w14:solidFill>
                </w14:textFill>
              </w:rPr>
            </w:pPr>
          </w:p>
        </w:tc>
        <w:tc>
          <w:tcPr>
            <w:tcW w:w="127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66EED74">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签名（盖章）：    </w:t>
            </w:r>
          </w:p>
        </w:tc>
        <w:tc>
          <w:tcPr>
            <w:tcW w:w="1275" w:type="dxa"/>
            <w:tcBorders>
              <w:top w:val="nil"/>
              <w:left w:val="nil"/>
              <w:bottom w:val="single" w:color="000000" w:sz="4" w:space="0"/>
              <w:right w:val="nil"/>
            </w:tcBorders>
            <w:shd w:val="clear" w:color="auto" w:fill="auto"/>
            <w:tcMar>
              <w:top w:w="15" w:type="dxa"/>
              <w:left w:w="15" w:type="dxa"/>
              <w:right w:w="15" w:type="dxa"/>
            </w:tcMar>
            <w:vAlign w:val="center"/>
          </w:tcPr>
          <w:p w14:paraId="464E9F56">
            <w:pPr>
              <w:rPr>
                <w:rFonts w:ascii="宋体" w:hAnsi="宋体" w:eastAsia="宋体" w:cs="宋体"/>
                <w:color w:val="000000" w:themeColor="text1"/>
                <w:sz w:val="24"/>
                <w14:textFill>
                  <w14:solidFill>
                    <w14:schemeClr w14:val="tx1"/>
                  </w14:solidFill>
                </w14:textFill>
              </w:rPr>
            </w:pPr>
          </w:p>
        </w:tc>
        <w:tc>
          <w:tcPr>
            <w:tcW w:w="1275" w:type="dxa"/>
            <w:tcBorders>
              <w:top w:val="nil"/>
              <w:left w:val="nil"/>
              <w:bottom w:val="single" w:color="000000" w:sz="4" w:space="0"/>
              <w:right w:val="nil"/>
            </w:tcBorders>
            <w:shd w:val="clear" w:color="auto" w:fill="auto"/>
            <w:tcMar>
              <w:top w:w="15" w:type="dxa"/>
              <w:left w:w="15" w:type="dxa"/>
              <w:right w:w="15" w:type="dxa"/>
            </w:tcMar>
            <w:vAlign w:val="center"/>
          </w:tcPr>
          <w:p w14:paraId="26E13CBC">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年 月 日</w:t>
            </w:r>
          </w:p>
        </w:tc>
        <w:tc>
          <w:tcPr>
            <w:tcW w:w="1275" w:type="dxa"/>
            <w:tcBorders>
              <w:top w:val="nil"/>
              <w:left w:val="nil"/>
              <w:bottom w:val="single" w:color="000000" w:sz="4" w:space="0"/>
              <w:right w:val="nil"/>
            </w:tcBorders>
            <w:shd w:val="clear" w:color="auto" w:fill="auto"/>
            <w:tcMar>
              <w:top w:w="15" w:type="dxa"/>
              <w:left w:w="15" w:type="dxa"/>
              <w:right w:w="15" w:type="dxa"/>
            </w:tcMar>
            <w:vAlign w:val="center"/>
          </w:tcPr>
          <w:p w14:paraId="06D14F8F">
            <w:pPr>
              <w:rPr>
                <w:rFonts w:ascii="宋体" w:hAnsi="宋体" w:eastAsia="宋体" w:cs="宋体"/>
                <w:color w:val="000000" w:themeColor="text1"/>
                <w:sz w:val="24"/>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622E7">
            <w:pPr>
              <w:rPr>
                <w:rFonts w:ascii="宋体" w:hAnsi="宋体" w:eastAsia="宋体" w:cs="宋体"/>
                <w:color w:val="000000" w:themeColor="text1"/>
                <w:sz w:val="24"/>
                <w14:textFill>
                  <w14:solidFill>
                    <w14:schemeClr w14:val="tx1"/>
                  </w14:solidFill>
                </w14:textFill>
              </w:rPr>
            </w:pPr>
          </w:p>
        </w:tc>
      </w:tr>
      <w:tr w14:paraId="35E9A2CE">
        <w:tblPrEx>
          <w:tblCellMar>
            <w:top w:w="0" w:type="dxa"/>
            <w:left w:w="0" w:type="dxa"/>
            <w:bottom w:w="0" w:type="dxa"/>
            <w:right w:w="0" w:type="dxa"/>
          </w:tblCellMar>
        </w:tblPrEx>
        <w:trPr>
          <w:trHeight w:val="375" w:hRule="atLeast"/>
        </w:trPr>
        <w:tc>
          <w:tcPr>
            <w:tcW w:w="255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4D756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村民委员会意见</w:t>
            </w:r>
          </w:p>
        </w:tc>
        <w:tc>
          <w:tcPr>
            <w:tcW w:w="6375" w:type="dxa"/>
            <w:gridSpan w:val="5"/>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20DDFD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签名（盖章）：                           年    月    日</w:t>
            </w:r>
          </w:p>
        </w:tc>
      </w:tr>
      <w:tr w14:paraId="63849260">
        <w:tblPrEx>
          <w:tblCellMar>
            <w:top w:w="0" w:type="dxa"/>
            <w:left w:w="0" w:type="dxa"/>
            <w:bottom w:w="0" w:type="dxa"/>
            <w:right w:w="0" w:type="dxa"/>
          </w:tblCellMar>
        </w:tblPrEx>
        <w:trPr>
          <w:trHeight w:val="375" w:hRule="atLeast"/>
        </w:trPr>
        <w:tc>
          <w:tcPr>
            <w:tcW w:w="25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0A97A2">
            <w:pPr>
              <w:jc w:val="center"/>
              <w:rPr>
                <w:rFonts w:ascii="宋体" w:hAnsi="宋体" w:eastAsia="宋体" w:cs="宋体"/>
                <w:color w:val="000000" w:themeColor="text1"/>
                <w:sz w:val="24"/>
                <w14:textFill>
                  <w14:solidFill>
                    <w14:schemeClr w14:val="tx1"/>
                  </w14:solidFill>
                </w14:textFill>
              </w:rPr>
            </w:pPr>
          </w:p>
        </w:tc>
        <w:tc>
          <w:tcPr>
            <w:tcW w:w="6375" w:type="dxa"/>
            <w:gridSpan w:val="5"/>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AF45E15">
            <w:pPr>
              <w:jc w:val="center"/>
              <w:rPr>
                <w:rFonts w:ascii="宋体" w:hAnsi="宋体" w:eastAsia="宋体" w:cs="宋体"/>
                <w:color w:val="000000" w:themeColor="text1"/>
                <w:sz w:val="24"/>
                <w14:textFill>
                  <w14:solidFill>
                    <w14:schemeClr w14:val="tx1"/>
                  </w14:solidFill>
                </w14:textFill>
              </w:rPr>
            </w:pPr>
          </w:p>
        </w:tc>
      </w:tr>
      <w:tr w14:paraId="24A9BBC7">
        <w:tblPrEx>
          <w:tblCellMar>
            <w:top w:w="0" w:type="dxa"/>
            <w:left w:w="0" w:type="dxa"/>
            <w:bottom w:w="0" w:type="dxa"/>
            <w:right w:w="0" w:type="dxa"/>
          </w:tblCellMar>
        </w:tblPrEx>
        <w:trPr>
          <w:trHeight w:val="375" w:hRule="atLeast"/>
        </w:trPr>
        <w:tc>
          <w:tcPr>
            <w:tcW w:w="255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6BCA7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乡镇（街道）意见</w:t>
            </w:r>
          </w:p>
        </w:tc>
        <w:tc>
          <w:tcPr>
            <w:tcW w:w="63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828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签名（盖章）：      年   月    日     </w:t>
            </w:r>
          </w:p>
        </w:tc>
      </w:tr>
      <w:tr w14:paraId="6D8F2FAF">
        <w:tblPrEx>
          <w:tblCellMar>
            <w:top w:w="0" w:type="dxa"/>
            <w:left w:w="0" w:type="dxa"/>
            <w:bottom w:w="0" w:type="dxa"/>
            <w:right w:w="0" w:type="dxa"/>
          </w:tblCellMar>
        </w:tblPrEx>
        <w:trPr>
          <w:trHeight w:val="375" w:hRule="atLeast"/>
        </w:trPr>
        <w:tc>
          <w:tcPr>
            <w:tcW w:w="25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EB13E3">
            <w:pPr>
              <w:jc w:val="center"/>
              <w:rPr>
                <w:rFonts w:ascii="宋体" w:hAnsi="宋体" w:eastAsia="宋体" w:cs="宋体"/>
                <w:color w:val="000000" w:themeColor="text1"/>
                <w:sz w:val="20"/>
                <w:szCs w:val="20"/>
                <w14:textFill>
                  <w14:solidFill>
                    <w14:schemeClr w14:val="tx1"/>
                  </w14:solidFill>
                </w14:textFill>
              </w:rPr>
            </w:pPr>
          </w:p>
        </w:tc>
        <w:tc>
          <w:tcPr>
            <w:tcW w:w="63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FFE9">
            <w:pPr>
              <w:jc w:val="center"/>
              <w:rPr>
                <w:rFonts w:ascii="宋体" w:hAnsi="宋体" w:eastAsia="宋体" w:cs="宋体"/>
                <w:color w:val="000000" w:themeColor="text1"/>
                <w:sz w:val="20"/>
                <w:szCs w:val="20"/>
                <w14:textFill>
                  <w14:solidFill>
                    <w14:schemeClr w14:val="tx1"/>
                  </w14:solidFill>
                </w14:textFill>
              </w:rPr>
            </w:pPr>
          </w:p>
        </w:tc>
      </w:tr>
      <w:tr w14:paraId="11E4C317">
        <w:tblPrEx>
          <w:tblCellMar>
            <w:top w:w="0" w:type="dxa"/>
            <w:left w:w="0" w:type="dxa"/>
            <w:bottom w:w="0" w:type="dxa"/>
            <w:right w:w="0" w:type="dxa"/>
          </w:tblCellMar>
        </w:tblPrEx>
        <w:trPr>
          <w:trHeight w:val="375" w:hRule="atLeast"/>
        </w:trPr>
        <w:tc>
          <w:tcPr>
            <w:tcW w:w="2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DE59">
            <w:pPr>
              <w:jc w:val="center"/>
              <w:rPr>
                <w:rFonts w:ascii="宋体" w:hAnsi="宋体" w:eastAsia="宋体" w:cs="宋体"/>
                <w:color w:val="000000" w:themeColor="text1"/>
                <w:sz w:val="24"/>
                <w14:textFill>
                  <w14:solidFill>
                    <w14:schemeClr w14:val="tx1"/>
                  </w14:solidFill>
                </w14:textFill>
              </w:rPr>
            </w:pPr>
          </w:p>
        </w:tc>
        <w:tc>
          <w:tcPr>
            <w:tcW w:w="63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D0129">
            <w:pPr>
              <w:jc w:val="center"/>
              <w:rPr>
                <w:rFonts w:ascii="宋体" w:hAnsi="宋体" w:eastAsia="宋体" w:cs="宋体"/>
                <w:color w:val="000000" w:themeColor="text1"/>
                <w:sz w:val="24"/>
                <w14:textFill>
                  <w14:solidFill>
                    <w14:schemeClr w14:val="tx1"/>
                  </w14:solidFill>
                </w14:textFill>
              </w:rPr>
            </w:pPr>
          </w:p>
        </w:tc>
      </w:tr>
    </w:tbl>
    <w:p w14:paraId="3020EF9D">
      <w:pPr>
        <w:widowControl/>
        <w:shd w:val="clear" w:color="auto" w:fill="FFFFFF"/>
        <w:spacing w:line="400" w:lineRule="exact"/>
        <w:ind w:left="360" w:hanging="360"/>
        <w:jc w:val="left"/>
        <w:rPr>
          <w:rFonts w:ascii="仿宋" w:hAnsi="仿宋" w:eastAsia="仿宋" w:cs="仿宋"/>
          <w:color w:val="000000" w:themeColor="text1"/>
          <w:kern w:val="0"/>
          <w:sz w:val="28"/>
          <w:szCs w:val="28"/>
          <w:shd w:val="clear" w:color="auto" w:fill="FFFFFF"/>
          <w:lang w:bidi="ar"/>
          <w14:textFill>
            <w14:solidFill>
              <w14:schemeClr w14:val="tx1"/>
            </w14:solidFill>
          </w14:textFill>
        </w:rPr>
      </w:pPr>
    </w:p>
    <w:p w14:paraId="63CEDEA0">
      <w:pPr>
        <w:pStyle w:val="9"/>
        <w:widowControl/>
        <w:shd w:val="clear" w:color="auto" w:fill="FFFFFF"/>
        <w:spacing w:beforeAutospacing="0" w:afterAutospacing="0" w:line="450" w:lineRule="atLeast"/>
        <w:jc w:val="both"/>
        <w:rPr>
          <w:rFonts w:ascii="仿宋" w:hAnsi="仿宋" w:eastAsia="仿宋" w:cs="仿宋"/>
          <w:color w:val="000000" w:themeColor="text1"/>
          <w:sz w:val="32"/>
          <w:szCs w:val="32"/>
          <w:shd w:val="clear" w:color="auto" w:fill="FFFFFF"/>
          <w14:textFill>
            <w14:solidFill>
              <w14:schemeClr w14:val="tx1"/>
            </w14:solidFill>
          </w14:textFill>
        </w:rPr>
      </w:pPr>
    </w:p>
    <w:p w14:paraId="48022B43">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53BD2229">
      <w:pPr>
        <w:pStyle w:val="9"/>
        <w:widowControl/>
        <w:shd w:val="clear" w:color="auto" w:fill="FFFFFF"/>
        <w:spacing w:beforeAutospacing="0" w:afterAutospacing="0" w:line="450" w:lineRule="atLeast"/>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附件二</w:t>
      </w:r>
    </w:p>
    <w:tbl>
      <w:tblPr>
        <w:tblStyle w:val="11"/>
        <w:tblW w:w="8740" w:type="dxa"/>
        <w:tblInd w:w="0" w:type="dxa"/>
        <w:tblLayout w:type="fixed"/>
        <w:tblCellMar>
          <w:top w:w="0" w:type="dxa"/>
          <w:left w:w="0" w:type="dxa"/>
          <w:bottom w:w="0" w:type="dxa"/>
          <w:right w:w="0" w:type="dxa"/>
        </w:tblCellMar>
      </w:tblPr>
      <w:tblGrid>
        <w:gridCol w:w="2310"/>
        <w:gridCol w:w="2065"/>
        <w:gridCol w:w="2535"/>
        <w:gridCol w:w="1830"/>
      </w:tblGrid>
      <w:tr w14:paraId="7CD7E64F">
        <w:tblPrEx>
          <w:tblCellMar>
            <w:top w:w="0" w:type="dxa"/>
            <w:left w:w="0" w:type="dxa"/>
            <w:bottom w:w="0" w:type="dxa"/>
            <w:right w:w="0" w:type="dxa"/>
          </w:tblCellMar>
        </w:tblPrEx>
        <w:trPr>
          <w:trHeight w:val="624" w:hRule="atLeast"/>
        </w:trPr>
        <w:tc>
          <w:tcPr>
            <w:tcW w:w="8740" w:type="dxa"/>
            <w:gridSpan w:val="4"/>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631C7E">
            <w:pPr>
              <w:widowControl/>
              <w:jc w:val="center"/>
              <w:textAlignment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实地踏勘表</w:t>
            </w:r>
          </w:p>
        </w:tc>
      </w:tr>
      <w:tr w14:paraId="24364B14">
        <w:tblPrEx>
          <w:tblCellMar>
            <w:top w:w="0" w:type="dxa"/>
            <w:left w:w="0" w:type="dxa"/>
            <w:bottom w:w="0" w:type="dxa"/>
            <w:right w:w="0" w:type="dxa"/>
          </w:tblCellMar>
        </w:tblPrEx>
        <w:trPr>
          <w:trHeight w:val="624" w:hRule="atLeast"/>
        </w:trPr>
        <w:tc>
          <w:tcPr>
            <w:tcW w:w="8740" w:type="dxa"/>
            <w:gridSpan w:val="4"/>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45C0E4">
            <w:pPr>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p>
        </w:tc>
      </w:tr>
      <w:tr w14:paraId="335EFA5E">
        <w:tblPrEx>
          <w:tblCellMar>
            <w:top w:w="0" w:type="dxa"/>
            <w:left w:w="0" w:type="dxa"/>
            <w:bottom w:w="0" w:type="dxa"/>
            <w:right w:w="0" w:type="dxa"/>
          </w:tblCellMar>
        </w:tblPrEx>
        <w:trPr>
          <w:trHeight w:val="56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D29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项目名称</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1B03">
            <w:pPr>
              <w:rPr>
                <w:rFonts w:ascii="宋体" w:hAnsi="宋体" w:eastAsia="宋体" w:cs="宋体"/>
                <w:color w:val="000000" w:themeColor="text1"/>
                <w:sz w:val="24"/>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B44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项目法人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6F8C">
            <w:pPr>
              <w:rPr>
                <w:rFonts w:ascii="宋体" w:hAnsi="宋体" w:eastAsia="宋体" w:cs="宋体"/>
                <w:color w:val="000000" w:themeColor="text1"/>
                <w:sz w:val="24"/>
                <w14:textFill>
                  <w14:solidFill>
                    <w14:schemeClr w14:val="tx1"/>
                  </w14:solidFill>
                </w14:textFill>
              </w:rPr>
            </w:pPr>
          </w:p>
        </w:tc>
      </w:tr>
      <w:tr w14:paraId="75BC97AA">
        <w:tblPrEx>
          <w:tblCellMar>
            <w:top w:w="0" w:type="dxa"/>
            <w:left w:w="0" w:type="dxa"/>
            <w:bottom w:w="0" w:type="dxa"/>
            <w:right w:w="0" w:type="dxa"/>
          </w:tblCellMar>
        </w:tblPrEx>
        <w:trPr>
          <w:trHeight w:val="56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A09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拟建地址</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9057">
            <w:pPr>
              <w:rPr>
                <w:rFonts w:ascii="宋体" w:hAnsi="宋体" w:eastAsia="宋体" w:cs="宋体"/>
                <w:color w:val="000000" w:themeColor="text1"/>
                <w:sz w:val="24"/>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3A6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建设性质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DC87">
            <w:pPr>
              <w:rPr>
                <w:rFonts w:ascii="宋体" w:hAnsi="宋体" w:eastAsia="宋体" w:cs="宋体"/>
                <w:color w:val="000000" w:themeColor="text1"/>
                <w:sz w:val="24"/>
                <w14:textFill>
                  <w14:solidFill>
                    <w14:schemeClr w14:val="tx1"/>
                  </w14:solidFill>
                </w14:textFill>
              </w:rPr>
            </w:pPr>
          </w:p>
        </w:tc>
      </w:tr>
      <w:tr w14:paraId="52E3102A">
        <w:tblPrEx>
          <w:tblCellMar>
            <w:top w:w="0" w:type="dxa"/>
            <w:left w:w="0" w:type="dxa"/>
            <w:bottom w:w="0" w:type="dxa"/>
            <w:right w:w="0" w:type="dxa"/>
          </w:tblCellMar>
        </w:tblPrEx>
        <w:trPr>
          <w:trHeight w:val="56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625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用途</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E907">
            <w:pPr>
              <w:rPr>
                <w:rFonts w:ascii="宋体" w:hAnsi="宋体" w:eastAsia="宋体" w:cs="宋体"/>
                <w:color w:val="000000" w:themeColor="text1"/>
                <w:sz w:val="24"/>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F7C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建 设 期</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6005">
            <w:pPr>
              <w:rPr>
                <w:rFonts w:ascii="宋体" w:hAnsi="宋体" w:eastAsia="宋体" w:cs="宋体"/>
                <w:color w:val="000000" w:themeColor="text1"/>
                <w:sz w:val="24"/>
                <w14:textFill>
                  <w14:solidFill>
                    <w14:schemeClr w14:val="tx1"/>
                  </w14:solidFill>
                </w14:textFill>
              </w:rPr>
            </w:pPr>
          </w:p>
        </w:tc>
      </w:tr>
      <w:tr w14:paraId="410800B7">
        <w:tblPrEx>
          <w:tblCellMar>
            <w:top w:w="0" w:type="dxa"/>
            <w:left w:w="0" w:type="dxa"/>
            <w:bottom w:w="0" w:type="dxa"/>
            <w:right w:w="0" w:type="dxa"/>
          </w:tblCellMar>
        </w:tblPrEx>
        <w:trPr>
          <w:trHeight w:val="560" w:hRule="atLeast"/>
        </w:trPr>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CFD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联系人及电话</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790A">
            <w:pPr>
              <w:rPr>
                <w:rFonts w:ascii="宋体" w:hAnsi="宋体" w:eastAsia="宋体" w:cs="宋体"/>
                <w:color w:val="000000" w:themeColor="text1"/>
                <w:sz w:val="24"/>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248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项目用地总面积（㎡）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1CB5">
            <w:pPr>
              <w:rPr>
                <w:rFonts w:ascii="宋体" w:hAnsi="宋体" w:eastAsia="宋体" w:cs="宋体"/>
                <w:color w:val="000000" w:themeColor="text1"/>
                <w:sz w:val="24"/>
                <w14:textFill>
                  <w14:solidFill>
                    <w14:schemeClr w14:val="tx1"/>
                  </w14:solidFill>
                </w14:textFill>
              </w:rPr>
            </w:pPr>
          </w:p>
        </w:tc>
      </w:tr>
      <w:tr w14:paraId="084902DE">
        <w:tblPrEx>
          <w:tblCellMar>
            <w:top w:w="0" w:type="dxa"/>
            <w:left w:w="0" w:type="dxa"/>
            <w:bottom w:w="0" w:type="dxa"/>
            <w:right w:w="0" w:type="dxa"/>
          </w:tblCellMar>
        </w:tblPrEx>
        <w:trPr>
          <w:trHeight w:val="56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C81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主要建设内容</w:t>
            </w:r>
          </w:p>
        </w:tc>
        <w:tc>
          <w:tcPr>
            <w:tcW w:w="6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FA40">
            <w:pPr>
              <w:rPr>
                <w:rFonts w:ascii="宋体" w:hAnsi="宋体" w:eastAsia="宋体" w:cs="宋体"/>
                <w:color w:val="000000" w:themeColor="text1"/>
                <w:sz w:val="24"/>
                <w14:textFill>
                  <w14:solidFill>
                    <w14:schemeClr w14:val="tx1"/>
                  </w14:solidFill>
                </w14:textFill>
              </w:rPr>
            </w:pPr>
          </w:p>
        </w:tc>
      </w:tr>
      <w:tr w14:paraId="2566334B">
        <w:tblPrEx>
          <w:tblCellMar>
            <w:top w:w="0" w:type="dxa"/>
            <w:left w:w="0" w:type="dxa"/>
            <w:bottom w:w="0" w:type="dxa"/>
            <w:right w:w="0" w:type="dxa"/>
          </w:tblCellMar>
        </w:tblPrEx>
        <w:trPr>
          <w:trHeight w:val="5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5CFA">
            <w:pPr>
              <w:jc w:val="center"/>
              <w:rPr>
                <w:rFonts w:ascii="宋体" w:hAnsi="宋体" w:eastAsia="宋体" w:cs="宋体"/>
                <w:color w:val="000000" w:themeColor="text1"/>
                <w:sz w:val="24"/>
                <w14:textFill>
                  <w14:solidFill>
                    <w14:schemeClr w14:val="tx1"/>
                  </w14:solidFill>
                </w14:textFill>
              </w:rPr>
            </w:pPr>
          </w:p>
        </w:tc>
        <w:tc>
          <w:tcPr>
            <w:tcW w:w="6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9F55">
            <w:pPr>
              <w:rPr>
                <w:rFonts w:ascii="宋体" w:hAnsi="宋体" w:eastAsia="宋体" w:cs="宋体"/>
                <w:color w:val="000000" w:themeColor="text1"/>
                <w:sz w:val="24"/>
                <w14:textFill>
                  <w14:solidFill>
                    <w14:schemeClr w14:val="tx1"/>
                  </w14:solidFill>
                </w14:textFill>
              </w:rPr>
            </w:pPr>
          </w:p>
        </w:tc>
      </w:tr>
      <w:tr w14:paraId="5597C743">
        <w:tblPrEx>
          <w:tblCellMar>
            <w:top w:w="0" w:type="dxa"/>
            <w:left w:w="0" w:type="dxa"/>
            <w:bottom w:w="0" w:type="dxa"/>
            <w:right w:w="0" w:type="dxa"/>
          </w:tblCellMar>
        </w:tblPrEx>
        <w:trPr>
          <w:trHeight w:val="560" w:hRule="atLeast"/>
        </w:trPr>
        <w:tc>
          <w:tcPr>
            <w:tcW w:w="23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51EB6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实地踏勘结论</w:t>
            </w:r>
          </w:p>
        </w:tc>
        <w:tc>
          <w:tcPr>
            <w:tcW w:w="6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B695">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p>
          <w:p w14:paraId="4E7F1B9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勘察人：           年  月  日</w:t>
            </w:r>
          </w:p>
        </w:tc>
      </w:tr>
      <w:tr w14:paraId="79F0C547">
        <w:tblPrEx>
          <w:tblCellMar>
            <w:top w:w="0" w:type="dxa"/>
            <w:left w:w="0" w:type="dxa"/>
            <w:bottom w:w="0" w:type="dxa"/>
            <w:right w:w="0" w:type="dxa"/>
          </w:tblCellMar>
        </w:tblPrEx>
        <w:trPr>
          <w:trHeight w:val="560" w:hRule="atLeast"/>
        </w:trPr>
        <w:tc>
          <w:tcPr>
            <w:tcW w:w="23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3EABF9">
            <w:pPr>
              <w:jc w:val="center"/>
              <w:rPr>
                <w:rFonts w:ascii="宋体" w:hAnsi="宋体" w:eastAsia="宋体" w:cs="宋体"/>
                <w:color w:val="000000" w:themeColor="text1"/>
                <w:sz w:val="24"/>
                <w14:textFill>
                  <w14:solidFill>
                    <w14:schemeClr w14:val="tx1"/>
                  </w14:solidFill>
                </w14:textFill>
              </w:rPr>
            </w:pPr>
          </w:p>
        </w:tc>
        <w:tc>
          <w:tcPr>
            <w:tcW w:w="6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0582">
            <w:pPr>
              <w:jc w:val="center"/>
              <w:rPr>
                <w:rFonts w:ascii="宋体" w:hAnsi="宋体" w:eastAsia="宋体" w:cs="宋体"/>
                <w:color w:val="000000" w:themeColor="text1"/>
                <w:sz w:val="24"/>
                <w14:textFill>
                  <w14:solidFill>
                    <w14:schemeClr w14:val="tx1"/>
                  </w14:solidFill>
                </w14:textFill>
              </w:rPr>
            </w:pPr>
          </w:p>
        </w:tc>
      </w:tr>
      <w:tr w14:paraId="68C65689">
        <w:tblPrEx>
          <w:tblCellMar>
            <w:top w:w="0" w:type="dxa"/>
            <w:left w:w="0" w:type="dxa"/>
            <w:bottom w:w="0" w:type="dxa"/>
            <w:right w:w="0" w:type="dxa"/>
          </w:tblCellMar>
        </w:tblPrEx>
        <w:trPr>
          <w:trHeight w:val="560" w:hRule="atLeast"/>
        </w:trPr>
        <w:tc>
          <w:tcPr>
            <w:tcW w:w="23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408624">
            <w:pPr>
              <w:jc w:val="center"/>
              <w:rPr>
                <w:rFonts w:ascii="宋体" w:hAnsi="宋体" w:eastAsia="宋体" w:cs="宋体"/>
                <w:color w:val="000000" w:themeColor="text1"/>
                <w:sz w:val="24"/>
                <w14:textFill>
                  <w14:solidFill>
                    <w14:schemeClr w14:val="tx1"/>
                  </w14:solidFill>
                </w14:textFill>
              </w:rPr>
            </w:pPr>
          </w:p>
        </w:tc>
        <w:tc>
          <w:tcPr>
            <w:tcW w:w="6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5AC7">
            <w:pPr>
              <w:jc w:val="center"/>
              <w:rPr>
                <w:rFonts w:ascii="宋体" w:hAnsi="宋体" w:eastAsia="宋体" w:cs="宋体"/>
                <w:color w:val="000000" w:themeColor="text1"/>
                <w:sz w:val="24"/>
                <w14:textFill>
                  <w14:solidFill>
                    <w14:schemeClr w14:val="tx1"/>
                  </w14:solidFill>
                </w14:textFill>
              </w:rPr>
            </w:pPr>
          </w:p>
        </w:tc>
      </w:tr>
      <w:tr w14:paraId="0C12D7B5">
        <w:tblPrEx>
          <w:tblCellMar>
            <w:top w:w="0" w:type="dxa"/>
            <w:left w:w="0" w:type="dxa"/>
            <w:bottom w:w="0" w:type="dxa"/>
            <w:right w:w="0" w:type="dxa"/>
          </w:tblCellMar>
        </w:tblPrEx>
        <w:trPr>
          <w:trHeight w:val="560" w:hRule="atLeast"/>
        </w:trPr>
        <w:tc>
          <w:tcPr>
            <w:tcW w:w="23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0E6008">
            <w:pPr>
              <w:jc w:val="center"/>
              <w:rPr>
                <w:rFonts w:ascii="宋体" w:hAnsi="宋体" w:eastAsia="宋体" w:cs="宋体"/>
                <w:color w:val="000000" w:themeColor="text1"/>
                <w:sz w:val="24"/>
                <w14:textFill>
                  <w14:solidFill>
                    <w14:schemeClr w14:val="tx1"/>
                  </w14:solidFill>
                </w14:textFill>
              </w:rPr>
            </w:pPr>
          </w:p>
        </w:tc>
        <w:tc>
          <w:tcPr>
            <w:tcW w:w="6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8CB7">
            <w:pPr>
              <w:jc w:val="center"/>
              <w:rPr>
                <w:rFonts w:ascii="宋体" w:hAnsi="宋体" w:eastAsia="宋体" w:cs="宋体"/>
                <w:color w:val="000000" w:themeColor="text1"/>
                <w:sz w:val="24"/>
                <w14:textFill>
                  <w14:solidFill>
                    <w14:schemeClr w14:val="tx1"/>
                  </w14:solidFill>
                </w14:textFill>
              </w:rPr>
            </w:pPr>
          </w:p>
        </w:tc>
      </w:tr>
      <w:tr w14:paraId="2FBB517D">
        <w:tblPrEx>
          <w:tblCellMar>
            <w:top w:w="0" w:type="dxa"/>
            <w:left w:w="0" w:type="dxa"/>
            <w:bottom w:w="0" w:type="dxa"/>
            <w:right w:w="0" w:type="dxa"/>
          </w:tblCellMar>
        </w:tblPrEx>
        <w:trPr>
          <w:trHeight w:val="56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3CE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执法局审核意见</w:t>
            </w:r>
          </w:p>
        </w:tc>
        <w:tc>
          <w:tcPr>
            <w:tcW w:w="643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2535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负责人：           年  月  日</w:t>
            </w:r>
          </w:p>
        </w:tc>
      </w:tr>
      <w:tr w14:paraId="16BD61A8">
        <w:tblPrEx>
          <w:tblCellMar>
            <w:top w:w="0" w:type="dxa"/>
            <w:left w:w="0" w:type="dxa"/>
            <w:bottom w:w="0" w:type="dxa"/>
            <w:right w:w="0" w:type="dxa"/>
          </w:tblCellMar>
        </w:tblPrEx>
        <w:trPr>
          <w:trHeight w:val="56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38D4">
            <w:pPr>
              <w:jc w:val="center"/>
              <w:rPr>
                <w:rFonts w:ascii="宋体" w:hAnsi="宋体" w:eastAsia="宋体" w:cs="宋体"/>
                <w:color w:val="000000" w:themeColor="text1"/>
                <w:sz w:val="24"/>
                <w14:textFill>
                  <w14:solidFill>
                    <w14:schemeClr w14:val="tx1"/>
                  </w14:solidFill>
                </w14:textFill>
              </w:rPr>
            </w:pPr>
          </w:p>
        </w:tc>
        <w:tc>
          <w:tcPr>
            <w:tcW w:w="643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E2F3">
            <w:pPr>
              <w:jc w:val="center"/>
              <w:rPr>
                <w:rFonts w:ascii="宋体" w:hAnsi="宋体" w:eastAsia="宋体" w:cs="宋体"/>
                <w:color w:val="000000" w:themeColor="text1"/>
                <w:sz w:val="24"/>
                <w14:textFill>
                  <w14:solidFill>
                    <w14:schemeClr w14:val="tx1"/>
                  </w14:solidFill>
                </w14:textFill>
              </w:rPr>
            </w:pPr>
          </w:p>
        </w:tc>
      </w:tr>
      <w:tr w14:paraId="2070467C">
        <w:tblPrEx>
          <w:tblCellMar>
            <w:top w:w="0" w:type="dxa"/>
            <w:left w:w="0" w:type="dxa"/>
            <w:bottom w:w="0" w:type="dxa"/>
            <w:right w:w="0" w:type="dxa"/>
          </w:tblCellMar>
        </w:tblPrEx>
        <w:trPr>
          <w:trHeight w:val="820" w:hRule="atLeast"/>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828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其他有关部门意见（如有）</w:t>
            </w:r>
          </w:p>
        </w:tc>
        <w:tc>
          <w:tcPr>
            <w:tcW w:w="6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72C1">
            <w:pPr>
              <w:widowControl/>
              <w:ind w:firstLine="960" w:firstLineChars="400"/>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部门(签章)：           年  月  日</w:t>
            </w:r>
          </w:p>
        </w:tc>
      </w:tr>
      <w:tr w14:paraId="3BE066DF">
        <w:tblPrEx>
          <w:tblCellMar>
            <w:top w:w="0" w:type="dxa"/>
            <w:left w:w="0" w:type="dxa"/>
            <w:bottom w:w="0" w:type="dxa"/>
            <w:right w:w="0" w:type="dxa"/>
          </w:tblCellMar>
        </w:tblPrEx>
        <w:trPr>
          <w:trHeight w:val="820" w:hRule="atLeast"/>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AD7A">
            <w:pPr>
              <w:jc w:val="center"/>
              <w:rPr>
                <w:rFonts w:ascii="宋体" w:hAnsi="宋体" w:eastAsia="宋体" w:cs="宋体"/>
                <w:color w:val="000000" w:themeColor="text1"/>
                <w:sz w:val="20"/>
                <w:szCs w:val="20"/>
                <w14:textFill>
                  <w14:solidFill>
                    <w14:schemeClr w14:val="tx1"/>
                  </w14:solidFill>
                </w14:textFill>
              </w:rPr>
            </w:pPr>
          </w:p>
        </w:tc>
        <w:tc>
          <w:tcPr>
            <w:tcW w:w="6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3A09">
            <w:pPr>
              <w:jc w:val="center"/>
              <w:rPr>
                <w:rFonts w:ascii="宋体" w:hAnsi="宋体" w:eastAsia="宋体" w:cs="宋体"/>
                <w:color w:val="000000" w:themeColor="text1"/>
                <w:sz w:val="20"/>
                <w:szCs w:val="20"/>
                <w14:textFill>
                  <w14:solidFill>
                    <w14:schemeClr w14:val="tx1"/>
                  </w14:solidFill>
                </w14:textFill>
              </w:rPr>
            </w:pPr>
          </w:p>
        </w:tc>
      </w:tr>
    </w:tbl>
    <w:p w14:paraId="665916B5">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63EADD8B">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5EE97ECF">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1C922D12">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2DB8AD19">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7D453C86">
      <w:pPr>
        <w:pStyle w:val="9"/>
        <w:widowControl/>
        <w:shd w:val="clear" w:color="auto" w:fill="FFFFFF"/>
        <w:spacing w:beforeAutospacing="0" w:afterAutospacing="0" w:line="450" w:lineRule="atLeast"/>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附件三</w:t>
      </w:r>
    </w:p>
    <w:p w14:paraId="1339578E">
      <w:pPr>
        <w:pStyle w:val="9"/>
        <w:widowControl/>
        <w:shd w:val="clear" w:color="auto" w:fill="FFFFFF"/>
        <w:spacing w:beforeAutospacing="0" w:afterAutospacing="0" w:line="450" w:lineRule="atLeast"/>
        <w:ind w:firstLine="1600" w:firstLineChars="400"/>
        <w:jc w:val="both"/>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eastAsia="zh-CN" w:bidi="ar"/>
          <w14:textFill>
            <w14:solidFill>
              <w14:schemeClr w14:val="tx1"/>
            </w14:solidFill>
          </w14:textFill>
        </w:rPr>
        <w:t>县（市、区）</w:t>
      </w: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临时用地初审意见</w:t>
      </w:r>
    </w:p>
    <w:p w14:paraId="3CD84FB0">
      <w:pPr>
        <w:pStyle w:val="9"/>
        <w:widowControl/>
        <w:shd w:val="clear" w:color="auto" w:fill="FFFFFF"/>
        <w:spacing w:beforeAutospacing="0" w:afterAutospacing="0" w:line="450" w:lineRule="atLeast"/>
        <w:ind w:firstLine="640" w:firstLineChars="200"/>
        <w:jc w:val="both"/>
        <w:rPr>
          <w:rFonts w:hint="eastAsia" w:ascii="仿宋" w:hAnsi="仿宋" w:eastAsia="仿宋" w:cs="仿宋"/>
          <w:color w:val="000000" w:themeColor="text1"/>
          <w:kern w:val="0"/>
          <w:sz w:val="32"/>
          <w:szCs w:val="32"/>
          <w:lang w:eastAsia="zh-CN" w:bidi="ar"/>
          <w14:textFill>
            <w14:solidFill>
              <w14:schemeClr w14:val="tx1"/>
            </w14:solidFill>
          </w14:textFill>
        </w:rPr>
      </w:pPr>
    </w:p>
    <w:p w14:paraId="7B5BB793">
      <w:pPr>
        <w:pStyle w:val="9"/>
        <w:widowControl/>
        <w:shd w:val="clear" w:color="auto" w:fill="FFFFFF"/>
        <w:spacing w:beforeAutospacing="0" w:afterAutospacing="0" w:line="450" w:lineRule="atLeast"/>
        <w:ind w:firstLine="640" w:firstLineChars="200"/>
        <w:jc w:val="both"/>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eastAsia="zh-CN" w:bidi="ar"/>
          <w14:textFill>
            <w14:solidFill>
              <w14:schemeClr w14:val="tx1"/>
            </w14:solidFill>
          </w14:textFill>
        </w:rPr>
        <w:t>县（市、区）临时用地初审相关职责、流程由各地自行确定，初审意见内容参照市局临时用地项目审批意见。</w:t>
      </w:r>
    </w:p>
    <w:p w14:paraId="695550CE">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38CBAB6D">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3EBC379F">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2EB104A3">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1524436A">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18514D1F">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3B508228">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60289589">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5C201F7D">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02E1C294">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1FA74C3B">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66B603EB">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4C2C77D8">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2FA56409">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0FC68D5B">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590B84E3">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6B2FBFFE">
      <w:pPr>
        <w:pStyle w:val="9"/>
        <w:widowControl/>
        <w:shd w:val="clear" w:color="auto" w:fill="FFFFFF"/>
        <w:spacing w:beforeAutospacing="0" w:afterAutospacing="0" w:line="450" w:lineRule="atLeast"/>
        <w:jc w:val="both"/>
        <w:rPr>
          <w:rFonts w:hint="eastAsia" w:ascii="仿宋" w:hAnsi="仿宋" w:eastAsia="仿宋" w:cs="仿宋"/>
          <w:color w:val="000000" w:themeColor="text1"/>
          <w:sz w:val="32"/>
          <w:szCs w:val="32"/>
          <w:shd w:val="clear" w:color="auto" w:fill="FFFFFF"/>
          <w14:textFill>
            <w14:solidFill>
              <w14:schemeClr w14:val="tx1"/>
            </w14:solidFill>
          </w14:textFill>
        </w:rPr>
      </w:pPr>
    </w:p>
    <w:p w14:paraId="1BB2110D">
      <w:pPr>
        <w:pStyle w:val="9"/>
        <w:widowControl/>
        <w:shd w:val="clear" w:color="auto" w:fill="FFFFFF"/>
        <w:spacing w:beforeAutospacing="0" w:afterAutospacing="0" w:line="450" w:lineRule="atLeast"/>
        <w:jc w:val="both"/>
        <w:rPr>
          <w:rFonts w:ascii="方正小标宋简体" w:hAnsi="方正小标宋简体" w:eastAsia="方正小标宋简体" w:cs="方正小标宋简体"/>
          <w:color w:val="000000" w:themeColor="text1"/>
          <w:sz w:val="40"/>
          <w:szCs w:val="48"/>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附件四      </w:t>
      </w:r>
    </w:p>
    <w:p w14:paraId="2D968410">
      <w:pPr>
        <w:jc w:val="center"/>
        <w:rPr>
          <w:rFonts w:ascii="方正小标宋简体" w:hAnsi="方正小标宋简体" w:eastAsia="方正小标宋简体" w:cs="方正小标宋简体"/>
          <w:color w:val="000000" w:themeColor="text1"/>
          <w:sz w:val="40"/>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8"/>
          <w14:textFill>
            <w14:solidFill>
              <w14:schemeClr w14:val="tx1"/>
            </w14:solidFill>
          </w14:textFill>
        </w:rPr>
        <w:t>XXX处审查意见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A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CCCA98">
            <w:pP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项目名称：</w:t>
            </w:r>
            <w:r>
              <w:rPr>
                <w:rFonts w:hint="eastAsia" w:ascii="Times New Roman" w:hAnsi="Times New Roman" w:cs="Times New Roman"/>
                <w:color w:val="000000" w:themeColor="text1"/>
                <w:sz w:val="32"/>
                <w:szCs w:val="32"/>
                <w14:textFill>
                  <w14:solidFill>
                    <w14:schemeClr w14:val="tx1"/>
                  </w14:solidFill>
                </w14:textFill>
              </w:rPr>
              <w:t>XX工程临时用地</w:t>
            </w:r>
          </w:p>
        </w:tc>
      </w:tr>
      <w:tr w14:paraId="31DC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trPr>
        <w:tc>
          <w:tcPr>
            <w:tcW w:w="8522" w:type="dxa"/>
          </w:tcPr>
          <w:p w14:paraId="44D0A1B8">
            <w:pP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经办意见：</w:t>
            </w:r>
          </w:p>
          <w:p w14:paraId="3F6DA74C">
            <w:pPr>
              <w:ind w:firstLine="640"/>
              <w:rPr>
                <w:rFonts w:ascii="Times New Roman" w:hAnsi="Times New Roman" w:cs="Times New Roman"/>
                <w:color w:val="000000" w:themeColor="text1"/>
                <w:sz w:val="32"/>
                <w:szCs w:val="32"/>
                <w14:textFill>
                  <w14:solidFill>
                    <w14:schemeClr w14:val="tx1"/>
                  </w14:solidFill>
                </w14:textFill>
              </w:rPr>
            </w:pPr>
          </w:p>
          <w:p w14:paraId="16144A5E">
            <w:pPr>
              <w:ind w:firstLine="640"/>
              <w:rPr>
                <w:rFonts w:ascii="Times New Roman" w:hAnsi="Times New Roman" w:cs="Times New Roman"/>
                <w:color w:val="000000" w:themeColor="text1"/>
                <w:sz w:val="32"/>
                <w:szCs w:val="32"/>
                <w14:textFill>
                  <w14:solidFill>
                    <w14:schemeClr w14:val="tx1"/>
                  </w14:solidFill>
                </w14:textFill>
              </w:rPr>
            </w:pPr>
          </w:p>
          <w:p w14:paraId="5DBE9EBD">
            <w:pPr>
              <w:ind w:firstLine="640"/>
              <w:rPr>
                <w:rFonts w:ascii="Times New Roman" w:hAnsi="Times New Roman" w:cs="Times New Roman"/>
                <w:color w:val="000000" w:themeColor="text1"/>
                <w:sz w:val="32"/>
                <w:szCs w:val="32"/>
                <w14:textFill>
                  <w14:solidFill>
                    <w14:schemeClr w14:val="tx1"/>
                  </w14:solidFill>
                </w14:textFill>
              </w:rPr>
            </w:pPr>
          </w:p>
          <w:p w14:paraId="4ACB9B39">
            <w:pPr>
              <w:ind w:firstLine="640"/>
              <w:rPr>
                <w:rFonts w:ascii="Times New Roman" w:hAnsi="Times New Roman" w:cs="Times New Roman"/>
                <w:color w:val="000000" w:themeColor="text1"/>
                <w:sz w:val="32"/>
                <w:szCs w:val="32"/>
                <w14:textFill>
                  <w14:solidFill>
                    <w14:schemeClr w14:val="tx1"/>
                  </w14:solidFill>
                </w14:textFill>
              </w:rPr>
            </w:pPr>
          </w:p>
          <w:p w14:paraId="73966C23">
            <w:pPr>
              <w:ind w:firstLine="640"/>
              <w:rPr>
                <w:rFonts w:ascii="Times New Roman" w:hAnsi="Times New Roman" w:cs="Times New Roman"/>
                <w:color w:val="000000" w:themeColor="text1"/>
                <w:sz w:val="32"/>
                <w:szCs w:val="32"/>
                <w14:textFill>
                  <w14:solidFill>
                    <w14:schemeClr w14:val="tx1"/>
                  </w14:solidFill>
                </w14:textFill>
              </w:rPr>
            </w:pPr>
          </w:p>
          <w:p w14:paraId="2C4D8A33">
            <w:pPr>
              <w:ind w:firstLine="640"/>
              <w:rPr>
                <w:rFonts w:ascii="Times New Roman" w:hAnsi="Times New Roman" w:cs="Times New Roman"/>
                <w:color w:val="000000" w:themeColor="text1"/>
                <w:sz w:val="32"/>
                <w:szCs w:val="32"/>
                <w14:textFill>
                  <w14:solidFill>
                    <w14:schemeClr w14:val="tx1"/>
                  </w14:solidFill>
                </w14:textFill>
              </w:rPr>
            </w:pPr>
          </w:p>
          <w:p w14:paraId="2856B7BF">
            <w:pPr>
              <w:ind w:firstLine="640"/>
              <w:rPr>
                <w:rFonts w:ascii="Times New Roman" w:hAnsi="Times New Roman" w:cs="Times New Roman"/>
                <w:color w:val="000000" w:themeColor="text1"/>
                <w:sz w:val="32"/>
                <w:szCs w:val="32"/>
                <w14:textFill>
                  <w14:solidFill>
                    <w14:schemeClr w14:val="tx1"/>
                  </w14:solidFill>
                </w14:textFill>
              </w:rPr>
            </w:pPr>
          </w:p>
          <w:p w14:paraId="0B6231AC">
            <w:pPr>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经办人：                    日期：</w:t>
            </w:r>
          </w:p>
        </w:tc>
      </w:tr>
      <w:tr w14:paraId="7F96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22" w:type="dxa"/>
          </w:tcPr>
          <w:p w14:paraId="73C28670">
            <w:pPr>
              <w:jc w:val="cente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处领导意见</w:t>
            </w:r>
          </w:p>
        </w:tc>
      </w:tr>
      <w:tr w14:paraId="13D0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522" w:type="dxa"/>
          </w:tcPr>
          <w:p w14:paraId="78FA39D2">
            <w:pPr>
              <w:rPr>
                <w:rFonts w:ascii="Times New Roman" w:hAnsi="Times New Roman" w:cs="Times New Roman"/>
                <w:color w:val="000000" w:themeColor="text1"/>
                <w:sz w:val="32"/>
                <w:szCs w:val="32"/>
                <w14:textFill>
                  <w14:solidFill>
                    <w14:schemeClr w14:val="tx1"/>
                  </w14:solidFill>
                </w14:textFill>
              </w:rPr>
            </w:pPr>
          </w:p>
          <w:p w14:paraId="33DA1552">
            <w:pPr>
              <w:rPr>
                <w:rFonts w:ascii="Times New Roman" w:hAnsi="Times New Roman" w:cs="Times New Roman"/>
                <w:color w:val="000000" w:themeColor="text1"/>
                <w:sz w:val="32"/>
                <w:szCs w:val="32"/>
                <w14:textFill>
                  <w14:solidFill>
                    <w14:schemeClr w14:val="tx1"/>
                  </w14:solidFill>
                </w14:textFill>
              </w:rPr>
            </w:pPr>
          </w:p>
          <w:p w14:paraId="2477B16A">
            <w:pPr>
              <w:rPr>
                <w:rFonts w:ascii="Times New Roman" w:hAnsi="Times New Roman" w:cs="Times New Roman"/>
                <w:color w:val="000000" w:themeColor="text1"/>
                <w:sz w:val="32"/>
                <w:szCs w:val="32"/>
                <w14:textFill>
                  <w14:solidFill>
                    <w14:schemeClr w14:val="tx1"/>
                  </w14:solidFill>
                </w14:textFill>
              </w:rPr>
            </w:pPr>
          </w:p>
          <w:p w14:paraId="2EDF4883">
            <w:pPr>
              <w:rPr>
                <w:rFonts w:ascii="Times New Roman" w:hAnsi="Times New Roman" w:cs="Times New Roman"/>
                <w:color w:val="000000" w:themeColor="text1"/>
                <w:sz w:val="32"/>
                <w:szCs w:val="32"/>
                <w14:textFill>
                  <w14:solidFill>
                    <w14:schemeClr w14:val="tx1"/>
                  </w14:solidFill>
                </w14:textFill>
              </w:rPr>
            </w:pPr>
          </w:p>
          <w:p w14:paraId="4DAB3E57">
            <w:pPr>
              <w:rPr>
                <w:rFonts w:ascii="Times New Roman" w:hAnsi="Times New Roman" w:cs="Times New Roman"/>
                <w:color w:val="000000" w:themeColor="text1"/>
                <w:sz w:val="32"/>
                <w:szCs w:val="32"/>
                <w14:textFill>
                  <w14:solidFill>
                    <w14:schemeClr w14:val="tx1"/>
                  </w14:solidFill>
                </w14:textFill>
              </w:rPr>
            </w:pPr>
          </w:p>
          <w:p w14:paraId="1F4A6484">
            <w:pP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处室负责人：                日期：</w:t>
            </w:r>
          </w:p>
        </w:tc>
      </w:tr>
    </w:tbl>
    <w:p w14:paraId="601F4D4C">
      <w:pPr>
        <w:pStyle w:val="9"/>
        <w:widowControl/>
        <w:shd w:val="clear" w:color="auto" w:fill="FFFFFF"/>
        <w:spacing w:beforeAutospacing="0" w:afterAutospacing="0" w:line="450" w:lineRule="atLeast"/>
        <w:jc w:val="both"/>
        <w:rPr>
          <w:rFonts w:ascii="仿宋" w:hAnsi="仿宋" w:eastAsia="仿宋" w:cs="仿宋"/>
          <w:color w:val="000000" w:themeColor="text1"/>
          <w:sz w:val="32"/>
          <w:szCs w:val="32"/>
          <w:shd w:val="clear" w:color="auto" w:fill="FFFFFF"/>
          <w14:textFill>
            <w14:solidFill>
              <w14:schemeClr w14:val="tx1"/>
            </w14:solidFill>
          </w14:textFill>
        </w:rPr>
      </w:pPr>
    </w:p>
    <w:p w14:paraId="1679B41A">
      <w:pPr>
        <w:spacing w:line="640" w:lineRule="exact"/>
        <w:jc w:val="both"/>
        <w:rPr>
          <w:rFonts w:ascii="方正小标宋简体" w:hAnsi="黑体" w:eastAsia="方正小标宋简体" w:cs="仿宋_GB2312"/>
          <w:color w:val="000000" w:themeColor="text1"/>
          <w:sz w:val="44"/>
          <w:szCs w:val="44"/>
          <w14:textFill>
            <w14:solidFill>
              <w14:schemeClr w14:val="tx1"/>
            </w14:solidFill>
          </w14:textFill>
        </w:rPr>
      </w:pPr>
    </w:p>
    <w:p w14:paraId="3AE4A4BE">
      <w:pPr>
        <w:spacing w:line="640" w:lineRule="exact"/>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附件五</w:t>
      </w:r>
    </w:p>
    <w:tbl>
      <w:tblPr>
        <w:tblStyle w:val="11"/>
        <w:tblW w:w="8356" w:type="dxa"/>
        <w:tblInd w:w="0" w:type="dxa"/>
        <w:tblLayout w:type="autofit"/>
        <w:tblCellMar>
          <w:top w:w="0" w:type="dxa"/>
          <w:left w:w="0" w:type="dxa"/>
          <w:bottom w:w="0" w:type="dxa"/>
          <w:right w:w="0" w:type="dxa"/>
        </w:tblCellMar>
      </w:tblPr>
      <w:tblGrid>
        <w:gridCol w:w="2595"/>
        <w:gridCol w:w="2745"/>
        <w:gridCol w:w="3016"/>
      </w:tblGrid>
      <w:tr w14:paraId="1F401765">
        <w:tblPrEx>
          <w:tblCellMar>
            <w:top w:w="0" w:type="dxa"/>
            <w:left w:w="0" w:type="dxa"/>
            <w:bottom w:w="0" w:type="dxa"/>
            <w:right w:w="0" w:type="dxa"/>
          </w:tblCellMar>
        </w:tblPrEx>
        <w:trPr>
          <w:trHeight w:val="540" w:hRule="atLeast"/>
        </w:trPr>
        <w:tc>
          <w:tcPr>
            <w:tcW w:w="8356" w:type="dxa"/>
            <w:gridSpan w:val="3"/>
            <w:tcBorders>
              <w:top w:val="nil"/>
              <w:left w:val="nil"/>
              <w:bottom w:val="single" w:color="000000" w:sz="4" w:space="0"/>
              <w:right w:val="nil"/>
            </w:tcBorders>
            <w:shd w:val="clear" w:color="auto" w:fill="auto"/>
            <w:tcMar>
              <w:top w:w="15" w:type="dxa"/>
              <w:left w:w="15" w:type="dxa"/>
              <w:right w:w="15" w:type="dxa"/>
            </w:tcMar>
            <w:vAlign w:val="center"/>
          </w:tcPr>
          <w:p w14:paraId="340A477E">
            <w:pPr>
              <w:widowControl/>
              <w:jc w:val="center"/>
              <w:textAlignment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lang w:bidi="ar"/>
                <w14:textFill>
                  <w14:solidFill>
                    <w14:schemeClr w14:val="tx1"/>
                  </w14:solidFill>
                </w14:textFill>
              </w:rPr>
              <w:t>临时用地审批表</w:t>
            </w:r>
          </w:p>
        </w:tc>
      </w:tr>
      <w:tr w14:paraId="5BBA9FE9">
        <w:tblPrEx>
          <w:tblCellMar>
            <w:top w:w="0" w:type="dxa"/>
            <w:left w:w="0" w:type="dxa"/>
            <w:bottom w:w="0" w:type="dxa"/>
            <w:right w:w="0" w:type="dxa"/>
          </w:tblCellMar>
        </w:tblPrEx>
        <w:trPr>
          <w:trHeight w:val="285" w:hRule="atLeast"/>
        </w:trPr>
        <w:tc>
          <w:tcPr>
            <w:tcW w:w="835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9A0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台自</w:t>
            </w:r>
            <w:r>
              <w:rPr>
                <w:rFonts w:hint="eastAsia" w:ascii="宋体" w:hAnsi="宋体" w:eastAsia="宋体" w:cs="宋体"/>
                <w:color w:val="000000" w:themeColor="text1"/>
                <w:kern w:val="0"/>
                <w:sz w:val="24"/>
                <w:lang w:eastAsia="zh-CN" w:bidi="ar"/>
                <w14:textFill>
                  <w14:solidFill>
                    <w14:schemeClr w14:val="tx1"/>
                  </w14:solidFill>
                </w14:textFill>
              </w:rPr>
              <w:t>然资规</w:t>
            </w:r>
            <w:r>
              <w:rPr>
                <w:rFonts w:hint="eastAsia" w:ascii="宋体" w:hAnsi="宋体" w:eastAsia="宋体" w:cs="宋体"/>
                <w:color w:val="000000" w:themeColor="text1"/>
                <w:kern w:val="0"/>
                <w:sz w:val="24"/>
                <w:lang w:bidi="ar"/>
                <w14:textFill>
                  <w14:solidFill>
                    <w14:schemeClr w14:val="tx1"/>
                  </w14:solidFill>
                </w14:textFill>
              </w:rPr>
              <w:t>临字[202</w:t>
            </w: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bidi="ar"/>
                <w14:textFill>
                  <w14:solidFill>
                    <w14:schemeClr w14:val="tx1"/>
                  </w14:solidFill>
                </w14:textFill>
              </w:rPr>
              <w:t>]   号</w:t>
            </w:r>
          </w:p>
        </w:tc>
      </w:tr>
      <w:tr w14:paraId="152CAB70">
        <w:tblPrEx>
          <w:tblCellMar>
            <w:top w:w="0" w:type="dxa"/>
            <w:left w:w="0" w:type="dxa"/>
            <w:bottom w:w="0" w:type="dxa"/>
            <w:right w:w="0" w:type="dxa"/>
          </w:tblCellMar>
        </w:tblPrEx>
        <w:trPr>
          <w:trHeight w:val="51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57E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申请用地单位</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B165">
            <w:pPr>
              <w:jc w:val="center"/>
              <w:rPr>
                <w:rFonts w:ascii="宋体" w:hAnsi="宋体" w:eastAsia="宋体" w:cs="宋体"/>
                <w:color w:val="000000" w:themeColor="text1"/>
                <w:sz w:val="24"/>
                <w14:textFill>
                  <w14:solidFill>
                    <w14:schemeClr w14:val="tx1"/>
                  </w14:solidFill>
                </w14:textFill>
              </w:rPr>
            </w:pPr>
          </w:p>
        </w:tc>
      </w:tr>
      <w:tr w14:paraId="0951C64C">
        <w:tblPrEx>
          <w:tblCellMar>
            <w:top w:w="0" w:type="dxa"/>
            <w:left w:w="0" w:type="dxa"/>
            <w:bottom w:w="0" w:type="dxa"/>
            <w:right w:w="0" w:type="dxa"/>
          </w:tblCellMar>
        </w:tblPrEx>
        <w:trPr>
          <w:trHeight w:val="51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1F3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用地项目名称</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D5DF">
            <w:pPr>
              <w:jc w:val="center"/>
              <w:rPr>
                <w:rFonts w:ascii="宋体" w:hAnsi="宋体" w:eastAsia="宋体" w:cs="宋体"/>
                <w:color w:val="000000" w:themeColor="text1"/>
                <w:sz w:val="24"/>
                <w14:textFill>
                  <w14:solidFill>
                    <w14:schemeClr w14:val="tx1"/>
                  </w14:solidFill>
                </w14:textFill>
              </w:rPr>
            </w:pPr>
          </w:p>
        </w:tc>
      </w:tr>
      <w:tr w14:paraId="08999087">
        <w:tblPrEx>
          <w:tblCellMar>
            <w:top w:w="0" w:type="dxa"/>
            <w:left w:w="0" w:type="dxa"/>
            <w:bottom w:w="0" w:type="dxa"/>
            <w:right w:w="0" w:type="dxa"/>
          </w:tblCellMar>
        </w:tblPrEx>
        <w:trPr>
          <w:trHeight w:val="51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280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土地坐落</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7F7C">
            <w:pPr>
              <w:jc w:val="center"/>
              <w:rPr>
                <w:rFonts w:ascii="宋体" w:hAnsi="宋体" w:eastAsia="宋体" w:cs="宋体"/>
                <w:color w:val="000000" w:themeColor="text1"/>
                <w:sz w:val="24"/>
                <w14:textFill>
                  <w14:solidFill>
                    <w14:schemeClr w14:val="tx1"/>
                  </w14:solidFill>
                </w14:textFill>
              </w:rPr>
            </w:pPr>
          </w:p>
        </w:tc>
      </w:tr>
      <w:tr w14:paraId="651F6489">
        <w:tblPrEx>
          <w:tblCellMar>
            <w:top w:w="0" w:type="dxa"/>
            <w:left w:w="0" w:type="dxa"/>
            <w:bottom w:w="0" w:type="dxa"/>
            <w:right w:w="0" w:type="dxa"/>
          </w:tblCellMar>
        </w:tblPrEx>
        <w:trPr>
          <w:trHeight w:val="510" w:hRule="atLeast"/>
        </w:trPr>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E27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申请用地四至</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357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东至：</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0E2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南至：</w:t>
            </w:r>
          </w:p>
        </w:tc>
      </w:tr>
      <w:tr w14:paraId="0272E7B0">
        <w:tblPrEx>
          <w:tblCellMar>
            <w:top w:w="0" w:type="dxa"/>
            <w:left w:w="0" w:type="dxa"/>
            <w:bottom w:w="0" w:type="dxa"/>
            <w:right w:w="0" w:type="dxa"/>
          </w:tblCellMar>
        </w:tblPrEx>
        <w:trPr>
          <w:trHeight w:val="510" w:hRule="atLeast"/>
        </w:trPr>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E15D">
            <w:pPr>
              <w:jc w:val="center"/>
              <w:rPr>
                <w:rFonts w:ascii="宋体" w:hAnsi="宋体" w:eastAsia="宋体" w:cs="宋体"/>
                <w:color w:val="000000" w:themeColor="text1"/>
                <w:sz w:val="24"/>
                <w14:textFill>
                  <w14:solidFill>
                    <w14:schemeClr w14:val="tx1"/>
                  </w14:solidFill>
                </w14:textFill>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8A5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西至：</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2BB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北至：</w:t>
            </w:r>
          </w:p>
        </w:tc>
      </w:tr>
      <w:tr w14:paraId="2CD03D09">
        <w:tblPrEx>
          <w:tblCellMar>
            <w:top w:w="0" w:type="dxa"/>
            <w:left w:w="0" w:type="dxa"/>
            <w:bottom w:w="0" w:type="dxa"/>
            <w:right w:w="0" w:type="dxa"/>
          </w:tblCellMar>
        </w:tblPrEx>
        <w:trPr>
          <w:trHeight w:val="51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733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申请用地总面积</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871F">
            <w:pPr>
              <w:jc w:val="center"/>
              <w:rPr>
                <w:rFonts w:ascii="宋体" w:hAnsi="宋体" w:eastAsia="宋体" w:cs="宋体"/>
                <w:b/>
                <w:color w:val="000000" w:themeColor="text1"/>
                <w:sz w:val="24"/>
                <w14:textFill>
                  <w14:solidFill>
                    <w14:schemeClr w14:val="tx1"/>
                  </w14:solidFill>
                </w14:textFill>
              </w:rPr>
            </w:pPr>
          </w:p>
        </w:tc>
      </w:tr>
      <w:tr w14:paraId="23E3808C">
        <w:tblPrEx>
          <w:tblCellMar>
            <w:top w:w="0" w:type="dxa"/>
            <w:left w:w="0" w:type="dxa"/>
            <w:bottom w:w="0" w:type="dxa"/>
            <w:right w:w="0" w:type="dxa"/>
          </w:tblCellMar>
        </w:tblPrEx>
        <w:trPr>
          <w:trHeight w:val="142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DC6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经办意见</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65A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签章：                                    年月日</w:t>
            </w:r>
          </w:p>
        </w:tc>
      </w:tr>
      <w:tr w14:paraId="4E49B373">
        <w:tblPrEx>
          <w:tblCellMar>
            <w:top w:w="0" w:type="dxa"/>
            <w:left w:w="0" w:type="dxa"/>
            <w:bottom w:w="0" w:type="dxa"/>
            <w:right w:w="0" w:type="dxa"/>
          </w:tblCellMar>
        </w:tblPrEx>
        <w:trPr>
          <w:trHeight w:val="142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6C33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处室意见</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3AB0">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签章：                                    年月日</w:t>
            </w:r>
          </w:p>
        </w:tc>
      </w:tr>
      <w:tr w14:paraId="699FF29C">
        <w:tblPrEx>
          <w:tblCellMar>
            <w:top w:w="0" w:type="dxa"/>
            <w:left w:w="0" w:type="dxa"/>
            <w:bottom w:w="0" w:type="dxa"/>
            <w:right w:w="0" w:type="dxa"/>
          </w:tblCellMar>
        </w:tblPrEx>
        <w:trPr>
          <w:trHeight w:val="142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F00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分管领导意见</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C562">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签章：                                    年月日</w:t>
            </w:r>
          </w:p>
        </w:tc>
      </w:tr>
      <w:tr w14:paraId="3F2E1719">
        <w:tblPrEx>
          <w:tblCellMar>
            <w:top w:w="0" w:type="dxa"/>
            <w:left w:w="0" w:type="dxa"/>
            <w:bottom w:w="0" w:type="dxa"/>
            <w:right w:w="0" w:type="dxa"/>
          </w:tblCellMar>
        </w:tblPrEx>
        <w:trPr>
          <w:trHeight w:val="142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CB08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主管领导意见</w:t>
            </w:r>
          </w:p>
        </w:tc>
        <w:tc>
          <w:tcPr>
            <w:tcW w:w="5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506D">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签章：                                    年月日</w:t>
            </w:r>
          </w:p>
        </w:tc>
      </w:tr>
    </w:tbl>
    <w:p w14:paraId="4E62CB20">
      <w:pPr>
        <w:spacing w:line="640" w:lineRule="exact"/>
        <w:rPr>
          <w:rFonts w:ascii="仿宋" w:hAnsi="仿宋" w:eastAsia="仿宋" w:cs="仿宋"/>
          <w:color w:val="000000" w:themeColor="text1"/>
          <w:kern w:val="0"/>
          <w:sz w:val="32"/>
          <w:szCs w:val="32"/>
          <w:shd w:val="clear" w:color="auto" w:fill="FFFFFF"/>
          <w:lang w:bidi="ar"/>
          <w14:textFill>
            <w14:solidFill>
              <w14:schemeClr w14:val="tx1"/>
            </w14:solidFill>
          </w14:textFill>
        </w:rPr>
      </w:pPr>
    </w:p>
    <w:p w14:paraId="72F7BAD4">
      <w:pPr>
        <w:spacing w:line="640" w:lineRule="exact"/>
        <w:jc w:val="center"/>
        <w:rPr>
          <w:rFonts w:ascii="方正小标宋简体" w:hAnsi="黑体" w:eastAsia="方正小标宋简体" w:cs="仿宋_GB2312"/>
          <w:color w:val="000000" w:themeColor="text1"/>
          <w:sz w:val="44"/>
          <w:szCs w:val="44"/>
          <w14:textFill>
            <w14:solidFill>
              <w14:schemeClr w14:val="tx1"/>
            </w14:solidFill>
          </w14:textFill>
        </w:rPr>
      </w:pPr>
    </w:p>
    <w:p w14:paraId="4FC29D77">
      <w:pPr>
        <w:spacing w:line="640" w:lineRule="exact"/>
        <w:jc w:val="center"/>
        <w:rPr>
          <w:rFonts w:ascii="方正小标宋简体" w:hAnsi="黑体" w:eastAsia="方正小标宋简体" w:cs="仿宋_GB2312"/>
          <w:color w:val="000000" w:themeColor="text1"/>
          <w:sz w:val="44"/>
          <w:szCs w:val="44"/>
          <w14:textFill>
            <w14:solidFill>
              <w14:schemeClr w14:val="tx1"/>
            </w14:solidFill>
          </w14:textFill>
        </w:rPr>
      </w:pPr>
    </w:p>
    <w:p w14:paraId="4EA6878B">
      <w:pPr>
        <w:spacing w:line="640" w:lineRule="exact"/>
        <w:jc w:val="center"/>
        <w:rPr>
          <w:rFonts w:ascii="方正小标宋简体" w:hAnsi="黑体" w:eastAsia="方正小标宋简体" w:cs="仿宋_GB2312"/>
          <w:color w:val="000000" w:themeColor="text1"/>
          <w:sz w:val="44"/>
          <w:szCs w:val="44"/>
          <w14:textFill>
            <w14:solidFill>
              <w14:schemeClr w14:val="tx1"/>
            </w14:solidFill>
          </w14:textFill>
        </w:rPr>
      </w:pPr>
    </w:p>
    <w:p w14:paraId="2F48C2E6">
      <w:pPr>
        <w:spacing w:line="640" w:lineRule="exact"/>
        <w:jc w:val="both"/>
        <w:rPr>
          <w:rFonts w:ascii="方正小标宋简体" w:hAnsi="黑体" w:eastAsia="方正小标宋简体" w:cs="仿宋_GB2312"/>
          <w:color w:val="000000" w:themeColor="text1"/>
          <w:sz w:val="44"/>
          <w:szCs w:val="44"/>
          <w14:textFill>
            <w14:solidFill>
              <w14:schemeClr w14:val="tx1"/>
            </w14:solidFill>
          </w14:textFill>
        </w:rPr>
      </w:pPr>
    </w:p>
    <w:p w14:paraId="0A5B7AA1">
      <w:pPr>
        <w:spacing w:line="640" w:lineRule="exact"/>
        <w:rPr>
          <w:rFonts w:ascii="方正小标宋简体" w:hAnsi="黑体" w:eastAsia="仿宋" w:cs="仿宋_GB2312"/>
          <w:color w:val="000000" w:themeColor="text1"/>
          <w:sz w:val="44"/>
          <w:szCs w:val="44"/>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附件六</w:t>
      </w:r>
    </w:p>
    <w:p w14:paraId="52EF67B9">
      <w:pPr>
        <w:spacing w:line="640" w:lineRule="exact"/>
        <w:jc w:val="center"/>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仿宋_GB2312"/>
          <w:color w:val="000000" w:themeColor="text1"/>
          <w:sz w:val="44"/>
          <w:szCs w:val="44"/>
          <w14:textFill>
            <w14:solidFill>
              <w14:schemeClr w14:val="tx1"/>
            </w14:solidFill>
          </w14:textFill>
        </w:rPr>
        <w:t>台州市</w:t>
      </w:r>
      <w:r>
        <w:rPr>
          <w:rFonts w:hint="eastAsia" w:ascii="方正小标宋简体" w:hAnsi="黑体" w:eastAsia="方正小标宋简体" w:cs="黑体"/>
          <w:color w:val="000000" w:themeColor="text1"/>
          <w:sz w:val="44"/>
          <w:szCs w:val="44"/>
          <w14:textFill>
            <w14:solidFill>
              <w14:schemeClr w14:val="tx1"/>
            </w14:solidFill>
          </w14:textFill>
        </w:rPr>
        <w:t>自然资源和规划局关于</w:t>
      </w:r>
      <w:r>
        <w:rPr>
          <w:rFonts w:ascii="方正小标宋简体" w:hAnsi="黑体" w:eastAsia="方正小标宋简体" w:cs="黑体"/>
          <w:color w:val="000000" w:themeColor="text1"/>
          <w:sz w:val="44"/>
          <w:szCs w:val="44"/>
          <w14:textFill>
            <w14:solidFill>
              <w14:schemeClr w14:val="tx1"/>
            </w14:solidFill>
          </w14:textFill>
        </w:rPr>
        <w:t>XX</w:t>
      </w:r>
      <w:r>
        <w:rPr>
          <w:rFonts w:hint="eastAsia" w:ascii="方正小标宋简体" w:hAnsi="黑体" w:eastAsia="方正小标宋简体" w:cs="黑体"/>
          <w:color w:val="000000" w:themeColor="text1"/>
          <w:sz w:val="44"/>
          <w:szCs w:val="44"/>
          <w14:textFill>
            <w14:solidFill>
              <w14:schemeClr w14:val="tx1"/>
            </w14:solidFill>
          </w14:textFill>
        </w:rPr>
        <w:t>临时用地</w:t>
      </w:r>
      <w:r>
        <w:rPr>
          <w:rFonts w:ascii="方正小标宋简体" w:hAnsi="黑体" w:eastAsia="方正小标宋简体" w:cs="黑体"/>
          <w:color w:val="000000" w:themeColor="text1"/>
          <w:sz w:val="44"/>
          <w:szCs w:val="44"/>
          <w14:textFill>
            <w14:solidFill>
              <w14:schemeClr w14:val="tx1"/>
            </w14:solidFill>
          </w14:textFill>
        </w:rPr>
        <w:t>项目</w:t>
      </w:r>
      <w:r>
        <w:rPr>
          <w:rFonts w:hint="eastAsia" w:ascii="方正小标宋简体" w:hAnsi="黑体" w:eastAsia="方正小标宋简体" w:cs="黑体"/>
          <w:color w:val="000000" w:themeColor="text1"/>
          <w:sz w:val="44"/>
          <w:szCs w:val="44"/>
          <w14:textFill>
            <w14:solidFill>
              <w14:schemeClr w14:val="tx1"/>
            </w14:solidFill>
          </w14:textFill>
        </w:rPr>
        <w:t>审批意见</w:t>
      </w:r>
    </w:p>
    <w:p w14:paraId="66DE29F0">
      <w:pPr>
        <w:spacing w:line="640" w:lineRule="exact"/>
        <w:ind w:firstLine="5440" w:firstLineChars="17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编号：</w:t>
      </w:r>
    </w:p>
    <w:p w14:paraId="1027BCF5">
      <w:pPr>
        <w:snapToGrid w:val="0"/>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（申请单位）：</w:t>
      </w:r>
    </w:p>
    <w:p w14:paraId="6F35DF51">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你们上报的</w:t>
      </w:r>
      <w:r>
        <w:rPr>
          <w:rFonts w:eastAsia="仿宋_GB2312"/>
          <w:color w:val="000000" w:themeColor="text1"/>
          <w:sz w:val="32"/>
          <w:szCs w:val="32"/>
          <w14:textFill>
            <w14:solidFill>
              <w14:schemeClr w14:val="tx1"/>
            </w14:solidFill>
          </w14:textFill>
        </w:rPr>
        <w:t>XX</w:t>
      </w:r>
      <w:r>
        <w:rPr>
          <w:rFonts w:hint="eastAsia" w:eastAsia="仿宋_GB2312"/>
          <w:color w:val="000000" w:themeColor="text1"/>
          <w:sz w:val="32"/>
          <w:szCs w:val="32"/>
          <w14:textFill>
            <w14:solidFill>
              <w14:schemeClr w14:val="tx1"/>
            </w14:solidFill>
          </w14:textFill>
        </w:rPr>
        <w:t>临时用地项目审批有关材料收悉。经审查，对该临时用地项目的审批提出如下意见：</w:t>
      </w:r>
    </w:p>
    <w:p w14:paraId="1459F5FD">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一、XX项目经**部门审批（核准），</w:t>
      </w:r>
      <w:r>
        <w:rPr>
          <w:rFonts w:ascii="仿宋_GB2312" w:hAnsi="仿宋_GB2312" w:eastAsia="仿宋_GB2312" w:cs="仿宋_GB2312"/>
          <w:color w:val="000000" w:themeColor="text1"/>
          <w:kern w:val="0"/>
          <w:sz w:val="32"/>
          <w:szCs w:val="32"/>
          <w:lang w:bidi="ar"/>
          <w14:textFill>
            <w14:solidFill>
              <w14:schemeClr w14:val="tx1"/>
            </w14:solidFill>
          </w14:textFill>
        </w:rPr>
        <w:t>占用的</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临时用地</w:t>
      </w:r>
      <w:r>
        <w:rPr>
          <w:rFonts w:hint="eastAsia" w:eastAsia="仿宋_GB2312"/>
          <w:color w:val="000000" w:themeColor="text1"/>
          <w:sz w:val="32"/>
          <w:szCs w:val="32"/>
          <w14:textFill>
            <w14:solidFill>
              <w14:schemeClr w14:val="tx1"/>
            </w14:solidFill>
          </w14:textFill>
        </w:rPr>
        <w:t>属于</w:t>
      </w:r>
      <w:r>
        <w:rPr>
          <w:rFonts w:ascii="仿宋_GB2312" w:hAnsi="宋体" w:eastAsia="仿宋_GB2312" w:cs="仿宋_GB2312"/>
          <w:color w:val="000000" w:themeColor="text1"/>
          <w:kern w:val="0"/>
          <w:sz w:val="31"/>
          <w:szCs w:val="31"/>
          <w:lang w:bidi="ar"/>
          <w14:textFill>
            <w14:solidFill>
              <w14:schemeClr w14:val="tx1"/>
            </w14:solidFill>
          </w14:textFill>
        </w:rPr>
        <w:t>国家和省批准立项的交通、能源、水</w:t>
      </w:r>
      <w:r>
        <w:rPr>
          <w:rFonts w:ascii="仿宋_GB2312" w:hAnsi="仿宋_GB2312" w:eastAsia="仿宋_GB2312" w:cs="仿宋_GB2312"/>
          <w:color w:val="000000" w:themeColor="text1"/>
          <w:kern w:val="0"/>
          <w:sz w:val="32"/>
          <w:szCs w:val="32"/>
          <w:lang w:bidi="ar"/>
          <w14:textFill>
            <w14:solidFill>
              <w14:schemeClr w14:val="tx1"/>
            </w14:solidFill>
          </w14:textFill>
        </w:rPr>
        <w:t>利、军事设施等项目建设施工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所需（属于</w:t>
      </w:r>
      <w:r>
        <w:rPr>
          <w:rFonts w:hint="eastAsia" w:ascii="仿宋" w:hAnsi="仿宋" w:eastAsia="仿宋" w:cs="仿宋"/>
          <w:color w:val="000000" w:themeColor="text1"/>
          <w:sz w:val="32"/>
          <w:szCs w:val="32"/>
          <w14:textFill>
            <w14:solidFill>
              <w14:schemeClr w14:val="tx1"/>
            </w14:solidFill>
          </w14:textFill>
        </w:rPr>
        <w:t>基础设施、公共服务配套设施</w:t>
      </w:r>
      <w:r>
        <w:rPr>
          <w:rFonts w:ascii="仿宋_GB2312" w:hAnsi="仿宋_GB2312" w:eastAsia="仿宋_GB2312" w:cs="仿宋_GB2312"/>
          <w:color w:val="000000" w:themeColor="text1"/>
          <w:kern w:val="0"/>
          <w:sz w:val="32"/>
          <w:szCs w:val="32"/>
          <w:lang w:bidi="ar"/>
          <w14:textFill>
            <w14:solidFill>
              <w14:schemeClr w14:val="tx1"/>
            </w14:solidFill>
          </w14:textFill>
        </w:rPr>
        <w:t>等项目建设施工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所需）</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已履行论证程序，</w:t>
      </w:r>
      <w:r>
        <w:rPr>
          <w:rFonts w:hint="eastAsia" w:eastAsia="仿宋_GB2312"/>
          <w:color w:val="000000" w:themeColor="text1"/>
          <w:sz w:val="32"/>
          <w:szCs w:val="32"/>
          <w14:textFill>
            <w14:solidFill>
              <w14:schemeClr w14:val="tx1"/>
            </w14:solidFill>
          </w14:textFill>
        </w:rPr>
        <w:t>原则同意通过该项目临时用地审批。</w:t>
      </w:r>
    </w:p>
    <w:p w14:paraId="1C1C763D">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二、该项目临时用地总面积**公顷，土地利用现状情况为农用地**公顷（耕地**公顷，含永久基本农田**公顷</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，建设用地**公顷，未利用地**公顷。该临时用地各功能分区用地面积分别为**。你单位应从严控制用地规模，节约集约利用土地。</w:t>
      </w:r>
    </w:p>
    <w:p w14:paraId="7C3749B2">
      <w:pPr>
        <w:widowControl/>
        <w:shd w:val="clear" w:color="auto" w:fill="FFFFFF"/>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该临时用地项目已由**县（市、区）自然资源和规划局组织规划选址和土地复垦方案论证。论证认为，该临时用地因确实</w:t>
      </w:r>
      <w:r>
        <w:rPr>
          <w:rFonts w:hint="eastAsia" w:ascii="仿宋_GB2312" w:hAnsi="方正仿宋简体" w:eastAsia="仿宋_GB2312" w:cs="方正仿宋简体"/>
          <w:color w:val="000000" w:themeColor="text1"/>
          <w:kern w:val="0"/>
          <w:sz w:val="32"/>
          <w:szCs w:val="32"/>
          <w:shd w:val="clear" w:color="auto" w:fill="FFFFFF"/>
          <w:lang w:bidi="ar"/>
          <w14:textFill>
            <w14:solidFill>
              <w14:schemeClr w14:val="tx1"/>
            </w14:solidFill>
          </w14:textFill>
        </w:rPr>
        <w:t>无法避让，需占用耕地（和永久基本农田）。</w:t>
      </w:r>
      <w:r>
        <w:rPr>
          <w:rFonts w:hint="eastAsia" w:eastAsia="仿宋_GB2312"/>
          <w:color w:val="000000" w:themeColor="text1"/>
          <w:sz w:val="32"/>
          <w:szCs w:val="32"/>
          <w14:textFill>
            <w14:solidFill>
              <w14:schemeClr w14:val="tx1"/>
            </w14:solidFill>
          </w14:textFill>
        </w:rPr>
        <w:t>该临时用地各用地功能分区和总规模用地合理，采用的工程技术比较先进可行，符合节约集约用地的要求，复垦方案损毁土地的分析预测科学，土地复垦目标、任务和利用方向合理，措施可行，土地复垦费用测算合理，预存与使用计划清晰并符合相关规定要求，土地复垦计划安排科学、保障措施可行。　　</w:t>
      </w:r>
    </w:p>
    <w:p w14:paraId="24D56B27">
      <w:pPr>
        <w:widowControl/>
        <w:shd w:val="clear" w:color="auto" w:fill="FFFFFF"/>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按要求出具评审论证意见，同意该临时用地项目选址和土地复垦方案。</w:t>
      </w:r>
    </w:p>
    <w:p w14:paraId="3D7BF63E">
      <w:pPr>
        <w:widowControl/>
        <w:shd w:val="clear" w:color="auto" w:fill="FFFFFF"/>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三、该临时用地项目动工前应按照《土地复垦条例实施办法》和《自然资源部农业农村部关于加强和改进永久基本农田保护工作的通知》要求，及时组织开展耕作层土壤剥离。</w:t>
      </w:r>
    </w:p>
    <w:p w14:paraId="012CC15B">
      <w:pPr>
        <w:widowControl/>
        <w:shd w:val="clear" w:color="auto" w:fill="FFFFFF"/>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按规定足额预存土地复垦费用、支付临时用地补偿和耕地占用税等相关费用。</w:t>
      </w:r>
    </w:p>
    <w:p w14:paraId="19228D35">
      <w:pPr>
        <w:widowControl/>
        <w:shd w:val="clear" w:color="auto" w:fill="FFFFFF"/>
        <w:ind w:firstLine="640" w:firstLineChars="200"/>
        <w:jc w:val="lef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四、依据《自然资源部关于规范临时用地管理的通知》的规定，该临时用地项目有效期为</w:t>
      </w: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年，</w:t>
      </w:r>
      <w:bookmarkStart w:id="0" w:name="wBlRqDx"/>
      <w:r>
        <w:rPr>
          <w:rFonts w:hint="eastAsia" w:eastAsia="仿宋_GB2312"/>
          <w:color w:val="000000" w:themeColor="text1"/>
          <w:sz w:val="32"/>
          <w:szCs w:val="32"/>
          <w:lang w:eastAsia="zh-CN"/>
          <w14:textFill>
            <w14:solidFill>
              <w14:schemeClr w14:val="tx1"/>
            </w14:solidFill>
          </w14:textFill>
        </w:rPr>
        <w:t>具体以临时用地规划许可期限为准。</w:t>
      </w:r>
    </w:p>
    <w:p w14:paraId="5FC5A310">
      <w:pPr>
        <w:widowControl/>
        <w:shd w:val="clear" w:color="auto" w:fill="FFFFFF"/>
        <w:ind w:firstLine="640" w:firstLineChars="200"/>
        <w:jc w:val="left"/>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临时用地批准后你单位应严格按临时用地审批方案使用土地，不得擅自改变临时用地用途、扩大用地规模、改变建（构）筑层次及项目建设方案。临时用地</w:t>
      </w:r>
      <w:r>
        <w:rPr>
          <w:rFonts w:hint="eastAsia" w:ascii="仿宋" w:hAnsi="仿宋" w:eastAsia="仿宋" w:cs="仿宋"/>
          <w:color w:val="000000" w:themeColor="text1"/>
          <w:sz w:val="32"/>
          <w:szCs w:val="32"/>
          <w:shd w:val="clear" w:color="auto" w:fill="FFFFFF"/>
          <w14:textFill>
            <w14:solidFill>
              <w14:schemeClr w14:val="tx1"/>
            </w14:solidFill>
          </w14:textFill>
        </w:rPr>
        <w:t>使用期限届满后，你单位应当及时退出占用的土地，自行拆除临时建设并在一年内落实土地复垦责任。</w:t>
      </w:r>
      <w:r>
        <w:rPr>
          <w:rFonts w:hint="eastAsia"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 xml:space="preserve">       </w:t>
      </w:r>
    </w:p>
    <w:p w14:paraId="51141E1B">
      <w:pPr>
        <w:widowControl/>
        <w:shd w:val="clear" w:color="auto" w:fill="FFFFFF"/>
        <w:ind w:firstLine="3520" w:firstLineChars="11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台州市自然资源和规划局</w:t>
      </w:r>
      <w:bookmarkEnd w:id="0"/>
      <w:r>
        <w:rPr>
          <w:rFonts w:hint="eastAsia" w:eastAsia="仿宋_GB2312"/>
          <w:color w:val="000000" w:themeColor="text1"/>
          <w:sz w:val="32"/>
          <w:szCs w:val="32"/>
          <w14:textFill>
            <w14:solidFill>
              <w14:schemeClr w14:val="tx1"/>
            </w14:solidFill>
          </w14:textFill>
        </w:rPr>
        <w:t xml:space="preserve">（盖章）                                           </w:t>
      </w:r>
    </w:p>
    <w:p w14:paraId="4CE38A9D">
      <w:pPr>
        <w:spacing w:line="600" w:lineRule="exact"/>
        <w:ind w:firstLine="640" w:firstLineChars="200"/>
        <w:jc w:val="right"/>
        <w:rPr>
          <w:color w:val="000000" w:themeColor="text1"/>
          <w14:textFill>
            <w14:solidFill>
              <w14:schemeClr w14:val="tx1"/>
            </w14:solidFill>
          </w14:textFill>
        </w:rPr>
      </w:pPr>
      <w:r>
        <w:rPr>
          <w:rFonts w:hint="eastAsia" w:eastAsia="仿宋_GB2312"/>
          <w:color w:val="000000" w:themeColor="text1"/>
          <w:sz w:val="32"/>
          <w:szCs w:val="32"/>
          <w14:textFill>
            <w14:solidFill>
              <w14:schemeClr w14:val="tx1"/>
            </w14:solidFill>
          </w14:textFill>
        </w:rPr>
        <w:t>XX年XX月</w:t>
      </w:r>
      <w:r>
        <w:rPr>
          <w:rFonts w:eastAsia="仿宋_GB2312"/>
          <w:color w:val="000000" w:themeColor="text1"/>
          <w:sz w:val="32"/>
          <w:szCs w:val="32"/>
          <w14:textFill>
            <w14:solidFill>
              <w14:schemeClr w14:val="tx1"/>
            </w14:solidFill>
          </w14:textFill>
        </w:rPr>
        <w:t>XX</w:t>
      </w:r>
      <w:r>
        <w:rPr>
          <w:rFonts w:hint="eastAsia" w:eastAsia="仿宋_GB2312"/>
          <w:color w:val="000000" w:themeColor="text1"/>
          <w:sz w:val="32"/>
          <w:szCs w:val="32"/>
          <w14:textFill>
            <w14:solidFill>
              <w14:schemeClr w14:val="tx1"/>
            </w14:solidFill>
          </w14:textFill>
        </w:rPr>
        <w:t>日</w:t>
      </w:r>
    </w:p>
    <w:p w14:paraId="2CA79369">
      <w:pPr>
        <w:keepNext w:val="0"/>
        <w:keepLines w:val="0"/>
        <w:widowControl/>
        <w:suppressLineNumbers w:val="0"/>
        <w:ind w:firstLine="640" w:firstLineChars="200"/>
        <w:jc w:val="left"/>
        <w:rPr>
          <w:rFonts w:hint="eastAsia" w:ascii="Times New Roman" w:hAnsi="Times New Roman" w:eastAsia="仿宋_GB2312" w:cs="Times New Roman"/>
          <w:kern w:val="0"/>
          <w:sz w:val="32"/>
          <w:szCs w:val="32"/>
          <w:highlight w:val="none"/>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1E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CBC6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CBC6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71385"/>
    <w:multiLevelType w:val="multilevel"/>
    <w:tmpl w:val="3DE7138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YWI2OGM0MTcxMTIyMmE2YzQ5N2Q4NWRlYTVhMjMifQ=="/>
  </w:docVars>
  <w:rsids>
    <w:rsidRoot w:val="55225D05"/>
    <w:rsid w:val="00082600"/>
    <w:rsid w:val="000859A2"/>
    <w:rsid w:val="001459B3"/>
    <w:rsid w:val="001B2A76"/>
    <w:rsid w:val="001F5948"/>
    <w:rsid w:val="00215BAC"/>
    <w:rsid w:val="002902CA"/>
    <w:rsid w:val="00342274"/>
    <w:rsid w:val="00395A2A"/>
    <w:rsid w:val="00397E4C"/>
    <w:rsid w:val="00410A22"/>
    <w:rsid w:val="004546DC"/>
    <w:rsid w:val="004A145E"/>
    <w:rsid w:val="00573265"/>
    <w:rsid w:val="00606A3F"/>
    <w:rsid w:val="0062606D"/>
    <w:rsid w:val="006A2CDF"/>
    <w:rsid w:val="007A3337"/>
    <w:rsid w:val="007B01FC"/>
    <w:rsid w:val="008632E0"/>
    <w:rsid w:val="008E209E"/>
    <w:rsid w:val="009B4422"/>
    <w:rsid w:val="00A57B00"/>
    <w:rsid w:val="00AE610F"/>
    <w:rsid w:val="00B861EA"/>
    <w:rsid w:val="00BF0059"/>
    <w:rsid w:val="00C17032"/>
    <w:rsid w:val="00C26354"/>
    <w:rsid w:val="00C33BB7"/>
    <w:rsid w:val="00DC0A56"/>
    <w:rsid w:val="00DC5850"/>
    <w:rsid w:val="00DE57D4"/>
    <w:rsid w:val="00E60CB3"/>
    <w:rsid w:val="00E7343F"/>
    <w:rsid w:val="00EA4E44"/>
    <w:rsid w:val="00EC4356"/>
    <w:rsid w:val="00F2024F"/>
    <w:rsid w:val="00F83DBB"/>
    <w:rsid w:val="00FA4C20"/>
    <w:rsid w:val="03E232B1"/>
    <w:rsid w:val="056D4D34"/>
    <w:rsid w:val="07A62FF9"/>
    <w:rsid w:val="0ED2327E"/>
    <w:rsid w:val="0F5E109D"/>
    <w:rsid w:val="0F5F23D4"/>
    <w:rsid w:val="0F945EA5"/>
    <w:rsid w:val="105D2224"/>
    <w:rsid w:val="159E57DB"/>
    <w:rsid w:val="17E10869"/>
    <w:rsid w:val="18710A2B"/>
    <w:rsid w:val="19017C69"/>
    <w:rsid w:val="1B0544A6"/>
    <w:rsid w:val="1B125078"/>
    <w:rsid w:val="1E2E5707"/>
    <w:rsid w:val="23457394"/>
    <w:rsid w:val="252B6B10"/>
    <w:rsid w:val="2AAD37D6"/>
    <w:rsid w:val="2B0D741C"/>
    <w:rsid w:val="2D820F2A"/>
    <w:rsid w:val="320A22B0"/>
    <w:rsid w:val="36B90142"/>
    <w:rsid w:val="3A70464D"/>
    <w:rsid w:val="3B8E0DCF"/>
    <w:rsid w:val="3DCC2253"/>
    <w:rsid w:val="3E0B1CB6"/>
    <w:rsid w:val="3E5634D8"/>
    <w:rsid w:val="3F9627CF"/>
    <w:rsid w:val="40C63432"/>
    <w:rsid w:val="41025794"/>
    <w:rsid w:val="425A5A6C"/>
    <w:rsid w:val="43AF402A"/>
    <w:rsid w:val="46A37DC5"/>
    <w:rsid w:val="46C835FA"/>
    <w:rsid w:val="474B70F5"/>
    <w:rsid w:val="476B144E"/>
    <w:rsid w:val="49A0777C"/>
    <w:rsid w:val="4CD53DBF"/>
    <w:rsid w:val="4E524532"/>
    <w:rsid w:val="52D45EBF"/>
    <w:rsid w:val="537C71AC"/>
    <w:rsid w:val="551C17EC"/>
    <w:rsid w:val="55225D05"/>
    <w:rsid w:val="56B8190E"/>
    <w:rsid w:val="5F972E7A"/>
    <w:rsid w:val="60BA037A"/>
    <w:rsid w:val="61991FD6"/>
    <w:rsid w:val="65645C03"/>
    <w:rsid w:val="69AB4DD4"/>
    <w:rsid w:val="69E274D0"/>
    <w:rsid w:val="6A0626AA"/>
    <w:rsid w:val="6A0F5541"/>
    <w:rsid w:val="6B2B5208"/>
    <w:rsid w:val="6B533407"/>
    <w:rsid w:val="6D775C01"/>
    <w:rsid w:val="6F6C19EE"/>
    <w:rsid w:val="71D83DB4"/>
    <w:rsid w:val="75FF1D46"/>
    <w:rsid w:val="78651343"/>
    <w:rsid w:val="7A881F10"/>
    <w:rsid w:val="7D89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val="0"/>
      <w:spacing w:after="0"/>
      <w:jc w:val="both"/>
    </w:pPr>
    <w:rPr>
      <w:rFonts w:ascii="Calibri" w:hAnsi="Calibri"/>
      <w:kern w:val="2"/>
    </w:rPr>
  </w:style>
  <w:style w:type="paragraph" w:styleId="3">
    <w:name w:val="Body Text"/>
    <w:basedOn w:val="1"/>
    <w:next w:val="4"/>
    <w:unhideWhenUsed/>
    <w:qFormat/>
    <w:uiPriority w:val="99"/>
    <w:pPr>
      <w:spacing w:after="120"/>
    </w:pPr>
  </w:style>
  <w:style w:type="paragraph" w:customStyle="1" w:styleId="4">
    <w:name w:val="引用1"/>
    <w:basedOn w:val="1"/>
    <w:next w:val="1"/>
    <w:qFormat/>
    <w:uiPriority w:val="99"/>
    <w:pPr>
      <w:spacing w:before="200" w:after="160"/>
      <w:ind w:left="864" w:right="864"/>
      <w:jc w:val="center"/>
    </w:pPr>
    <w:rPr>
      <w:i/>
      <w:iCs/>
      <w:color w:val="3F3F3F"/>
    </w:rPr>
  </w:style>
  <w:style w:type="paragraph" w:styleId="5">
    <w:name w:val="annotation text"/>
    <w:basedOn w:val="1"/>
    <w:link w:val="32"/>
    <w:qFormat/>
    <w:uiPriority w:val="0"/>
    <w:pPr>
      <w:jc w:val="left"/>
    </w:pPr>
  </w:style>
  <w:style w:type="paragraph" w:styleId="6">
    <w:name w:val="Balloon Text"/>
    <w:basedOn w:val="1"/>
    <w:link w:val="3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33"/>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800080"/>
      <w:u w:val="single"/>
    </w:rPr>
  </w:style>
  <w:style w:type="character" w:styleId="15">
    <w:name w:val="Emphasis"/>
    <w:basedOn w:val="13"/>
    <w:qFormat/>
    <w:uiPriority w:val="0"/>
    <w:rPr>
      <w:i/>
      <w:color w:val="FF0000"/>
    </w:rPr>
  </w:style>
  <w:style w:type="character" w:styleId="16">
    <w:name w:val="Hyperlink"/>
    <w:basedOn w:val="13"/>
    <w:qFormat/>
    <w:uiPriority w:val="0"/>
    <w:rPr>
      <w:color w:val="0000FF"/>
      <w:u w:val="single"/>
    </w:rPr>
  </w:style>
  <w:style w:type="character" w:styleId="17">
    <w:name w:val="annotation reference"/>
    <w:basedOn w:val="13"/>
    <w:uiPriority w:val="0"/>
    <w:rPr>
      <w:sz w:val="21"/>
      <w:szCs w:val="21"/>
    </w:rPr>
  </w:style>
  <w:style w:type="character" w:customStyle="1" w:styleId="18">
    <w:name w:val="页眉 Char"/>
    <w:basedOn w:val="13"/>
    <w:link w:val="8"/>
    <w:qFormat/>
    <w:uiPriority w:val="0"/>
    <w:rPr>
      <w:rFonts w:asciiTheme="minorHAnsi" w:hAnsiTheme="minorHAnsi" w:eastAsiaTheme="minorEastAsia" w:cstheme="minorBidi"/>
      <w:kern w:val="2"/>
      <w:sz w:val="18"/>
      <w:szCs w:val="18"/>
    </w:rPr>
  </w:style>
  <w:style w:type="character" w:customStyle="1" w:styleId="19">
    <w:name w:val="页脚 Char"/>
    <w:basedOn w:val="13"/>
    <w:link w:val="7"/>
    <w:qFormat/>
    <w:uiPriority w:val="0"/>
    <w:rPr>
      <w:rFonts w:asciiTheme="minorHAnsi" w:hAnsiTheme="minorHAnsi" w:eastAsiaTheme="minorEastAsia" w:cstheme="minorBidi"/>
      <w:kern w:val="2"/>
      <w:sz w:val="18"/>
      <w:szCs w:val="18"/>
    </w:rPr>
  </w:style>
  <w:style w:type="character" w:customStyle="1" w:styleId="20">
    <w:name w:val="l-btn-icon-left"/>
    <w:basedOn w:val="13"/>
    <w:qFormat/>
    <w:uiPriority w:val="0"/>
  </w:style>
  <w:style w:type="character" w:customStyle="1" w:styleId="21">
    <w:name w:val="l-btn-empty"/>
    <w:basedOn w:val="13"/>
    <w:qFormat/>
    <w:uiPriority w:val="0"/>
  </w:style>
  <w:style w:type="character" w:customStyle="1" w:styleId="22">
    <w:name w:val="l-btn-left"/>
    <w:basedOn w:val="13"/>
    <w:qFormat/>
    <w:uiPriority w:val="0"/>
  </w:style>
  <w:style w:type="character" w:customStyle="1" w:styleId="23">
    <w:name w:val="l-btn-left1"/>
    <w:basedOn w:val="13"/>
    <w:qFormat/>
    <w:uiPriority w:val="0"/>
  </w:style>
  <w:style w:type="character" w:customStyle="1" w:styleId="24">
    <w:name w:val="l-btn-left2"/>
    <w:basedOn w:val="13"/>
    <w:qFormat/>
    <w:uiPriority w:val="0"/>
  </w:style>
  <w:style w:type="character" w:customStyle="1" w:styleId="25">
    <w:name w:val="l-btn-left3"/>
    <w:basedOn w:val="13"/>
    <w:qFormat/>
    <w:uiPriority w:val="0"/>
  </w:style>
  <w:style w:type="character" w:customStyle="1" w:styleId="26">
    <w:name w:val="l-btn-left4"/>
    <w:basedOn w:val="13"/>
    <w:qFormat/>
    <w:uiPriority w:val="0"/>
  </w:style>
  <w:style w:type="character" w:customStyle="1" w:styleId="27">
    <w:name w:val="l-btn-text"/>
    <w:basedOn w:val="13"/>
    <w:qFormat/>
    <w:uiPriority w:val="0"/>
    <w:rPr>
      <w:sz w:val="18"/>
      <w:szCs w:val="18"/>
    </w:rPr>
  </w:style>
  <w:style w:type="character" w:customStyle="1" w:styleId="28">
    <w:name w:val="l-btn-text1"/>
    <w:basedOn w:val="13"/>
    <w:qFormat/>
    <w:uiPriority w:val="0"/>
  </w:style>
  <w:style w:type="character" w:customStyle="1" w:styleId="29">
    <w:name w:val="l-btn-icon-right"/>
    <w:basedOn w:val="13"/>
    <w:qFormat/>
    <w:uiPriority w:val="0"/>
  </w:style>
  <w:style w:type="character" w:customStyle="1" w:styleId="30">
    <w:name w:val="批注框文本 Char"/>
    <w:basedOn w:val="13"/>
    <w:link w:val="6"/>
    <w:qFormat/>
    <w:uiPriority w:val="0"/>
    <w:rPr>
      <w:rFonts w:asciiTheme="minorHAnsi" w:hAnsiTheme="minorHAnsi" w:eastAsiaTheme="minorEastAsia" w:cstheme="minorBidi"/>
      <w:kern w:val="2"/>
      <w:sz w:val="18"/>
      <w:szCs w:val="18"/>
    </w:rPr>
  </w:style>
  <w:style w:type="paragraph" w:styleId="31">
    <w:name w:val="List Paragraph"/>
    <w:basedOn w:val="1"/>
    <w:qFormat/>
    <w:uiPriority w:val="99"/>
    <w:pPr>
      <w:ind w:firstLine="420" w:firstLineChars="200"/>
    </w:pPr>
  </w:style>
  <w:style w:type="character" w:customStyle="1" w:styleId="32">
    <w:name w:val="批注文字 Char"/>
    <w:basedOn w:val="13"/>
    <w:link w:val="5"/>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0"/>
    <w:qFormat/>
    <w:uiPriority w:val="0"/>
    <w:rPr>
      <w:rFonts w:asciiTheme="minorHAnsi" w:hAnsiTheme="minorHAnsi" w:eastAsiaTheme="minorEastAsia" w:cstheme="minorBidi"/>
      <w:b/>
      <w:bCs/>
      <w:kern w:val="2"/>
      <w:sz w:val="21"/>
      <w:szCs w:val="24"/>
    </w:rPr>
  </w:style>
  <w:style w:type="paragraph" w:customStyle="1" w:styleId="34">
    <w:name w:val="*正文"/>
    <w:basedOn w:val="1"/>
    <w:qFormat/>
    <w:uiPriority w:val="0"/>
    <w:pPr>
      <w:widowControl w:val="0"/>
      <w:jc w:val="both"/>
    </w:pPr>
    <w:rPr>
      <w:rFonts w:eastAsia="宋体"/>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台州市国土资源局</Company>
  <Pages>18</Pages>
  <Words>4811</Words>
  <Characters>4853</Characters>
  <Lines>34</Lines>
  <Paragraphs>9</Paragraphs>
  <TotalTime>1</TotalTime>
  <ScaleCrop>false</ScaleCrop>
  <LinksUpToDate>false</LinksUpToDate>
  <CharactersWithSpaces>4866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2024-06-19T07:30:00Z</dcterms:created>
  <dc:creator>sz</dc:creator>
  <cp:lastModifiedBy>施展</cp:lastModifiedBy>
  <cp:lastPrinted>2024-09-29T07:08:47Z</cp:lastPrinted>
  <dcterms:modified xsi:type="dcterms:W3CDTF">2024-09-29T08:25:32Z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EB5A3D30799341F5BCC3CDC236B1F134_13</vt:lpwstr>
  </property>
</Properties>
</file>