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《关于进一步优化住宅物业保修金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使用的通知》的起草说明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  <w:t>一、起草的背景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为了更好地合法、合理、规范使用物业保修金，保障业主的合法权益，进一步完善物业保修金使用的申请流程，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解决保修金使用不规范、不畅通问题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，结合本市实际，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起草了本通知。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  <w:t>二、起草依据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浙江省物业管理条例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《浙江省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住宅物业保修金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管理办法》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金华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住宅物业保修金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  <w:t>三、起草过程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金华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住宅物业保修金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的基础上，结合本市实际，形成公开征求意见稿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黑体" w:cs="黑体"/>
          <w:b w:val="0"/>
          <w:bCs w:val="0"/>
          <w:caps w:val="0"/>
          <w:color w:val="000000"/>
          <w:spacing w:val="0"/>
          <w:kern w:val="0"/>
          <w:sz w:val="32"/>
          <w:szCs w:val="32"/>
          <w:lang w:val="en-US" w:eastAsia="zh-CN" w:bidi="ar"/>
          <w14:ligatures w14:val="standardContextual"/>
        </w:rPr>
        <w:t>四、主要内容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本通知包括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" w:eastAsia="zh-CN"/>
        </w:rPr>
        <w:t>保修申请人，启动使用保修金条件，保修金使用流程，其他事项和附件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等共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个方面内容。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1.保修请求人：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明确了保修请求人的两种形式。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成立业主委员会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（物业管理委员会，下同）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的，业主委员会</w:t>
      </w:r>
      <w:r>
        <w:rPr>
          <w:rFonts w:hint="default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为保修请求人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未成立业主委员会的，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居（村）民委员会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default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保修请求人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firstLine="643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2.启动使用保修金条件：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规定了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  <w14:ligatures w14:val="none"/>
        </w:rPr>
        <w:t>启动使用保修金的条件，包括在物业保修范围和保修期限内，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  <w14:ligatures w14:val="none"/>
        </w:rPr>
        <w:t>建设单位因歇业、破产等原因无法履行保修责任的情况。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  <w14:ligatures w14:val="standardContextual"/>
        </w:rPr>
        <w:t>3.保修金使用流程：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明确了保修金的申请使用流程。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  <w14:ligatures w14:val="standardContextual"/>
        </w:rPr>
        <w:t>4.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  <w14:ligatures w14:val="standardContextual"/>
        </w:rPr>
        <w:t>其他事项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  <w14:ligatures w14:val="standardContextual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明确了物业主管部门、镇乡街道、业主委员会或居（村）民委员的职责和工作要求。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  <w14:ligatures w14:val="standardContextual"/>
        </w:rPr>
        <w:t>5.附件：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"/>
          <w14:ligatures w14:val="standardContextual"/>
        </w:rPr>
        <w:t>明确了物业保修金使用申请书、关于申请使用物业保修金公示、</w:t>
      </w:r>
      <w:r>
        <w:rPr>
          <w:rFonts w:hint="eastAsia" w:ascii="Times New Roman" w:hAnsi="Times New Roman" w:eastAsia="仿宋_GB2312" w:cs="Times New Roman"/>
          <w:vanish w:val="0"/>
          <w:w w:val="100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vanish w:val="0"/>
          <w:w w:val="1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vanish w:val="0"/>
          <w:w w:val="100"/>
          <w:sz w:val="32"/>
          <w:szCs w:val="32"/>
          <w:u w:val="none"/>
          <w:lang w:val="en-US" w:eastAsia="zh-CN"/>
        </w:rPr>
        <w:t>物业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"/>
          <w14:ligatures w14:val="standardContextual"/>
        </w:rPr>
        <w:t>保修金使用批前公示、《限期履行保修义务通知书》送达公告、关于要求履行保修义务通知书送达公告等五个模板。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  <w14:ligatures w14:val="none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东阳市住房和城乡建设局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2025年6月19日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182C"/>
    <w:rsid w:val="1A044B56"/>
    <w:rsid w:val="FF7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2025-06-19T14:32:00Z</dcterms:created>
  <dc:creator>慵懒在山谷中的云</dc:creator>
  <cp:lastModifiedBy>王倩</cp:lastModifiedBy>
  <dcterms:modified xsi:type="dcterms:W3CDTF">2025-06-19T07:23:00Z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7A8C13A22DE6BD88E7AE5368ED20830D_41</vt:lpwstr>
  </property>
</Properties>
</file>