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center"/>
        <w:rPr>
          <w:rStyle w:val="0"/>
          <w:rFonts w:ascii="Times New Roman" w:eastAsia="方正小标宋简体" w:hAnsi="Times New Roman"/>
          <w:bCs/>
          <w:sz w:val="44"/>
          <w:szCs w:val="44"/>
          <w:shd w:val="clear" w:color="auto" w:fill="auto"/>
        </w:rPr>
      </w:pPr>
      <w:r>
        <w:rPr>
          <w:rStyle w:val="0"/>
          <w:rFonts w:ascii="Times New Roman" w:eastAsia="方正小标宋简体" w:hAnsi="Times New Roman"/>
          <w:bCs/>
          <w:sz w:val="44"/>
          <w:szCs w:val="44"/>
          <w:shd w:val="clear" w:color="auto" w:fill="auto"/>
        </w:rPr>
        <w:t>《兰溪市乡村振兴支持政策二十条》</w:t>
      </w:r>
    </w:p>
    <w:p>
      <w:pPr>
        <w:spacing w:line="560" w:lineRule="exact"/>
        <w:jc w:val="center"/>
        <w:rPr>
          <w:rStyle w:val="0"/>
          <w:rFonts w:ascii="Times New Roman" w:eastAsia="方正小标宋简体" w:hAnsi="Times New Roman"/>
          <w:bCs/>
          <w:sz w:val="44"/>
          <w:szCs w:val="44"/>
          <w:shd w:val="clear" w:color="auto" w:fill="auto"/>
        </w:rPr>
      </w:pPr>
      <w:r>
        <w:rPr>
          <w:rStyle w:val="0"/>
          <w:rFonts w:ascii="Times New Roman" w:eastAsia="方正小标宋简体" w:hAnsi="Times New Roman"/>
          <w:bCs/>
          <w:sz w:val="44"/>
          <w:szCs w:val="44"/>
          <w:shd w:val="clear" w:color="auto" w:fill="auto"/>
        </w:rPr>
        <w:t>起草</w:t>
      </w:r>
      <w:bookmarkStart w:id="0" w:name="_GoBack"/>
      <w:bookmarkEnd w:id="0"/>
      <w:r>
        <w:rPr>
          <w:rStyle w:val="0"/>
          <w:rFonts w:ascii="Times New Roman" w:eastAsia="方正小标宋简体" w:hAnsi="Times New Roman"/>
          <w:bCs/>
          <w:sz w:val="44"/>
          <w:szCs w:val="44"/>
          <w:shd w:val="clear" w:color="auto" w:fill="auto"/>
        </w:rPr>
        <w:t>说明</w:t>
      </w:r>
    </w:p>
    <w:p>
      <w:pPr>
        <w:spacing w:line="560" w:lineRule="exact"/>
        <w:jc w:val="both"/>
        <w:rPr>
          <w:rStyle w:val="0"/>
          <w:rFonts w:ascii="Times New Roman" w:eastAsia="方正小标宋简体" w:hAnsi="Times New Roman"/>
          <w:bCs/>
          <w:sz w:val="44"/>
          <w:szCs w:val="44"/>
          <w:shd w:val="clear" w:color="auto" w:fill="auto"/>
        </w:rPr>
      </w:pPr>
    </w:p>
    <w:p>
      <w:pPr>
        <w:pStyle w:val="20"/>
        <w:spacing w:line="560" w:lineRule="exact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一、制定依据说明</w:t>
      </w:r>
    </w:p>
    <w:p>
      <w:pPr>
        <w:spacing w:line="560" w:lineRule="exact"/>
        <w:ind w:firstLineChars="200" w:firstLine="640"/>
        <w:jc w:val="both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根据</w:t>
      </w:r>
      <w:r>
        <w:rPr>
          <w:rFonts w:ascii="Times New Roman" w:eastAsia="仿宋_GB2312" w:hAnsi="Times New Roman"/>
          <w:kern w:val="2"/>
          <w:sz w:val="32"/>
          <w:szCs w:val="32"/>
          <w:lang w:val="en-US" w:eastAsia="zh-CN"/>
        </w:rPr>
        <w:t>《</w:t>
      </w:r>
      <w:r>
        <w:rPr>
          <w:rFonts w:ascii="Times New Roman" w:eastAsia="仿宋_GB2312" w:hAnsi="Times New Roman"/>
          <w:kern w:val="2"/>
          <w:sz w:val="32"/>
          <w:szCs w:val="32"/>
          <w:lang w:val="en-US" w:eastAsia="zh-CN" w:bidi="ar-SA"/>
        </w:rPr>
        <w:t>浙</w:t>
      </w:r>
      <w:r>
        <w:rPr>
          <w:rFonts w:ascii="Times New Roman" w:eastAsia="仿宋_GB2312" w:hAnsi="Times New Roman"/>
          <w:kern w:val="2"/>
          <w:sz w:val="32"/>
          <w:szCs w:val="32"/>
        </w:rPr>
        <w:t>江省人民政府办公厅关于印发</w:t>
      </w:r>
      <w:r>
        <w:rPr>
          <w:rFonts w:ascii="Times New Roman" w:eastAsia="仿宋_GB2312" w:hAnsi="Times New Roman"/>
          <w:kern w:val="2"/>
          <w:sz w:val="32"/>
          <w:szCs w:val="32"/>
          <w:highlight w:val="auto"/>
        </w:rPr>
        <w:t>乡村振兴支持政策二十条</w:t>
      </w:r>
      <w:r>
        <w:rPr>
          <w:rFonts w:ascii="Times New Roman" w:eastAsia="仿宋_GB2312" w:hAnsi="Times New Roman"/>
          <w:kern w:val="2"/>
          <w:sz w:val="32"/>
          <w:szCs w:val="32"/>
          <w:lang w:val="en-US" w:eastAsia="zh-CN"/>
        </w:rPr>
        <w:t>的通知》（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auto"/>
        </w:rPr>
        <w:t>浙政办发〔2023〕19号</w:t>
      </w:r>
      <w:r>
        <w:rPr>
          <w:rFonts w:ascii="Times New Roman" w:eastAsia="仿宋_GB2312" w:hAnsi="Times New Roman"/>
          <w:kern w:val="2"/>
          <w:sz w:val="32"/>
          <w:szCs w:val="32"/>
          <w:lang w:val="en-US" w:eastAsia="zh-CN"/>
        </w:rPr>
        <w:t>）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auto"/>
          <w:highlight w:val="auto"/>
        </w:rPr>
        <w:t>《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auto"/>
        </w:rPr>
        <w:t>金华市人民政府办公室关于印发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auto"/>
          <w:highlight w:val="auto"/>
        </w:rPr>
        <w:t>乡村振兴支持政策三十条的通知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auto"/>
          <w:highlight w:val="auto"/>
        </w:rPr>
        <w:t>》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auto"/>
          <w:highlight w:val="auto"/>
        </w:rPr>
        <w:t>（金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auto"/>
        </w:rPr>
        <w:t>政办发〔2023〕41号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auto"/>
          <w:highlight w:val="auto"/>
        </w:rPr>
        <w:t>）</w:t>
      </w:r>
      <w:r>
        <w:rPr>
          <w:rFonts w:ascii="Times New Roman" w:eastAsia="仿宋_GB2312" w:hAnsi="Times New Roman"/>
          <w:sz w:val="32"/>
          <w:szCs w:val="32"/>
        </w:rPr>
        <w:t>等文件精神，结合我市实际，制定《二十条》</w:t>
      </w:r>
      <w:r>
        <w:rPr>
          <w:rFonts w:ascii="Times New Roman" w:eastAsia="仿宋_GB2312" w:hAnsi="Times New Roman"/>
          <w:sz w:val="32"/>
          <w:szCs w:val="40"/>
        </w:rPr>
        <w:t>。</w:t>
      </w:r>
    </w:p>
    <w:p>
      <w:pPr>
        <w:spacing w:line="560" w:lineRule="exact"/>
        <w:ind w:firstLine="660"/>
        <w:jc w:val="both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二、制定过程说明</w:t>
      </w:r>
    </w:p>
    <w:p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（一）</w:t>
      </w:r>
      <w:r>
        <w:rPr>
          <w:rFonts w:ascii="Times New Roman" w:eastAsia="楷体_GB2312" w:hAnsi="Times New Roman"/>
          <w:sz w:val="32"/>
          <w:szCs w:val="32"/>
        </w:rPr>
        <w:t>起草情况说明。</w:t>
      </w:r>
      <w:r>
        <w:rPr>
          <w:rFonts w:ascii="Times New Roman" w:eastAsia="仿宋_GB2312" w:hAnsi="Times New Roman"/>
          <w:kern w:val="0"/>
          <w:sz w:val="32"/>
          <w:szCs w:val="32"/>
        </w:rPr>
        <w:t>2023年4月份开始，市农业农村局在前期充分调研的基础上，以相关文件为依据，牵头起草完成了《</w:t>
      </w:r>
      <w:r>
        <w:rPr>
          <w:rFonts w:ascii="Times New Roman" w:eastAsia="仿宋_GB2312" w:hAnsi="Times New Roman"/>
          <w:sz w:val="32"/>
          <w:szCs w:val="32"/>
        </w:rPr>
        <w:t>二十条</w:t>
      </w:r>
      <w:r>
        <w:rPr>
          <w:rFonts w:ascii="Times New Roman" w:eastAsia="仿宋_GB2312" w:hAnsi="Times New Roman"/>
          <w:kern w:val="0"/>
          <w:sz w:val="32"/>
          <w:szCs w:val="32"/>
        </w:rPr>
        <w:t>（征求意见稿）》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60"/>
        <w:jc w:val="both"/>
        <w:rPr>
          <w:rFonts w:ascii="仿宋_GB2312" w:eastAsia="仿宋_GB2312"/>
          <w:color w:val="000000"/>
          <w:sz w:val="32"/>
          <w:szCs w:val="32"/>
          <w:shd w:val="clear" w:color="auto" w:fill="auto"/>
        </w:rPr>
      </w:pPr>
      <w:r>
        <w:rPr>
          <w:rFonts w:ascii="Times New Roman" w:eastAsia="楷体_GB2312" w:hAnsi="Times New Roman"/>
          <w:sz w:val="32"/>
          <w:szCs w:val="32"/>
        </w:rPr>
        <w:t>（二）部门协调情况。</w:t>
      </w:r>
      <w:r>
        <w:rPr>
          <w:rFonts w:ascii="Times New Roman" w:eastAsia="仿宋_GB2312" w:hAnsi="Times New Roman"/>
          <w:sz w:val="32"/>
          <w:szCs w:val="32"/>
        </w:rPr>
        <w:t>2023年4月19日和8月7日，市农业农村局向各个部门征求意见。</w:t>
      </w:r>
      <w:r>
        <w:rPr>
          <w:rFonts w:ascii="Times New Roman" w:eastAsia="仿宋_GB2312" w:hAnsi="Times New Roman"/>
          <w:color w:val="000000"/>
          <w:sz w:val="32"/>
          <w:szCs w:val="32"/>
        </w:rPr>
        <w:t>收到科技局、资规局、水务局、交通运输局、市场监管局、金融办等部门的反馈意见，</w:t>
      </w:r>
      <w:r>
        <w:rPr>
          <w:rFonts w:ascii="Times New Roman" w:eastAsia="仿宋_GB2312" w:hAnsi="Times New Roman"/>
          <w:sz w:val="32"/>
          <w:szCs w:val="32"/>
        </w:rPr>
        <w:t>同时采纳了反馈意见，进行了修改完善。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auto"/>
        </w:rPr>
        <w:t>9月14日，市委办、市府办联合召集相关部门召开协调会，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auto"/>
          <w:lang w:bidi="ar-SA"/>
          <w:highlight w:val="auto"/>
        </w:rPr>
        <w:t>根据反馈情况逐一修改征求意见稿，</w:t>
      </w:r>
      <w:r>
        <w:rPr>
          <w:rFonts w:ascii="仿宋_GB2312" w:eastAsia="仿宋_GB2312" w:cs="仿宋_GB2312"/>
          <w:color w:val="000000"/>
          <w:sz w:val="32"/>
          <w:szCs w:val="32"/>
          <w:lang w:bidi="ar-SA"/>
          <w:highlight w:val="auto"/>
        </w:rPr>
        <w:t>形成</w:t>
      </w:r>
      <w:r>
        <w:rPr>
          <w:rFonts w:ascii="仿宋_GB2312" w:eastAsia="仿宋_GB2312" w:cs="仿宋_GB2312" w:hint="eastAsia"/>
          <w:color w:val="000000"/>
          <w:spacing w:val="0"/>
          <w:sz w:val="32"/>
          <w:szCs w:val="32"/>
          <w:lang w:eastAsia="zh-CN"/>
          <w:highlight w:val="auto"/>
        </w:rPr>
        <w:t>《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lang w:eastAsia="zh-CN"/>
          <w:highlight w:val="auto"/>
        </w:rPr>
        <w:t>二十条</w:t>
      </w:r>
      <w:r>
        <w:rPr>
          <w:rFonts w:ascii="仿宋_GB2312" w:eastAsia="仿宋_GB2312" w:cs="仿宋_GB2312" w:hint="eastAsia"/>
          <w:color w:val="000000"/>
          <w:sz w:val="32"/>
          <w:szCs w:val="32"/>
          <w:lang w:bidi="ar-SA"/>
          <w:highlight w:val="auto"/>
        </w:rPr>
        <w:t>（</w:t>
      </w:r>
      <w:r>
        <w:rPr>
          <w:rFonts w:ascii="仿宋_GB2312" w:eastAsia="仿宋_GB2312" w:cs="仿宋_GB2312"/>
          <w:color w:val="000000"/>
          <w:sz w:val="32"/>
          <w:szCs w:val="32"/>
          <w:lang w:bidi="ar-SA"/>
          <w:highlight w:val="auto"/>
        </w:rPr>
        <w:t>送审稿</w:t>
      </w:r>
      <w:r>
        <w:rPr>
          <w:rFonts w:ascii="仿宋_GB2312" w:eastAsia="仿宋_GB2312" w:cs="仿宋_GB2312" w:hint="eastAsia"/>
          <w:color w:val="000000"/>
          <w:sz w:val="32"/>
          <w:szCs w:val="32"/>
          <w:lang w:bidi="ar-SA"/>
          <w:highlight w:val="auto"/>
        </w:rPr>
        <w:t>）》</w:t>
      </w:r>
      <w:r>
        <w:rPr>
          <w:rFonts w:ascii="仿宋_GB2312" w:eastAsia="仿宋_GB2312" w:cs="仿宋_GB2312"/>
          <w:color w:val="000000"/>
          <w:sz w:val="32"/>
          <w:szCs w:val="32"/>
          <w:lang w:bidi="ar-SA"/>
          <w:highlight w:val="auto"/>
        </w:rPr>
        <w:t>。</w:t>
      </w:r>
    </w:p>
    <w:p>
      <w:pPr>
        <w:wordWrap w:val="0"/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（三）公开征求意见情况。</w:t>
      </w:r>
      <w:r>
        <w:rPr>
          <w:rFonts w:ascii="Times New Roman" w:eastAsia="仿宋_GB2312" w:hAnsi="Times New Roman"/>
          <w:sz w:val="32"/>
          <w:szCs w:val="32"/>
        </w:rPr>
        <w:t>《二十条》已在网上征求意见，具体网址为http://minyi.zjzwfw.gov.cn/dczjnewls/dczj/idea/topic_9410.html。</w:t>
      </w:r>
    </w:p>
    <w:p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40"/>
        </w:rPr>
      </w:pPr>
      <w:r>
        <w:rPr>
          <w:rFonts w:ascii="Times New Roman" w:eastAsia="楷体_GB2312" w:hAnsi="Times New Roman"/>
          <w:sz w:val="32"/>
          <w:szCs w:val="32"/>
        </w:rPr>
        <w:t>（四）起草单位合法性初审情况。</w:t>
      </w:r>
      <w:r>
        <w:rPr>
          <w:rFonts w:ascii="Times New Roman" w:eastAsia="仿宋_GB2312" w:hAnsi="Times New Roman"/>
          <w:sz w:val="32"/>
          <w:szCs w:val="40"/>
        </w:rPr>
        <w:t>《</w:t>
      </w:r>
      <w:r>
        <w:rPr>
          <w:rFonts w:ascii="Times New Roman" w:eastAsia="仿宋_GB2312" w:hAnsi="Times New Roman"/>
          <w:sz w:val="32"/>
          <w:szCs w:val="40"/>
        </w:rPr>
        <w:t>二十条</w:t>
      </w:r>
      <w:r>
        <w:rPr>
          <w:rFonts w:ascii="Times New Roman" w:eastAsia="仿宋_GB2312" w:hAnsi="Times New Roman"/>
          <w:sz w:val="32"/>
          <w:szCs w:val="40"/>
        </w:rPr>
        <w:t>》已于</w:t>
      </w:r>
      <w:r>
        <w:rPr>
          <w:rFonts w:ascii="Times New Roman" w:eastAsia="仿宋_GB2312" w:hAnsi="Times New Roman"/>
          <w:sz w:val="32"/>
          <w:szCs w:val="32"/>
        </w:rPr>
        <w:t>2023年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40"/>
        </w:rPr>
        <w:t>日通过了</w:t>
      </w:r>
      <w:r>
        <w:rPr>
          <w:rFonts w:ascii="Times New Roman" w:eastAsia="仿宋_GB2312" w:hAnsi="Times New Roman"/>
          <w:sz w:val="32"/>
          <w:szCs w:val="40"/>
        </w:rPr>
        <w:t>司法</w:t>
      </w:r>
      <w:r>
        <w:rPr>
          <w:rFonts w:ascii="Times New Roman" w:eastAsia="仿宋_GB2312" w:hAnsi="Times New Roman"/>
          <w:sz w:val="32"/>
          <w:szCs w:val="40"/>
        </w:rPr>
        <w:t>局法规科的合法性审查，提出的审查意见和建议均已采纳。</w:t>
      </w:r>
    </w:p>
    <w:p>
      <w:pPr>
        <w:spacing w:line="560" w:lineRule="exact"/>
        <w:ind w:firstLine="645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（五）常务会议审议情况。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23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日市政府第</w:t>
      </w:r>
      <w:r>
        <w:rPr>
          <w:rFonts w:ascii="Times New Roman" w:eastAsia="仿宋_GB2312" w:hAnsi="Times New Roman"/>
          <w:sz w:val="32"/>
          <w:szCs w:val="32"/>
        </w:rPr>
        <w:t>42</w:t>
      </w:r>
      <w:r>
        <w:rPr>
          <w:rFonts w:ascii="Times New Roman" w:eastAsia="仿宋_GB2312" w:hAnsi="Times New Roman"/>
          <w:sz w:val="32"/>
          <w:szCs w:val="32"/>
        </w:rPr>
        <w:t>次常务会议审议通过《二十条》。</w:t>
      </w:r>
    </w:p>
    <w:p>
      <w:pPr>
        <w:spacing w:line="560" w:lineRule="exact"/>
        <w:ind w:firstLine="645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（六）领导签发、印发时间。</w:t>
      </w:r>
      <w:r>
        <w:rPr>
          <w:rFonts w:ascii="Times New Roman" w:eastAsia="仿宋_GB2312" w:hAnsi="Times New Roman"/>
          <w:sz w:val="32"/>
          <w:szCs w:val="32"/>
        </w:rPr>
        <w:t>《二十条》于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31</w:t>
      </w:r>
      <w:r>
        <w:rPr>
          <w:rFonts w:ascii="Times New Roman" w:eastAsia="仿宋_GB2312" w:hAnsi="Times New Roman"/>
          <w:sz w:val="32"/>
          <w:szCs w:val="32"/>
        </w:rPr>
        <w:t>日由市长</w:t>
      </w:r>
      <w:r>
        <w:rPr>
          <w:rFonts w:ascii="Times New Roman" w:eastAsia="仿宋_GB2312" w:hAnsi="Times New Roman"/>
          <w:sz w:val="32"/>
          <w:szCs w:val="32"/>
        </w:rPr>
        <w:t>朱俊华</w:t>
      </w:r>
      <w:r>
        <w:rPr>
          <w:rFonts w:ascii="Times New Roman" w:eastAsia="仿宋_GB2312" w:hAnsi="Times New Roman"/>
          <w:sz w:val="32"/>
          <w:szCs w:val="32"/>
        </w:rPr>
        <w:t>签发，并于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26</w:t>
      </w:r>
      <w:r>
        <w:rPr>
          <w:rFonts w:ascii="Times New Roman" w:eastAsia="仿宋_GB2312" w:hAnsi="Times New Roman"/>
          <w:sz w:val="32"/>
          <w:szCs w:val="32"/>
        </w:rPr>
        <w:t>日印发。</w:t>
      </w:r>
    </w:p>
    <w:p>
      <w:pPr>
        <w:pStyle w:val="20"/>
        <w:spacing w:line="560" w:lineRule="exact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三、文件主要内容</w:t>
      </w:r>
    </w:p>
    <w:p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本《二十条》主要包括</w:t>
      </w:r>
      <w:r>
        <w:rPr>
          <w:rFonts w:ascii="Times New Roman" w:eastAsia="仿宋_GB2312" w:hAnsi="Times New Roman"/>
          <w:sz w:val="32"/>
          <w:szCs w:val="32"/>
        </w:rPr>
        <w:t>守住</w:t>
      </w:r>
      <w:r>
        <w:rPr>
          <w:rFonts w:ascii="Times New Roman" w:eastAsia="仿宋_GB2312" w:hAnsi="Times New Roman"/>
          <w:bCs/>
          <w:sz w:val="32"/>
          <w:szCs w:val="32"/>
        </w:rPr>
        <w:t>粮食安全</w:t>
      </w:r>
      <w:r>
        <w:rPr>
          <w:rFonts w:ascii="Times New Roman" w:eastAsia="仿宋_GB2312" w:hAnsi="Times New Roman"/>
          <w:bCs/>
          <w:sz w:val="32"/>
          <w:szCs w:val="32"/>
        </w:rPr>
        <w:t>底线</w:t>
      </w:r>
      <w:r>
        <w:rPr>
          <w:rFonts w:ascii="Times New Roman" w:eastAsia="仿宋_GB2312" w:hAnsi="Times New Roman"/>
          <w:bCs/>
          <w:sz w:val="32"/>
          <w:szCs w:val="32"/>
        </w:rPr>
        <w:t>、</w:t>
      </w:r>
      <w:r>
        <w:rPr>
          <w:rFonts w:ascii="Times New Roman" w:eastAsia="仿宋_GB2312" w:hAnsi="Times New Roman"/>
          <w:bCs/>
          <w:sz w:val="32"/>
          <w:szCs w:val="32"/>
        </w:rPr>
        <w:t>深入推进科技强农机械强农行动</w:t>
      </w:r>
      <w:r>
        <w:rPr>
          <w:rFonts w:ascii="Times New Roman" w:eastAsia="仿宋_GB2312" w:hAnsi="Times New Roman"/>
          <w:bCs/>
          <w:sz w:val="32"/>
          <w:szCs w:val="32"/>
        </w:rPr>
        <w:t>、</w:t>
      </w:r>
      <w:r>
        <w:rPr>
          <w:rFonts w:ascii="Times New Roman" w:eastAsia="仿宋_GB2312" w:hAnsi="Times New Roman"/>
          <w:bCs/>
          <w:sz w:val="32"/>
          <w:szCs w:val="32"/>
        </w:rPr>
        <w:t>全面</w:t>
      </w:r>
      <w:r>
        <w:rPr>
          <w:rFonts w:ascii="Times New Roman" w:eastAsia="仿宋_GB2312" w:hAnsi="Times New Roman"/>
          <w:bCs/>
          <w:sz w:val="32"/>
          <w:szCs w:val="32"/>
        </w:rPr>
        <w:t>深化</w:t>
      </w:r>
      <w:r>
        <w:rPr>
          <w:rFonts w:ascii="Times New Roman" w:eastAsia="仿宋_GB2312" w:hAnsi="Times New Roman" w:hint="eastAsia"/>
          <w:bCs/>
          <w:sz w:val="32"/>
          <w:szCs w:val="32"/>
        </w:rPr>
        <w:t>“</w:t>
      </w:r>
      <w:r>
        <w:rPr>
          <w:rFonts w:ascii="Times New Roman" w:eastAsia="仿宋_GB2312" w:hAnsi="Times New Roman"/>
          <w:bCs/>
          <w:sz w:val="32"/>
          <w:szCs w:val="32"/>
        </w:rPr>
        <w:t>千村示范、万村整治</w:t>
      </w:r>
      <w:r>
        <w:rPr>
          <w:rFonts w:ascii="Times New Roman" w:eastAsia="仿宋_GB2312" w:hAnsi="Times New Roman" w:hint="eastAsia"/>
          <w:bCs/>
          <w:sz w:val="32"/>
          <w:szCs w:val="32"/>
        </w:rPr>
        <w:t>”</w:t>
      </w:r>
      <w:r>
        <w:rPr>
          <w:rFonts w:ascii="Times New Roman" w:eastAsia="仿宋_GB2312" w:hAnsi="Times New Roman"/>
          <w:bCs/>
          <w:sz w:val="32"/>
          <w:szCs w:val="32"/>
        </w:rPr>
        <w:t>工程</w:t>
      </w:r>
      <w:r>
        <w:rPr>
          <w:rFonts w:ascii="Times New Roman" w:eastAsia="仿宋_GB2312" w:hAnsi="Times New Roman"/>
          <w:bCs/>
          <w:sz w:val="32"/>
          <w:szCs w:val="32"/>
        </w:rPr>
        <w:t>、</w:t>
      </w:r>
      <w:r>
        <w:rPr>
          <w:rFonts w:ascii="Times New Roman" w:eastAsia="仿宋_GB2312" w:hAnsi="Times New Roman"/>
          <w:bCs/>
          <w:sz w:val="32"/>
          <w:szCs w:val="32"/>
        </w:rPr>
        <w:t>加快推动农业农村</w:t>
      </w:r>
      <w:r>
        <w:rPr>
          <w:rFonts w:ascii="Times New Roman" w:eastAsia="仿宋_GB2312" w:hAnsi="Times New Roman"/>
          <w:bCs/>
          <w:sz w:val="32"/>
          <w:szCs w:val="32"/>
        </w:rPr>
        <w:t>基础设施现代化</w:t>
      </w:r>
      <w:r>
        <w:rPr>
          <w:rFonts w:ascii="Times New Roman" w:eastAsia="仿宋_GB2312" w:hAnsi="Times New Roman"/>
          <w:bCs/>
          <w:sz w:val="32"/>
          <w:szCs w:val="32"/>
        </w:rPr>
        <w:t>先行</w:t>
      </w:r>
      <w:r>
        <w:rPr>
          <w:rFonts w:ascii="Times New Roman" w:eastAsia="仿宋_GB2312" w:hAnsi="Times New Roman"/>
          <w:bCs/>
          <w:sz w:val="32"/>
          <w:szCs w:val="32"/>
        </w:rPr>
        <w:t>和</w:t>
      </w:r>
      <w:r>
        <w:rPr>
          <w:rFonts w:ascii="Times New Roman" w:eastAsia="仿宋_GB2312" w:hAnsi="Times New Roman"/>
          <w:bCs/>
          <w:sz w:val="32"/>
          <w:szCs w:val="32"/>
        </w:rPr>
        <w:t>切实加强</w:t>
      </w:r>
      <w:r>
        <w:rPr>
          <w:rFonts w:ascii="Times New Roman" w:eastAsia="仿宋_GB2312" w:hAnsi="Times New Roman"/>
          <w:bCs/>
          <w:sz w:val="32"/>
          <w:szCs w:val="32"/>
        </w:rPr>
        <w:t>组织保障等五部分内容，共二十条。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560" w:lineRule="exact"/>
        <w:ind w:left="0" w:firstLineChars="200" w:firstLine="640"/>
        <w:jc w:val="both"/>
        <w:rPr>
          <w:rFonts w:ascii="仿宋_GB2312" w:eastAsia="仿宋_GB2312" w:cs="仿宋_GB2312" w:hint="eastAsia"/>
          <w:bCs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bCs w:val="0"/>
          <w:color w:val="000000"/>
          <w:sz w:val="32"/>
          <w:szCs w:val="32"/>
          <w:lang w:eastAsia="zh-CN"/>
        </w:rPr>
        <w:t>（一）</w:t>
      </w:r>
      <w:r>
        <w:rPr>
          <w:rFonts w:ascii="楷体_GB2312" w:eastAsia="楷体_GB2312" w:hint="eastAsia"/>
          <w:b/>
          <w:bCs w:val="0"/>
          <w:color w:val="000000"/>
          <w:sz w:val="32"/>
          <w:szCs w:val="32"/>
        </w:rPr>
        <w:t>守住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粮食安全底线。</w:t>
      </w:r>
      <w:r>
        <w:rPr>
          <w:rFonts w:ascii="仿宋_GB2312" w:eastAsia="仿宋_GB2312" w:cs="仿宋_GB2312" w:hint="eastAsia"/>
          <w:bCs/>
          <w:color w:val="000000"/>
          <w:sz w:val="32"/>
          <w:szCs w:val="32"/>
        </w:rPr>
        <w:t>包括加大高标准农田建设投入、健全种粮农民收益保障机制、提高菜篮子保供能力等</w:t>
      </w:r>
      <w:r>
        <w:rPr>
          <w:rFonts w:ascii="Times New Roman" w:eastAsia="仿宋_GB2312" w:cs="Times New Roman" w:hAnsi="Times New Roman" w:hint="eastAsia"/>
          <w:color w:val="000000"/>
          <w:sz w:val="32"/>
          <w:szCs w:val="32"/>
        </w:rPr>
        <w:t>3</w:t>
      </w:r>
      <w:r>
        <w:rPr>
          <w:rFonts w:ascii="仿宋_GB2312" w:eastAsia="仿宋_GB2312" w:cs="仿宋_GB2312" w:hint="eastAsia"/>
          <w:bCs/>
          <w:color w:val="000000"/>
          <w:sz w:val="32"/>
          <w:szCs w:val="32"/>
        </w:rPr>
        <w:t>条政策。</w:t>
      </w:r>
      <w:r>
        <w:rPr>
          <w:rFonts w:ascii="仿宋_GB2312" w:eastAsia="仿宋_GB2312" w:cs="宋体" w:hint="eastAsia"/>
          <w:sz w:val="32"/>
          <w:szCs w:val="32"/>
          <w:shd w:val="clear" w:color="auto" w:fill="auto"/>
        </w:rPr>
        <w:t>每年新建和改造提升高标准农田1.5万亩，</w:t>
      </w:r>
      <w:r>
        <w:rPr>
          <w:rFonts w:ascii="仿宋_GB2312" w:eastAsia="仿宋_GB2312" w:cs="宋体"/>
          <w:sz w:val="32"/>
          <w:szCs w:val="32"/>
          <w:shd w:val="clear" w:color="auto" w:fill="auto"/>
        </w:rPr>
        <w:t>到</w:t>
      </w:r>
      <w:r>
        <w:rPr>
          <w:rFonts w:ascii="仿宋_GB2312" w:eastAsia="仿宋_GB2312" w:cs="宋体" w:hint="eastAsia"/>
          <w:sz w:val="32"/>
          <w:szCs w:val="32"/>
          <w:shd w:val="clear" w:color="auto" w:fill="auto"/>
        </w:rPr>
        <w:t>2026年，发展“千村万元”林下经济0.36万亩，能繁母猪存栏</w:t>
      </w:r>
      <w:r>
        <w:rPr>
          <w:rFonts w:ascii="仿宋_GB2312" w:eastAsia="仿宋_GB2312" w:cs="宋体"/>
          <w:sz w:val="32"/>
          <w:szCs w:val="32"/>
          <w:shd w:val="clear" w:color="auto" w:fill="auto"/>
        </w:rPr>
        <w:t>稳定在</w:t>
      </w:r>
      <w:r>
        <w:rPr>
          <w:rFonts w:ascii="仿宋_GB2312" w:eastAsia="仿宋_GB2312" w:cs="宋体" w:hint="eastAsia"/>
          <w:sz w:val="32"/>
          <w:szCs w:val="32"/>
          <w:shd w:val="clear" w:color="auto" w:fill="auto"/>
        </w:rPr>
        <w:t>1.9万头，蔬菜播种面积</w:t>
      </w:r>
      <w:r>
        <w:rPr>
          <w:rFonts w:ascii="仿宋_GB2312" w:eastAsia="仿宋_GB2312" w:cs="宋体"/>
          <w:sz w:val="32"/>
          <w:szCs w:val="32"/>
          <w:shd w:val="clear" w:color="auto" w:fill="auto"/>
        </w:rPr>
        <w:t>稳定在</w:t>
      </w:r>
      <w:r>
        <w:rPr>
          <w:rFonts w:ascii="仿宋_GB2312" w:eastAsia="仿宋_GB2312" w:cs="宋体" w:hint="eastAsia"/>
          <w:sz w:val="32"/>
          <w:szCs w:val="32"/>
          <w:shd w:val="clear" w:color="auto" w:fill="auto"/>
        </w:rPr>
        <w:t>10万亩。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560" w:lineRule="exact"/>
        <w:ind w:left="0" w:firstLineChars="200" w:firstLine="640"/>
        <w:jc w:val="both"/>
        <w:rPr>
          <w:rFonts w:asci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  <w:lang w:eastAsia="zh-CN"/>
        </w:rPr>
        <w:t>二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）</w:t>
      </w:r>
      <w:r>
        <w:rPr>
          <w:rFonts w:ascii="黑体" w:eastAsia="黑体" w:cs="仿宋_GB2312" w:hint="eastAsia"/>
          <w:bCs/>
          <w:color w:val="000000"/>
          <w:sz w:val="32"/>
          <w:szCs w:val="32"/>
          <w:shd w:val="clear" w:color="auto" w:fill="auto"/>
        </w:rPr>
        <w:t>深入推进科技强农机械强农行动</w:t>
      </w:r>
      <w:r>
        <w:rPr>
          <w:rFonts w:ascii="黑体" w:eastAsia="黑体" w:cs="仿宋_GB2312" w:hint="eastAsia"/>
          <w:bCs/>
          <w:color w:val="000000"/>
          <w:sz w:val="32"/>
          <w:szCs w:val="32"/>
          <w:shd w:val="clear" w:color="auto" w:fill="auto"/>
          <w:lang w:eastAsia="zh-CN"/>
        </w:rPr>
        <w:t>。</w:t>
      </w:r>
      <w:r>
        <w:rPr>
          <w:rFonts w:ascii="仿宋_GB2312" w:eastAsia="仿宋_GB2312" w:cs="仿宋_GB2312" w:hint="eastAsia"/>
          <w:bCs/>
          <w:color w:val="000000"/>
          <w:sz w:val="32"/>
          <w:szCs w:val="32"/>
        </w:rPr>
        <w:t>包括支持现代种业振兴发展、推进农业关键核心技术攻关、推进丘陵山区农机</w:t>
      </w:r>
      <w:r>
        <w:rPr>
          <w:rFonts w:ascii="仿宋_GB2312" w:eastAsia="仿宋_GB2312" w:cs="仿宋_GB2312"/>
          <w:bCs/>
          <w:color w:val="000000"/>
          <w:sz w:val="32"/>
          <w:szCs w:val="32"/>
        </w:rPr>
        <w:t>示范基地</w:t>
      </w:r>
      <w:r>
        <w:rPr>
          <w:rFonts w:ascii="仿宋_GB2312" w:eastAsia="仿宋_GB2312" w:cs="仿宋_GB2312" w:hint="eastAsia"/>
          <w:bCs/>
          <w:color w:val="000000"/>
          <w:sz w:val="32"/>
          <w:szCs w:val="32"/>
        </w:rPr>
        <w:t>建设、加快农业绿色发展、推动农村一二三产业融合发展、完善新型农业经营组织体系等</w:t>
      </w:r>
      <w:r>
        <w:rPr>
          <w:rFonts w:ascii="Times New Roman" w:eastAsia="仿宋_GB2312" w:cs="Times New Roman" w:hAnsi="Times New Roman" w:hint="eastAsia"/>
          <w:color w:val="000000"/>
          <w:sz w:val="32"/>
          <w:szCs w:val="32"/>
          <w:lang w:val="en-US" w:eastAsia="zh-CN"/>
        </w:rPr>
        <w:t>6</w:t>
      </w:r>
      <w:r>
        <w:rPr>
          <w:rFonts w:ascii="仿宋_GB2312" w:eastAsia="仿宋_GB2312" w:cs="仿宋_GB2312" w:hint="eastAsia"/>
          <w:bCs/>
          <w:color w:val="000000"/>
          <w:sz w:val="32"/>
          <w:szCs w:val="32"/>
        </w:rPr>
        <w:t>条政策。</w:t>
      </w:r>
      <w:r>
        <w:rPr>
          <w:rFonts w:ascii="仿宋_GB2312" w:eastAsia="仿宋_GB2312" w:cs="仿宋_GB2312" w:hint="eastAsia"/>
          <w:bCs/>
          <w:color w:val="000000"/>
          <w:kern w:val="0"/>
          <w:sz w:val="32"/>
          <w:szCs w:val="32"/>
        </w:rPr>
        <w:t>每年实施科技特派员项目20个、创建示范性家庭农场10家。建成农创客创新创业孵化园1个，累计培育农创客1000名以上。每年</w:t>
      </w:r>
      <w:r>
        <w:rPr>
          <w:rFonts w:ascii="仿宋_GB2312" w:eastAsia="仿宋_GB2312" w:cs="仿宋_GB2312"/>
          <w:bCs/>
          <w:color w:val="000000"/>
          <w:kern w:val="0"/>
          <w:sz w:val="32"/>
          <w:szCs w:val="32"/>
        </w:rPr>
        <w:t>培训</w:t>
      </w:r>
      <w:r>
        <w:rPr>
          <w:rFonts w:ascii="仿宋_GB2312" w:eastAsia="仿宋_GB2312" w:cs="仿宋_GB2312" w:hint="eastAsia"/>
          <w:bCs/>
          <w:color w:val="000000"/>
          <w:kern w:val="0"/>
          <w:sz w:val="32"/>
          <w:szCs w:val="32"/>
        </w:rPr>
        <w:t>农村实用人才和高素质农民等不少于500人次。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560" w:lineRule="exact"/>
        <w:ind w:left="0" w:firstLineChars="200" w:firstLine="640"/>
        <w:jc w:val="both"/>
        <w:rPr>
          <w:rFonts w:ascii="仿宋_GB2312" w:eastAsia="仿宋_GB2312" w:cs="仿宋_GB2312" w:hint="eastAsia"/>
          <w:bCs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  <w:lang w:eastAsia="zh-CN"/>
        </w:rPr>
        <w:t>（三）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全面深化“千村示范、万村整治”工程。</w:t>
      </w:r>
      <w:r>
        <w:rPr>
          <w:rFonts w:ascii="仿宋_GB2312" w:eastAsia="仿宋_GB2312" w:cs="仿宋_GB2312" w:hint="eastAsia"/>
          <w:bCs/>
          <w:color w:val="000000"/>
          <w:sz w:val="32"/>
          <w:szCs w:val="32"/>
        </w:rPr>
        <w:t>包括推进乡村风貌提升、加快建设和美乡村、深化强村富民乡村集成改革等3条政策。</w:t>
      </w:r>
      <w:r>
        <w:rPr>
          <w:rFonts w:ascii="仿宋_GB2312" w:eastAsia="仿宋_GB2312" w:cs="仿宋_GB2312" w:hint="eastAsia"/>
          <w:bCs/>
          <w:color w:val="000000"/>
          <w:kern w:val="0"/>
          <w:sz w:val="32"/>
          <w:szCs w:val="32"/>
        </w:rPr>
        <w:t>每年建设改造农村生活污水处理设施不少于40个，十四五期间建成省级美丽宜居示范村7个。至2026年，累计建设未来乡村10个，盘活闲置农房1500宗。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560" w:lineRule="exact"/>
        <w:ind w:left="0" w:firstLineChars="200" w:firstLine="640"/>
        <w:jc w:val="both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楷体_GB2312" w:eastAsia="楷体_GB2312" w:cs="Arial" w:hint="eastAsia"/>
          <w:b/>
          <w:color w:val="000000"/>
          <w:kern w:val="2"/>
          <w:sz w:val="32"/>
          <w:szCs w:val="32"/>
          <w:lang w:val="en-US" w:eastAsia="zh-CN" w:bidi="ar-SA"/>
        </w:rPr>
        <w:t>（四）加快推动农业农村基础设施现代化先行。</w:t>
      </w:r>
      <w:r>
        <w:rPr>
          <w:rFonts w:ascii="仿宋_GB2312" w:eastAsia="仿宋_GB2312" w:cs="仿宋_GB2312" w:hint="eastAsia"/>
          <w:bCs/>
          <w:color w:val="000000"/>
          <w:sz w:val="32"/>
          <w:szCs w:val="32"/>
        </w:rPr>
        <w:t>包括实施农业高质量发展“百千”工程、水利建设工程、土地综合整治工程、“四好农村路”</w:t>
      </w:r>
      <w:r>
        <w:rPr>
          <w:rFonts w:ascii="Times New Roman" w:eastAsia="仿宋_GB2312" w:cs="Times New Roman" w:hAnsi="Times New Roman" w:hint="eastAsia"/>
          <w:color w:val="000000"/>
          <w:sz w:val="32"/>
          <w:szCs w:val="32"/>
          <w:lang w:val="en-US" w:eastAsia="zh-CN"/>
        </w:rPr>
        <w:t>2.0工程等4条政策。</w:t>
      </w:r>
      <w:r>
        <w:rPr>
          <w:rFonts w:ascii="仿宋_GB2312" w:eastAsia="仿宋_GB2312" w:cs="仿宋_GB2312" w:hint="eastAsia"/>
          <w:bCs/>
          <w:color w:val="000000"/>
          <w:kern w:val="0"/>
          <w:sz w:val="32"/>
          <w:szCs w:val="32"/>
        </w:rPr>
        <w:t>到2026年，完成新改建农村公路12.5公里、养护工程166公里，实现农村公路优良中等路率80%以上。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560" w:lineRule="exact"/>
        <w:ind w:left="0" w:firstLineChars="200" w:firstLine="640"/>
        <w:jc w:val="both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楷体_GB2312" w:eastAsia="楷体_GB2312" w:cs="Arial" w:hint="eastAsia"/>
          <w:b/>
          <w:color w:val="000000"/>
          <w:kern w:val="2"/>
          <w:sz w:val="32"/>
          <w:szCs w:val="32"/>
          <w:lang w:val="en-US" w:eastAsia="zh-CN" w:bidi="ar-SA"/>
        </w:rPr>
        <w:t>（五）切实加强组织保障。</w:t>
      </w:r>
      <w:r>
        <w:rPr>
          <w:rFonts w:ascii="仿宋_GB2312" w:eastAsia="仿宋_GB2312" w:cs="仿宋_GB2312" w:hint="eastAsia"/>
          <w:bCs/>
          <w:color w:val="000000"/>
          <w:sz w:val="32"/>
          <w:szCs w:val="32"/>
        </w:rPr>
        <w:t>包括推进涉农资金统筹整合改革、完善农民持续增收机制、优化农业用地保障机制、</w:t>
      </w:r>
      <w:r>
        <w:rPr>
          <w:rFonts w:ascii="仿宋_GB2312" w:eastAsia="仿宋_GB2312" w:cs="仿宋_GB2312"/>
          <w:bCs/>
          <w:color w:val="000000"/>
          <w:sz w:val="32"/>
          <w:szCs w:val="32"/>
        </w:rPr>
        <w:t>加大金融支持力度</w:t>
      </w:r>
      <w:r>
        <w:rPr>
          <w:rFonts w:ascii="Times New Roman" w:eastAsia="仿宋_GB2312" w:cs="Times New Roman" w:hAnsi="Times New Roman" w:hint="eastAsia"/>
          <w:color w:val="000000"/>
          <w:sz w:val="32"/>
          <w:szCs w:val="32"/>
          <w:lang w:val="en-US" w:eastAsia="zh-CN"/>
        </w:rPr>
        <w:t>等4条政策。</w:t>
      </w:r>
      <w:r>
        <w:rPr>
          <w:rFonts w:ascii="仿宋_GB2312" w:eastAsia="仿宋_GB2312" w:cs="仿宋_GB2312" w:hint="eastAsia"/>
          <w:bCs/>
          <w:color w:val="000000"/>
          <w:kern w:val="0"/>
          <w:sz w:val="32"/>
          <w:szCs w:val="32"/>
        </w:rPr>
        <w:t>争取每年列入省农业重大项目6个，累计创建美食示范店100家，每年开发乡村公益性岗位200个。到2026年，全市政府性支农支小融资担保余额达4.5亿元，农业保险深度达1%、密度达500元/人。</w:t>
      </w:r>
    </w:p>
    <w:p>
      <w:pPr>
        <w:pStyle w:val="20"/>
        <w:spacing w:line="560" w:lineRule="exact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四、施行日期说明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Chars="200" w:firstLine="640"/>
        <w:jc w:val="both"/>
        <w:textAlignment w:val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本《二十条》自2023年</w:t>
      </w: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26</w:t>
      </w:r>
      <w:r>
        <w:rPr>
          <w:rFonts w:ascii="Times New Roman" w:eastAsia="仿宋_GB2312" w:hAnsi="Times New Roman"/>
          <w:sz w:val="32"/>
          <w:szCs w:val="32"/>
        </w:rPr>
        <w:t>日起</w:t>
      </w:r>
      <w:r>
        <w:rPr>
          <w:rFonts w:ascii="Times New Roman" w:eastAsia="仿宋_GB2312" w:hAnsi="Times New Roman"/>
          <w:sz w:val="32"/>
          <w:szCs w:val="32"/>
        </w:rPr>
        <w:t>施行，</w:t>
      </w:r>
      <w:r>
        <w:rPr>
          <w:rFonts w:ascii="Times New Roman" w:eastAsia="仿宋_GB2312" w:hAnsi="Times New Roman"/>
          <w:sz w:val="32"/>
          <w:szCs w:val="32"/>
        </w:rPr>
        <w:t>有效期</w:t>
      </w:r>
      <w:r>
        <w:rPr>
          <w:rFonts w:ascii="Times New Roman" w:eastAsia="仿宋_GB2312" w:hAnsi="Times New Roman"/>
          <w:sz w:val="32"/>
          <w:szCs w:val="32"/>
        </w:rPr>
        <w:t>三年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2023年11月26日至2023年12月26日期间符合本办法规定的，参照本办法执行。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Chars="200" w:firstLine="640"/>
        <w:jc w:val="both"/>
        <w:textAlignment w:val="auto"/>
        <w:rPr>
          <w:rFonts w:ascii="Times New Roman" w:eastAsia="仿宋_GB2312" w:hAnsi="Times New Roman"/>
          <w:sz w:val="32"/>
          <w:szCs w:val="32"/>
        </w:rPr>
      </w:pPr>
    </w:p>
    <w:p>
      <w:pPr>
        <w:spacing w:line="560" w:lineRule="exact"/>
        <w:ind w:firstLineChars="1700" w:firstLine="54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2023</w:t>
      </w:r>
      <w:r>
        <w:rPr>
          <w:rFonts w:ascii="Times New Roman" w:eastAsia="仿宋_GB2312" w:hAnsi="Times New Roman"/>
          <w:sz w:val="32"/>
          <w:szCs w:val="40"/>
        </w:rPr>
        <w:t>年</w:t>
      </w:r>
      <w:r>
        <w:rPr>
          <w:rFonts w:ascii="Times New Roman" w:eastAsia="仿宋_GB2312" w:hAnsi="Times New Roman"/>
          <w:sz w:val="32"/>
          <w:szCs w:val="40"/>
        </w:rPr>
        <w:t>12</w:t>
      </w:r>
      <w:r>
        <w:rPr>
          <w:rFonts w:ascii="Times New Roman" w:eastAsia="仿宋_GB2312" w:hAnsi="Times New Roman"/>
          <w:sz w:val="32"/>
          <w:szCs w:val="40"/>
        </w:rPr>
        <w:t>月</w:t>
      </w:r>
      <w:r>
        <w:rPr>
          <w:rFonts w:ascii="Times New Roman" w:eastAsia="仿宋_GB2312" w:hAnsi="Times New Roman"/>
          <w:sz w:val="32"/>
          <w:szCs w:val="40"/>
        </w:rPr>
        <w:t>6</w:t>
      </w:r>
      <w:r>
        <w:rPr>
          <w:rFonts w:ascii="Times New Roman" w:eastAsia="仿宋_GB2312" w:hAnsi="Times New Roman"/>
          <w:sz w:val="32"/>
          <w:szCs w:val="40"/>
        </w:rPr>
        <w:t>日</w:t>
      </w:r>
    </w:p>
    <w:sectPr>
      <w:footerReference w:type="default" r:id="rId2"/>
      <w:footerReference w:type="even" r:id="rId3"/>
      <w:footerReference w:type="first" r:id="rId4"/>
      <w:pgSz w:w="11907" w:h="16839"/>
      <w:pgMar w:top="1440" w:right="1800" w:bottom="1440" w:left="1800" w:header="851" w:footer="992" w:gutter="0"/>
      <w:pgNumType/>
      <w:docGrid w:type="lines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7A"/>
    <w:family w:val="auto"/>
    <w:pitch w:val="variable"/>
    <w:sig w:usb0="E0002EFF" w:usb1="C000785B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variable"/>
    <w:sig w:usb0="00000000" w:usb1="00000000" w:usb2="00000012" w:usb3="00000000" w:csb0="00040001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libri">
    <w:altName w:val="Times New Roman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9"/>
      </w:rPr>
      <w:fldChar w:fldCharType="begin"/>
    </w:r>
    <w:r>
      <w:rPr>
        <w:rStyle w:val="19"/>
      </w:rPr>
      <w:instrText>Page</w:instrText>
    </w:r>
    <w:r>
      <w:rPr>
        <w:rStyle w:val="19"/>
      </w:rPr>
      <w:fldChar w:fldCharType="separate"/>
    </w:r>
    <w:r>
      <w:rPr>
        <w:rStyle w:val="19"/>
      </w:rPr>
      <w:t>1</w:t>
    </w:r>
    <w:r>
      <w:rPr>
        <w:rStyle w:val="19"/>
      </w:rPr>
      <w:fldChar w:fldCharType="end"/>
    </w:r>
  </w:p>
  <w:p>
    <w:pPr>
      <w:pStyle w:val="18"/>
      <w:tabs>
        <w:tab w:val="center" w:pos="4153"/>
        <w:tab w:val="right" w:pos="8307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9"/>
      </w:rPr>
      <w:fldChar w:fldCharType="begin"/>
    </w:r>
    <w:r>
      <w:rPr>
        <w:rStyle w:val="19"/>
      </w:rPr>
      <w:instrText>Page</w:instrText>
    </w:r>
    <w:r>
      <w:rPr>
        <w:rStyle w:val="19"/>
      </w:rPr>
      <w:fldChar w:fldCharType="separate"/>
    </w:r>
    <w:r>
      <w:rPr>
        <w:rStyle w:val="19"/>
      </w:rPr>
      <w:t>1</w:t>
    </w:r>
    <w:r>
      <w:rPr>
        <w:rStyle w:val="19"/>
      </w:rPr>
      <w:fldChar w:fldCharType="end"/>
    </w:r>
  </w:p>
  <w:p>
    <w:pPr>
      <w:pStyle w:val="18"/>
      <w:tabs>
        <w:tab w:val="center" w:pos="4153"/>
        <w:tab w:val="right" w:pos="8307"/>
      </w:tabs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9"/>
      </w:rPr>
      <w:fldChar w:fldCharType="begin"/>
    </w:r>
    <w:r>
      <w:rPr>
        <w:rStyle w:val="19"/>
      </w:rPr>
      <w:instrText>Page</w:instrText>
    </w:r>
    <w:r>
      <w:rPr>
        <w:rStyle w:val="19"/>
      </w:rPr>
      <w:fldChar w:fldCharType="separate"/>
    </w:r>
    <w:r>
      <w:rPr>
        <w:rStyle w:val="19"/>
      </w:rPr>
      <w:t>1</w:t>
    </w:r>
    <w:r>
      <w:rPr>
        <w:rStyle w:val="19"/>
      </w:rPr>
      <w:fldChar w:fldCharType="end"/>
    </w:r>
  </w:p>
  <w:p>
    <w:pPr>
      <w:pStyle w:val="18"/>
      <w:tabs>
        <w:tab w:val="center" w:pos="4153"/>
        <w:tab w:val="right" w:pos="8307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70"/>
  <w:displayBackgroundShape/>
  <w:bordersDoNotSurroundHeader w:val="0"/>
  <w:bordersDoNotSurroundFooter w:val="0"/>
  <w:documentProtection w:edit="readOnly" w:enforcement="0"/>
  <w:defaultTabStop w:val="420"/>
  <w:drawingGridHorizontalSpacing w:val="120"/>
  <w:drawingGridVerticalSpacing w:val="163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Normal (Web)"/>
    <w:basedOn w:val="0"/>
    <w:pPr>
      <w:widowControl/>
      <w:spacing w:before="100" w:beforeAutospacing="1" w:after="100" w:afterAutospacing="1"/>
    </w:pPr>
    <w:rPr>
      <w:kern w:val="0"/>
    </w:rPr>
  </w:style>
  <w:style w:type="character" w:styleId="16">
    <w:name w:val="Strong"/>
    <w:rPr>
      <w:b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character" w:styleId="19">
    <w:name w:val="page number"/>
    <w:basedOn w:val="10"/>
  </w:style>
  <w:style w:type="paragraph" w:customStyle="1" w:styleId="20">
    <w:name w:val="列出段落"/>
    <w:basedOn w:val="0"/>
    <w:next w:val="15"/>
    <w:pPr>
      <w:widowControl w:val="0"/>
      <w:ind w:firstLineChars="200" w:firstLine="20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380</TotalTime>
  <Application>Yozo_Office27021597764231179</Application>
  <Pages>3</Pages>
  <Words>1370</Words>
  <Characters>1528</Characters>
  <Lines>68</Lines>
  <Paragraphs>21</Paragraphs>
  <CharactersWithSpaces>1528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thtf06</dc:creator>
  <cp:lastModifiedBy>uos</cp:lastModifiedBy>
  <cp:revision>2</cp:revision>
  <cp:lastPrinted>2023-08-10T06:51:09Z</cp:lastPrinted>
  <dcterms:created xsi:type="dcterms:W3CDTF">2021-12-10T07:33:00Z</dcterms:created>
  <dcterms:modified xsi:type="dcterms:W3CDTF">2023-12-06T02:09:45Z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ICV">
    <vt:lpwstr>9de5c22aa73846f8ad14e06c8f80cc9e</vt:lpwstr>
  </property>
  <property fmtid="{D5CDD505-2E9C-101B-9397-08002B2CF9AE}" pid="3" name="KSOProductBuildVer">
    <vt:lpwstr>2052-11.8.2.10154</vt:lpwstr>
  </property>
</Properties>
</file>