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B441">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建德市建设</w:t>
      </w:r>
      <w:r>
        <w:rPr>
          <w:rFonts w:hint="eastAsia" w:ascii="黑体" w:hAnsi="黑体" w:eastAsia="黑体" w:cs="黑体"/>
          <w:sz w:val="32"/>
          <w:szCs w:val="32"/>
        </w:rPr>
        <w:t>项目环境保护</w:t>
      </w:r>
      <w:r>
        <w:rPr>
          <w:rFonts w:hint="eastAsia" w:ascii="黑体" w:hAnsi="黑体" w:eastAsia="黑体" w:cs="黑体"/>
          <w:sz w:val="32"/>
          <w:szCs w:val="32"/>
          <w:lang w:val="en-US" w:eastAsia="zh-CN"/>
        </w:rPr>
        <w:t>审批控制清单</w:t>
      </w:r>
    </w:p>
    <w:p w14:paraId="4DF64E65">
      <w:pPr>
        <w:ind w:firstLine="2560" w:firstLineChars="800"/>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（试行）征求意见稿</w:t>
      </w:r>
    </w:p>
    <w:p w14:paraId="2104CF1C">
      <w:pPr>
        <w:ind w:firstLine="960" w:firstLineChars="300"/>
        <w:rPr>
          <w:rFonts w:hint="eastAsia" w:ascii="黑体" w:hAnsi="黑体" w:eastAsia="黑体" w:cs="黑体"/>
          <w:sz w:val="32"/>
          <w:szCs w:val="32"/>
          <w:lang w:val="en-US" w:eastAsia="zh-CN"/>
        </w:rPr>
      </w:pPr>
    </w:p>
    <w:p w14:paraId="3AD3D627">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目的意义</w:t>
      </w:r>
    </w:p>
    <w:p w14:paraId="09A5D1AA">
      <w:pPr>
        <w:numPr>
          <w:ilvl w:val="0"/>
          <w:numId w:val="0"/>
        </w:num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建立建设项目环境保护审批控制清单，旨在在建设项目准入环节通过严格的管理，强化环境约束的核心政策，从源头控制污染和生态破坏，更好地服务我市经济高质量绿色发展。</w:t>
      </w:r>
    </w:p>
    <w:p w14:paraId="5F284856">
      <w:pPr>
        <w:numPr>
          <w:ilvl w:val="0"/>
          <w:numId w:val="1"/>
        </w:numPr>
        <w:ind w:left="-10" w:leftChars="0" w:firstLine="64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基本原则</w:t>
      </w:r>
    </w:p>
    <w:p w14:paraId="24F4F6F1">
      <w:pPr>
        <w:numPr>
          <w:ilvl w:val="0"/>
          <w:numId w:val="0"/>
        </w:numPr>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落实国家、省、市重大战略，根据生态保护红线、环境质量底线和资源利用上线的最新要求，以生态功能不降低、环境质量不下降、资源环境承载能力不突破为底线，结合相关法律法规，全面加强生态领域红线政策的监督管理，细化管控措施，确保各项政策得到严格执行，防止触碰政策底线。因重大发展战略、产业政策、生态环境保护目标等发生变化而需对控制清单进行调整的，按照相关技术规范由杭州市生态环境局建德分局牵头相关部门进行动态更新。</w:t>
      </w:r>
    </w:p>
    <w:p w14:paraId="48F784E1">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实施范围</w:t>
      </w:r>
    </w:p>
    <w:p w14:paraId="7ECB0CD3">
      <w:pPr>
        <w:numPr>
          <w:ilvl w:val="0"/>
          <w:numId w:val="2"/>
        </w:numPr>
        <w:ind w:left="640"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生态保护红线原则上按禁止开发区域的要求进行管理，</w:t>
      </w:r>
    </w:p>
    <w:p w14:paraId="7090B830">
      <w:pPr>
        <w:numPr>
          <w:ilvl w:val="0"/>
          <w:numId w:val="0"/>
        </w:numPr>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严禁不符合主体功能定位的各类开发活动，严禁任意改变用途。严禁扩大生态保护红线内水电、风电等设施的现有规模与范围。</w:t>
      </w:r>
    </w:p>
    <w:p w14:paraId="65A8F112">
      <w:pPr>
        <w:numPr>
          <w:ilvl w:val="0"/>
          <w:numId w:val="2"/>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禁止在饮用水水源一级保护区内新建、改建、扩建与</w:t>
      </w:r>
    </w:p>
    <w:p w14:paraId="1F9860B5">
      <w:pPr>
        <w:numPr>
          <w:ilvl w:val="0"/>
          <w:numId w:val="0"/>
        </w:numPr>
      </w:pPr>
      <w:r>
        <w:rPr>
          <w:rFonts w:hint="eastAsia" w:ascii="仿宋" w:hAnsi="仿宋" w:eastAsia="仿宋" w:cs="仿宋"/>
          <w:sz w:val="32"/>
          <w:szCs w:val="32"/>
          <w:lang w:val="en-US" w:eastAsia="zh-CN"/>
        </w:rPr>
        <w:t>供水设施和保护水源无关的建设项目。</w:t>
      </w:r>
      <w:r>
        <w:rPr>
          <w:rFonts w:ascii="仿宋_GB2312" w:hAnsi="仿宋_GB2312" w:eastAsia="仿宋_GB2312" w:cs="仿宋_GB2312"/>
          <w:color w:val="000000"/>
          <w:kern w:val="0"/>
          <w:sz w:val="31"/>
          <w:szCs w:val="31"/>
          <w:lang w:val="en-US" w:eastAsia="zh-CN" w:bidi="ar"/>
        </w:rPr>
        <w:t>禁止</w:t>
      </w:r>
      <w:r>
        <w:rPr>
          <w:rFonts w:hint="eastAsia" w:ascii="仿宋" w:hAnsi="仿宋" w:eastAsia="仿宋" w:cs="仿宋"/>
          <w:sz w:val="32"/>
          <w:szCs w:val="32"/>
          <w:lang w:val="en-US" w:eastAsia="zh-CN"/>
        </w:rPr>
        <w:t>在饮用水水源一级保护区内进行</w:t>
      </w:r>
      <w:r>
        <w:rPr>
          <w:rFonts w:ascii="仿宋_GB2312" w:hAnsi="仿宋_GB2312" w:eastAsia="仿宋_GB2312" w:cs="仿宋_GB2312"/>
          <w:color w:val="000000"/>
          <w:kern w:val="0"/>
          <w:sz w:val="31"/>
          <w:szCs w:val="31"/>
          <w:lang w:val="en-US" w:eastAsia="zh-CN" w:bidi="ar"/>
        </w:rPr>
        <w:t>网箱养殖、投饵式养殖、旅游、使用化肥和农药等可能污染饮用水水体的投资建设项目</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禁止停泊与保护水源无关的船舶。</w:t>
      </w:r>
    </w:p>
    <w:p w14:paraId="26114913">
      <w:pPr>
        <w:keepNext w:val="0"/>
        <w:keepLines w:val="0"/>
        <w:widowControl/>
        <w:numPr>
          <w:ilvl w:val="0"/>
          <w:numId w:val="2"/>
        </w:numPr>
        <w:suppressLineNumbers w:val="0"/>
        <w:ind w:left="64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禁止在饮用水水源二级保护区内新建、改建、扩建排</w:t>
      </w:r>
    </w:p>
    <w:p w14:paraId="565CB88C">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放污染物的建设项目。禁止设置排污口，禁止危险货物水上过驳作业；禁止贮存、堆放可能造成水体污染的固体废弃物和其他污染物；禁止排放船舶洗舱水、压载水等船舶污染物，禁止冲洗船舶甲板。</w:t>
      </w:r>
    </w:p>
    <w:p w14:paraId="435A187D">
      <w:pPr>
        <w:keepNext w:val="0"/>
        <w:keepLines w:val="0"/>
        <w:widowControl/>
        <w:numPr>
          <w:ilvl w:val="0"/>
          <w:numId w:val="0"/>
        </w:numPr>
        <w:suppressLineNumbers w:val="0"/>
        <w:ind w:firstLine="640" w:firstLineChars="200"/>
        <w:jc w:val="left"/>
      </w:pPr>
      <w:r>
        <w:rPr>
          <w:rFonts w:hint="eastAsia" w:ascii="仿宋" w:hAnsi="仿宋" w:eastAsia="仿宋" w:cs="仿宋"/>
          <w:sz w:val="32"/>
          <w:szCs w:val="32"/>
          <w:lang w:val="en-US" w:eastAsia="zh-CN"/>
        </w:rPr>
        <w:t xml:space="preserve"> 4、</w:t>
      </w:r>
      <w:r>
        <w:rPr>
          <w:rFonts w:ascii="仿宋_GB2312" w:hAnsi="仿宋_GB2312" w:eastAsia="仿宋_GB2312" w:cs="仿宋_GB2312"/>
          <w:color w:val="000000"/>
          <w:kern w:val="0"/>
          <w:sz w:val="31"/>
          <w:szCs w:val="31"/>
          <w:lang w:val="en-US" w:eastAsia="zh-CN" w:bidi="ar"/>
        </w:rPr>
        <w:t>在饮用水水源准保护区内禁止新建、扩建水上加油站、油库、规模化畜禽养殖场等严重污染水体的建设项目，或者改建增加排污量的建设项目；禁止设置装卸垃圾、粪便、油类和有毒物品的码头</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禁止运输剧毒物品、危险废物以及国家规定禁止通过内河运输的其他危险化学品。</w:t>
      </w:r>
    </w:p>
    <w:p w14:paraId="5A4A3AF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5、禁止在风景名胜区核心景区的岸线和河段范围内投资</w:t>
      </w:r>
    </w:p>
    <w:p w14:paraId="34F8EA1F">
      <w:pPr>
        <w:numPr>
          <w:ilvl w:val="0"/>
          <w:numId w:val="0"/>
        </w:numPr>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建设与风景名胜资源保护无关的项目。</w:t>
      </w:r>
      <w:r>
        <w:rPr>
          <w:rFonts w:hint="eastAsia" w:ascii="仿宋" w:hAnsi="仿宋" w:eastAsia="仿宋" w:cs="仿宋"/>
          <w:sz w:val="32"/>
          <w:szCs w:val="32"/>
          <w:highlight w:val="none"/>
          <w:lang w:val="en-US" w:eastAsia="zh-CN"/>
        </w:rPr>
        <w:t>风景名胜区及其外围保护地带不得建设污染环境的工业生产设施。风景名胜区及其外围保护地带不得建设工业固体废物、危险废物的集中贮存、处置设施或者场所，不得建设垃圾填埋场。</w:t>
      </w:r>
    </w:p>
    <w:p w14:paraId="1D58E003">
      <w:pPr>
        <w:keepNext w:val="0"/>
        <w:keepLines w:val="0"/>
        <w:widowControl/>
        <w:numPr>
          <w:ilvl w:val="0"/>
          <w:numId w:val="3"/>
        </w:numPr>
        <w:suppressLineNumbers w:val="0"/>
        <w:ind w:left="640" w:leftChars="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禁止在自然保护地的岸线和河段范围内投资建设不符</w:t>
      </w:r>
    </w:p>
    <w:p w14:paraId="5813FD25">
      <w:pPr>
        <w:keepNext w:val="0"/>
        <w:keepLines w:val="0"/>
        <w:widowControl/>
        <w:suppressLineNumbers w:val="0"/>
        <w:jc w:val="left"/>
        <w:rPr>
          <w:rFonts w:hint="eastAsia" w:ascii="仿宋_GB2312" w:hAnsi="仿宋_GB2312" w:eastAsia="仿宋_GB2312" w:cs="仿宋_GB2312"/>
          <w:color w:val="000000"/>
          <w:kern w:val="0"/>
          <w:sz w:val="31"/>
          <w:szCs w:val="31"/>
          <w:highlight w:val="yellow"/>
          <w:lang w:val="en-US" w:eastAsia="zh-CN" w:bidi="ar"/>
        </w:rPr>
      </w:pPr>
      <w:r>
        <w:rPr>
          <w:rFonts w:hint="eastAsia" w:ascii="仿宋_GB2312" w:hAnsi="仿宋_GB2312" w:eastAsia="仿宋_GB2312" w:cs="仿宋_GB2312"/>
          <w:color w:val="000000"/>
          <w:kern w:val="0"/>
          <w:sz w:val="31"/>
          <w:szCs w:val="31"/>
          <w:lang w:val="en-US" w:eastAsia="zh-CN" w:bidi="ar"/>
        </w:rPr>
        <w:t xml:space="preserve">合《浙江省自然保护地建设项目准入负面清单（试行）》的项目。 </w:t>
      </w:r>
    </w:p>
    <w:p w14:paraId="4A9F689E">
      <w:pPr>
        <w:keepNext w:val="0"/>
        <w:keepLines w:val="0"/>
        <w:widowControl/>
        <w:numPr>
          <w:ilvl w:val="0"/>
          <w:numId w:val="0"/>
        </w:numPr>
        <w:suppressLineNumbers w:val="0"/>
        <w:ind w:left="640" w:leftChars="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禁止在森林公园的岸线和河段范围内毁林开垦和毁林</w:t>
      </w:r>
    </w:p>
    <w:p w14:paraId="706C99AE">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采石、采砂、采土以及其他毁林行为。</w:t>
      </w:r>
    </w:p>
    <w:p w14:paraId="43BD5028">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8、禁止在 I 级林地、一级国家级公益林内建设项目。</w:t>
      </w:r>
    </w:p>
    <w:p w14:paraId="306FAF8C">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9、禁止在合规园区外新建、扩建钢铁、石化、化工、焦</w:t>
      </w:r>
    </w:p>
    <w:p w14:paraId="46888522">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化、建材、有色等高污染项目（高污染项目清单参照生态环境部《环境保护综合目录》中的高污染产品目录执行）。</w:t>
      </w:r>
    </w:p>
    <w:p w14:paraId="3D80E5BE">
      <w:pPr>
        <w:keepNext w:val="0"/>
        <w:keepLines w:val="0"/>
        <w:widowControl/>
        <w:suppressLineNumbers w:val="0"/>
        <w:ind w:firstLine="640" w:firstLineChars="200"/>
        <w:jc w:val="left"/>
      </w:pPr>
      <w:r>
        <w:rPr>
          <w:rFonts w:hint="eastAsia" w:ascii="仿宋" w:hAnsi="仿宋" w:eastAsia="仿宋" w:cs="仿宋"/>
          <w:sz w:val="32"/>
          <w:szCs w:val="32"/>
          <w:lang w:val="en-US" w:eastAsia="zh-CN"/>
        </w:rPr>
        <w:t>10、严禁新增钢铁、水泥熟料、平板玻璃（不含光伏玻璃）等产能。</w:t>
      </w:r>
      <w:r>
        <w:rPr>
          <w:rFonts w:ascii="仿宋_GB2312" w:hAnsi="仿宋_GB2312" w:eastAsia="仿宋_GB2312" w:cs="仿宋_GB2312"/>
          <w:color w:val="000000"/>
          <w:kern w:val="0"/>
          <w:sz w:val="31"/>
          <w:szCs w:val="31"/>
          <w:lang w:val="en-US" w:eastAsia="zh-CN" w:bidi="ar"/>
        </w:rPr>
        <w:t>钢铁、水泥</w:t>
      </w:r>
      <w:r>
        <w:rPr>
          <w:rFonts w:hint="eastAsia" w:ascii="仿宋_GB2312" w:hAnsi="仿宋_GB2312" w:eastAsia="仿宋_GB2312" w:cs="仿宋_GB2312"/>
          <w:color w:val="000000"/>
          <w:kern w:val="0"/>
          <w:sz w:val="31"/>
          <w:szCs w:val="31"/>
          <w:lang w:val="en-US" w:eastAsia="zh-CN" w:bidi="ar"/>
        </w:rPr>
        <w:t>熟料</w:t>
      </w:r>
      <w:r>
        <w:rPr>
          <w:rFonts w:ascii="仿宋_GB2312" w:hAnsi="仿宋_GB2312" w:eastAsia="仿宋_GB2312" w:cs="仿宋_GB2312"/>
          <w:color w:val="000000"/>
          <w:kern w:val="0"/>
          <w:sz w:val="31"/>
          <w:szCs w:val="31"/>
          <w:lang w:val="en-US" w:eastAsia="zh-CN" w:bidi="ar"/>
        </w:rPr>
        <w:t>、平板玻璃</w:t>
      </w:r>
      <w:r>
        <w:rPr>
          <w:rFonts w:hint="eastAsia" w:ascii="仿宋_GB2312" w:hAnsi="仿宋_GB2312" w:eastAsia="仿宋_GB2312" w:cs="仿宋_GB2312"/>
          <w:color w:val="000000"/>
          <w:kern w:val="0"/>
          <w:sz w:val="31"/>
          <w:szCs w:val="31"/>
          <w:lang w:val="en-US" w:eastAsia="zh-CN" w:bidi="ar"/>
        </w:rPr>
        <w:t>等新（改、扩）建设项目</w:t>
      </w:r>
      <w:r>
        <w:rPr>
          <w:rFonts w:ascii="仿宋_GB2312" w:hAnsi="仿宋_GB2312" w:eastAsia="仿宋_GB2312" w:cs="仿宋_GB2312"/>
          <w:color w:val="000000"/>
          <w:kern w:val="0"/>
          <w:sz w:val="31"/>
          <w:szCs w:val="31"/>
          <w:lang w:val="en-US" w:eastAsia="zh-CN" w:bidi="ar"/>
        </w:rPr>
        <w:t>，须制定产能置换方案并公告，实施减量或等量置换。</w:t>
      </w:r>
    </w:p>
    <w:p w14:paraId="30C29DF6">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11、禁止新建、扩建法律法规和相关政策明令禁止的落后</w:t>
      </w:r>
    </w:p>
    <w:p w14:paraId="7BBDBA37">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产能项目，包括《国家产业结构调整指导目录（2024 年本）》、《浙江省淘汰落后生产能力指导目录（2012年本）》、《</w:t>
      </w:r>
      <w:r>
        <w:rPr>
          <w:rFonts w:hint="default" w:ascii="仿宋" w:hAnsi="仿宋" w:eastAsia="仿宋" w:cs="仿宋"/>
          <w:sz w:val="32"/>
          <w:szCs w:val="32"/>
          <w:lang w:val="en-US" w:eastAsia="zh-CN"/>
        </w:rPr>
        <w:t>杭州市产业发展导向目录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（2024 年本）</w:t>
      </w:r>
      <w:r>
        <w:rPr>
          <w:rFonts w:hint="eastAsia" w:ascii="仿宋" w:hAnsi="仿宋" w:eastAsia="仿宋" w:cs="仿宋"/>
          <w:sz w:val="32"/>
          <w:szCs w:val="32"/>
          <w:lang w:val="en-US" w:eastAsia="zh-CN"/>
        </w:rPr>
        <w:t>淘汰类中的落后生产工艺装备、落后产品投资项目；列入《外商投资准入特别管理措施（负面清单）（2024 年版）》的外商投资项目，一律不得核准、备案。禁止向落后产能项目和严重过剩产能行业项目供应土地。</w:t>
      </w:r>
    </w:p>
    <w:p w14:paraId="3B9311AD">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12、禁止建设与建德市国土空间规划、行业专项规划、产</w:t>
      </w:r>
    </w:p>
    <w:p w14:paraId="1C4662D2">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业园区规划等相冲突的建设项目。</w:t>
      </w:r>
    </w:p>
    <w:p w14:paraId="751E3AE1">
      <w:pPr>
        <w:numPr>
          <w:ilvl w:val="0"/>
          <w:numId w:val="0"/>
        </w:numPr>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13、严格合理控制煤炭消费总量，严控新增耗煤项目，新、改、扩建项目实施煤炭减量替代。禁止建设企业自备燃煤锅炉。</w:t>
      </w:r>
    </w:p>
    <w:p w14:paraId="497E692D">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14、禁止新建报废汽车、废旧设备及零部件拆解项目（再</w:t>
      </w:r>
    </w:p>
    <w:p w14:paraId="6BA0F4D5">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制造项目除外）；禁止建设以医疗废物为原料制造塑料制品的项目。</w:t>
      </w:r>
    </w:p>
    <w:p w14:paraId="76EFB123">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15、重点关注《重点管控新污染物清单》、《有毒有害污</w:t>
      </w:r>
    </w:p>
    <w:p w14:paraId="6A7157D9">
      <w:pPr>
        <w:numPr>
          <w:ilvl w:val="0"/>
          <w:numId w:val="0"/>
        </w:numPr>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染物名录》、《优先控制化学品名录》以及《关于持久性有机污染物的斯德哥尔摩公约》的污染物，禁止审批不符合新污染物管控要求的建设项目，对照不予审批环评的项目类别（见附表），严格审核建设项目原辅材料和产品，对于以禁止生产、加工使用的新污染物作为原辅料或产品的建设项目，依法不予审批。</w:t>
      </w:r>
    </w:p>
    <w:p w14:paraId="582F1ABA">
      <w:pPr>
        <w:numPr>
          <w:ilvl w:val="0"/>
          <w:numId w:val="4"/>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所在区域环境质量未达到国家或者地方环境质量标准，且建设项目拟采取的措施不能满足区域环境质量改善目标管理要求的建设项目禁止建设。</w:t>
      </w:r>
    </w:p>
    <w:p w14:paraId="3A6E6F3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17、对于环境影响评价公示期间收到众多反对意见且无法</w:t>
      </w:r>
    </w:p>
    <w:p w14:paraId="6C49098D">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协调解决的建设项目，审批部门可以行使否决权。</w:t>
      </w:r>
    </w:p>
    <w:p w14:paraId="178AD065">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18、对于因弄虚作假被列入环保失信名单的企业，在未销</w:t>
      </w:r>
    </w:p>
    <w:p w14:paraId="6FCCBE86">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号前限制其后续建设项目的审批。</w:t>
      </w:r>
    </w:p>
    <w:p w14:paraId="674F4507">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其他说明</w:t>
      </w:r>
    </w:p>
    <w:p w14:paraId="37299DA5">
      <w:pPr>
        <w:numPr>
          <w:ilvl w:val="0"/>
          <w:numId w:val="5"/>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建德市建设项目环境保护审批控制清单（试行）发布</w:t>
      </w:r>
    </w:p>
    <w:p w14:paraId="46A72861">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后，各类建设项目环境保护审批准入严格按照清单明确的要求执行。</w:t>
      </w:r>
    </w:p>
    <w:p w14:paraId="63C656B7">
      <w:pPr>
        <w:numPr>
          <w:ilvl w:val="0"/>
          <w:numId w:val="5"/>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国家、省市颁布的法律法规、技术规定对建设项目有</w:t>
      </w:r>
    </w:p>
    <w:p w14:paraId="2E0DEBF2">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新规定的，从其规定执行，本控制清单进行动态调整。</w:t>
      </w:r>
    </w:p>
    <w:p w14:paraId="2E7E352A">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附表：依据新污染物管控要求不予审批环评的项目类别</w:t>
      </w:r>
    </w:p>
    <w:tbl>
      <w:tblPr>
        <w:tblStyle w:val="4"/>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8085"/>
      </w:tblGrid>
      <w:tr w14:paraId="7DB9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78CDA8DE">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编号</w:t>
            </w:r>
          </w:p>
        </w:tc>
        <w:tc>
          <w:tcPr>
            <w:tcW w:w="8085" w:type="dxa"/>
          </w:tcPr>
          <w:p w14:paraId="3BF054A6">
            <w:pPr>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不  予  审 批  环 评  的 项  目  类 别</w:t>
            </w:r>
          </w:p>
        </w:tc>
      </w:tr>
      <w:tr w14:paraId="7D31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17A62A5E">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8085" w:type="dxa"/>
            <w:shd w:val="clear" w:color="auto" w:fill="auto"/>
            <w:vAlign w:val="top"/>
          </w:tcPr>
          <w:p w14:paraId="5A594993">
            <w:pPr>
              <w:pStyle w:val="7"/>
              <w:spacing w:before="97" w:line="220" w:lineRule="auto"/>
            </w:pPr>
            <w:r>
              <w:rPr>
                <w:spacing w:val="-1"/>
              </w:rPr>
              <w:t>1.以全氟辛基磺酸及其盐类和全氟辛基磺酰氟（PFOS</w:t>
            </w:r>
            <w:r>
              <w:rPr>
                <w:spacing w:val="-38"/>
              </w:rPr>
              <w:t xml:space="preserve"> </w:t>
            </w:r>
            <w:r>
              <w:rPr>
                <w:spacing w:val="-1"/>
              </w:rPr>
              <w:t>类）为产品的新改扩建设项目</w:t>
            </w:r>
          </w:p>
          <w:p w14:paraId="32744C9D">
            <w:pPr>
              <w:numPr>
                <w:ilvl w:val="0"/>
                <w:numId w:val="0"/>
              </w:numPr>
              <w:ind w:left="0" w:leftChars="0" w:firstLine="0" w:firstLineChars="0"/>
              <w:jc w:val="center"/>
              <w:rPr>
                <w:rFonts w:hint="default" w:ascii="仿宋" w:hAnsi="仿宋" w:eastAsia="仿宋" w:cs="仿宋"/>
                <w:b/>
                <w:bCs/>
                <w:kern w:val="2"/>
                <w:sz w:val="24"/>
                <w:szCs w:val="24"/>
                <w:vertAlign w:val="baseline"/>
                <w:lang w:val="en-US" w:eastAsia="zh-CN" w:bidi="ar-SA"/>
              </w:rPr>
            </w:pPr>
            <w:r>
              <w:t>2.以全氟辛基磺酸及其盐类和全氟辛基磺酰</w:t>
            </w:r>
            <w:r>
              <w:rPr>
                <w:spacing w:val="-1"/>
              </w:rPr>
              <w:t>氟（PFOS</w:t>
            </w:r>
            <w:r>
              <w:rPr>
                <w:spacing w:val="-44"/>
              </w:rPr>
              <w:t xml:space="preserve"> </w:t>
            </w:r>
            <w:r>
              <w:rPr>
                <w:spacing w:val="-1"/>
              </w:rPr>
              <w:t>类）为原辅材料的新改扩建项目</w:t>
            </w:r>
          </w:p>
        </w:tc>
      </w:tr>
      <w:tr w14:paraId="1055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4E733AA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8085" w:type="dxa"/>
            <w:shd w:val="clear" w:color="auto" w:fill="auto"/>
            <w:vAlign w:val="top"/>
          </w:tcPr>
          <w:p w14:paraId="48F32955">
            <w:pPr>
              <w:pStyle w:val="7"/>
              <w:spacing w:before="99" w:line="220" w:lineRule="auto"/>
            </w:pPr>
            <w:r>
              <w:rPr>
                <w:spacing w:val="-2"/>
              </w:rPr>
              <w:t>1.新建全氟辛酸生产装置的建设项目</w:t>
            </w:r>
          </w:p>
          <w:p w14:paraId="06321599">
            <w:pPr>
              <w:numPr>
                <w:ilvl w:val="0"/>
                <w:numId w:val="0"/>
              </w:numPr>
              <w:jc w:val="both"/>
              <w:rPr>
                <w:spacing w:val="-2"/>
              </w:rPr>
            </w:pPr>
            <w:r>
              <w:rPr>
                <w:spacing w:val="-1"/>
              </w:rPr>
              <w:t>2.以全氟辛酸及其盐类和相关化合物（PFOA</w:t>
            </w:r>
            <w:r>
              <w:rPr>
                <w:spacing w:val="-44"/>
              </w:rPr>
              <w:t xml:space="preserve"> </w:t>
            </w:r>
            <w:r>
              <w:rPr>
                <w:spacing w:val="-1"/>
              </w:rPr>
              <w:t>类）为原辅</w:t>
            </w:r>
            <w:r>
              <w:rPr>
                <w:spacing w:val="-2"/>
              </w:rPr>
              <w:t>材料或产品的新改扩建项目</w:t>
            </w:r>
          </w:p>
          <w:p w14:paraId="22374837">
            <w:pPr>
              <w:numPr>
                <w:ilvl w:val="0"/>
                <w:numId w:val="0"/>
              </w:numPr>
              <w:ind w:left="0" w:leftChars="0" w:firstLine="0" w:firstLineChars="0"/>
              <w:jc w:val="both"/>
              <w:rPr>
                <w:rFonts w:hint="default" w:ascii="仿宋" w:hAnsi="仿宋" w:eastAsia="仿宋" w:cs="仿宋"/>
                <w:b/>
                <w:bCs/>
                <w:kern w:val="2"/>
                <w:sz w:val="24"/>
                <w:szCs w:val="24"/>
                <w:vertAlign w:val="baseline"/>
                <w:lang w:val="en-US" w:eastAsia="zh-CN" w:bidi="ar-SA"/>
              </w:rPr>
            </w:pPr>
            <w:r>
              <w:rPr>
                <w:spacing w:val="-2"/>
              </w:rPr>
              <w:t>（满足豁免条件</w:t>
            </w:r>
            <w:r>
              <w:rPr>
                <w:spacing w:val="-30"/>
              </w:rPr>
              <w:t xml:space="preserve"> </w:t>
            </w:r>
            <w:r>
              <w:rPr>
                <w:spacing w:val="-2"/>
                <w:position w:val="11"/>
                <w:sz w:val="11"/>
                <w:szCs w:val="11"/>
              </w:rPr>
              <w:t xml:space="preserve">1 </w:t>
            </w:r>
            <w:r>
              <w:rPr>
                <w:spacing w:val="-2"/>
              </w:rPr>
              <w:t>的除外）</w:t>
            </w:r>
          </w:p>
        </w:tc>
      </w:tr>
      <w:tr w14:paraId="0978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1F08C344">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8085" w:type="dxa"/>
            <w:shd w:val="clear" w:color="auto" w:fill="auto"/>
            <w:vAlign w:val="top"/>
          </w:tcPr>
          <w:p w14:paraId="6879B7B1">
            <w:pPr>
              <w:pStyle w:val="7"/>
              <w:spacing w:before="124" w:line="220" w:lineRule="auto"/>
              <w:ind w:left="129" w:leftChars="0"/>
              <w:rPr>
                <w:rFonts w:hint="default" w:ascii="仿宋" w:hAnsi="仿宋" w:eastAsia="仿宋" w:cs="仿宋"/>
                <w:b/>
                <w:bCs/>
                <w:kern w:val="2"/>
                <w:sz w:val="24"/>
                <w:szCs w:val="24"/>
                <w:vertAlign w:val="baseline"/>
                <w:lang w:val="en-US" w:eastAsia="zh-CN" w:bidi="ar-SA"/>
              </w:rPr>
            </w:pPr>
            <w:r>
              <w:rPr>
                <w:spacing w:val="-2"/>
              </w:rPr>
              <w:t>以十溴二苯醚为原辅材料或产品的新改扩建项目</w:t>
            </w:r>
          </w:p>
        </w:tc>
      </w:tr>
      <w:tr w14:paraId="2E51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7D15535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8085" w:type="dxa"/>
            <w:shd w:val="clear" w:color="auto" w:fill="auto"/>
            <w:vAlign w:val="top"/>
          </w:tcPr>
          <w:p w14:paraId="6BA63359">
            <w:pPr>
              <w:pStyle w:val="7"/>
              <w:spacing w:before="119" w:line="226" w:lineRule="auto"/>
              <w:ind w:left="130" w:leftChars="0"/>
              <w:rPr>
                <w:rFonts w:hint="default" w:ascii="仿宋" w:hAnsi="仿宋" w:eastAsia="仿宋" w:cs="仿宋"/>
                <w:b/>
                <w:bCs/>
                <w:kern w:val="2"/>
                <w:sz w:val="24"/>
                <w:szCs w:val="24"/>
                <w:vertAlign w:val="baseline"/>
                <w:lang w:val="en-US" w:eastAsia="zh-CN" w:bidi="ar-SA"/>
              </w:rPr>
            </w:pPr>
            <w:r>
              <w:rPr>
                <w:spacing w:val="-2"/>
              </w:rPr>
              <w:t>以短链氯化石蜡</w:t>
            </w:r>
            <w:r>
              <w:rPr>
                <w:spacing w:val="-47"/>
              </w:rPr>
              <w:t xml:space="preserve"> </w:t>
            </w:r>
            <w:r>
              <w:rPr>
                <w:spacing w:val="-2"/>
                <w:position w:val="10"/>
                <w:sz w:val="11"/>
                <w:szCs w:val="11"/>
              </w:rPr>
              <w:t>2</w:t>
            </w:r>
            <w:r>
              <w:rPr>
                <w:spacing w:val="-16"/>
                <w:position w:val="10"/>
                <w:sz w:val="11"/>
                <w:szCs w:val="11"/>
              </w:rPr>
              <w:t xml:space="preserve"> </w:t>
            </w:r>
            <w:r>
              <w:rPr>
                <w:spacing w:val="-2"/>
              </w:rPr>
              <w:t>为原辅材料或产品的新改</w:t>
            </w:r>
            <w:r>
              <w:rPr>
                <w:spacing w:val="-3"/>
              </w:rPr>
              <w:t>扩建项目</w:t>
            </w:r>
          </w:p>
        </w:tc>
      </w:tr>
      <w:tr w14:paraId="5BEE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1C5A8097">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8085" w:type="dxa"/>
            <w:shd w:val="clear" w:color="auto" w:fill="auto"/>
            <w:vAlign w:val="top"/>
          </w:tcPr>
          <w:p w14:paraId="29B059CD">
            <w:pPr>
              <w:pStyle w:val="7"/>
              <w:spacing w:before="127" w:line="220" w:lineRule="auto"/>
              <w:ind w:left="129" w:leftChars="0"/>
              <w:rPr>
                <w:rFonts w:hint="default" w:ascii="仿宋" w:hAnsi="仿宋" w:eastAsia="仿宋" w:cs="仿宋"/>
                <w:b/>
                <w:bCs/>
                <w:kern w:val="2"/>
                <w:sz w:val="24"/>
                <w:szCs w:val="24"/>
                <w:vertAlign w:val="baseline"/>
                <w:lang w:val="en-US" w:eastAsia="zh-CN" w:bidi="ar-SA"/>
              </w:rPr>
            </w:pPr>
            <w:r>
              <w:rPr>
                <w:spacing w:val="-2"/>
              </w:rPr>
              <w:t>以六氯丁二烯为原辅材料或产品的新改扩建项目</w:t>
            </w:r>
          </w:p>
        </w:tc>
      </w:tr>
      <w:tr w14:paraId="53ED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2B7857DD">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8085" w:type="dxa"/>
            <w:shd w:val="clear" w:color="auto" w:fill="auto"/>
            <w:vAlign w:val="top"/>
          </w:tcPr>
          <w:p w14:paraId="0C60025A">
            <w:pPr>
              <w:pStyle w:val="7"/>
              <w:spacing w:before="128" w:line="220" w:lineRule="auto"/>
              <w:ind w:left="129" w:leftChars="0"/>
              <w:rPr>
                <w:rFonts w:hint="default" w:ascii="仿宋" w:hAnsi="仿宋" w:eastAsia="仿宋" w:cs="仿宋"/>
                <w:b/>
                <w:bCs/>
                <w:kern w:val="2"/>
                <w:sz w:val="24"/>
                <w:szCs w:val="24"/>
                <w:vertAlign w:val="baseline"/>
                <w:lang w:val="en-US" w:eastAsia="zh-CN" w:bidi="ar-SA"/>
              </w:rPr>
            </w:pPr>
            <w:r>
              <w:rPr>
                <w:spacing w:val="-1"/>
              </w:rPr>
              <w:t>以五氯苯酚及其盐类和酯类为原辅材料或产品的新改</w:t>
            </w:r>
            <w:r>
              <w:rPr>
                <w:spacing w:val="-2"/>
              </w:rPr>
              <w:t>扩建项目</w:t>
            </w:r>
          </w:p>
        </w:tc>
      </w:tr>
      <w:tr w14:paraId="2F4D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6510D4C8">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8085" w:type="dxa"/>
            <w:shd w:val="clear" w:color="auto" w:fill="auto"/>
            <w:vAlign w:val="top"/>
          </w:tcPr>
          <w:p w14:paraId="369786F9">
            <w:pPr>
              <w:pStyle w:val="7"/>
              <w:spacing w:before="130" w:line="220" w:lineRule="auto"/>
              <w:ind w:left="129" w:leftChars="0"/>
              <w:rPr>
                <w:rFonts w:hint="default" w:ascii="仿宋" w:hAnsi="仿宋" w:eastAsia="仿宋" w:cs="仿宋"/>
                <w:b/>
                <w:bCs/>
                <w:kern w:val="2"/>
                <w:sz w:val="24"/>
                <w:szCs w:val="24"/>
                <w:vertAlign w:val="baseline"/>
                <w:lang w:val="en-US" w:eastAsia="zh-CN" w:bidi="ar-SA"/>
              </w:rPr>
            </w:pPr>
            <w:r>
              <w:rPr>
                <w:spacing w:val="-2"/>
              </w:rPr>
              <w:t>以三氯杀螨醇为原辅材料或产品的新改扩建项目</w:t>
            </w:r>
          </w:p>
        </w:tc>
      </w:tr>
      <w:tr w14:paraId="5F67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6A0ECE3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8085" w:type="dxa"/>
            <w:shd w:val="clear" w:color="auto" w:fill="auto"/>
            <w:vAlign w:val="top"/>
          </w:tcPr>
          <w:p w14:paraId="7CC549EB">
            <w:pPr>
              <w:pStyle w:val="7"/>
              <w:spacing w:before="131" w:line="220" w:lineRule="auto"/>
              <w:ind w:left="129" w:leftChars="0"/>
              <w:rPr>
                <w:rFonts w:hint="default" w:ascii="仿宋" w:hAnsi="仿宋" w:eastAsia="仿宋" w:cs="仿宋"/>
                <w:b/>
                <w:bCs/>
                <w:kern w:val="2"/>
                <w:sz w:val="24"/>
                <w:szCs w:val="24"/>
                <w:vertAlign w:val="baseline"/>
                <w:lang w:val="en-US" w:eastAsia="zh-CN" w:bidi="ar-SA"/>
              </w:rPr>
            </w:pPr>
            <w:r>
              <w:rPr>
                <w:spacing w:val="-1"/>
              </w:rPr>
              <w:t>以全氟己基磺酸及其盐类和相关化合物（PFHxS</w:t>
            </w:r>
            <w:r>
              <w:rPr>
                <w:spacing w:val="-45"/>
              </w:rPr>
              <w:t xml:space="preserve"> </w:t>
            </w:r>
            <w:r>
              <w:rPr>
                <w:spacing w:val="-1"/>
              </w:rPr>
              <w:t>类）为原辅材料或产品的新改扩建项目</w:t>
            </w:r>
          </w:p>
        </w:tc>
      </w:tr>
      <w:tr w14:paraId="0D4F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288E9CEA">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8085" w:type="dxa"/>
            <w:shd w:val="clear" w:color="auto" w:fill="auto"/>
            <w:vAlign w:val="top"/>
          </w:tcPr>
          <w:p w14:paraId="1C02EBB4">
            <w:pPr>
              <w:pStyle w:val="7"/>
              <w:spacing w:before="132" w:line="220" w:lineRule="auto"/>
              <w:ind w:left="129" w:leftChars="0"/>
              <w:rPr>
                <w:rFonts w:hint="default" w:ascii="仿宋" w:hAnsi="仿宋" w:eastAsia="仿宋" w:cs="仿宋"/>
                <w:b/>
                <w:bCs/>
                <w:kern w:val="2"/>
                <w:sz w:val="24"/>
                <w:szCs w:val="24"/>
                <w:vertAlign w:val="baseline"/>
                <w:lang w:val="en-US" w:eastAsia="zh-CN" w:bidi="ar-SA"/>
              </w:rPr>
            </w:pPr>
            <w:r>
              <w:rPr>
                <w:spacing w:val="-1"/>
              </w:rPr>
              <w:t>以得克隆及其顺式异构体和反式异构体为原辅材料或产品的新改扩建项目</w:t>
            </w:r>
          </w:p>
        </w:tc>
      </w:tr>
      <w:tr w14:paraId="7A6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2D5A7752">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8085" w:type="dxa"/>
            <w:vAlign w:val="top"/>
          </w:tcPr>
          <w:p w14:paraId="309C41DE">
            <w:pPr>
              <w:pStyle w:val="7"/>
              <w:numPr>
                <w:ilvl w:val="0"/>
                <w:numId w:val="0"/>
              </w:numPr>
              <w:spacing w:before="124" w:line="220" w:lineRule="auto"/>
              <w:rPr>
                <w:spacing w:val="-2"/>
              </w:rPr>
            </w:pPr>
            <w:r>
              <w:rPr>
                <w:rFonts w:hint="eastAsia"/>
                <w:spacing w:val="-1"/>
                <w:lang w:val="en-US" w:eastAsia="zh-CN"/>
              </w:rPr>
              <w:t>1.</w:t>
            </w:r>
            <w:r>
              <w:rPr>
                <w:spacing w:val="-1"/>
              </w:rPr>
              <w:t>以含有二氯甲烷的脱漆剂为产品的新改扩</w:t>
            </w:r>
            <w:r>
              <w:rPr>
                <w:spacing w:val="-2"/>
              </w:rPr>
              <w:t>建项目</w:t>
            </w:r>
          </w:p>
          <w:p w14:paraId="40E840C2">
            <w:pPr>
              <w:pStyle w:val="7"/>
              <w:numPr>
                <w:ilvl w:val="0"/>
                <w:numId w:val="0"/>
              </w:numPr>
              <w:spacing w:before="124" w:line="220" w:lineRule="auto"/>
              <w:rPr>
                <w:rFonts w:hint="default" w:ascii="仿宋" w:hAnsi="仿宋" w:eastAsia="仿宋" w:cs="仿宋"/>
                <w:b/>
                <w:bCs/>
                <w:sz w:val="24"/>
                <w:szCs w:val="24"/>
                <w:vertAlign w:val="baseline"/>
                <w:lang w:val="en-US" w:eastAsia="zh-CN"/>
              </w:rPr>
            </w:pPr>
            <w:r>
              <w:rPr>
                <w:rFonts w:hint="eastAsia"/>
                <w:spacing w:val="-1"/>
                <w:lang w:val="en-US" w:eastAsia="zh-CN"/>
              </w:rPr>
              <w:t>2.</w:t>
            </w:r>
            <w:r>
              <w:rPr>
                <w:spacing w:val="-1"/>
              </w:rPr>
              <w:t>以含有二氯甲烷组分的化妆品为产品的生产项目</w:t>
            </w:r>
          </w:p>
        </w:tc>
      </w:tr>
      <w:tr w14:paraId="7D0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73" w:type="dxa"/>
            <w:vAlign w:val="center"/>
          </w:tcPr>
          <w:p w14:paraId="1F45B39B">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8085" w:type="dxa"/>
          </w:tcPr>
          <w:p w14:paraId="20553032">
            <w:pPr>
              <w:numPr>
                <w:ilvl w:val="0"/>
                <w:numId w:val="0"/>
              </w:numPr>
              <w:jc w:val="both"/>
              <w:rPr>
                <w:rFonts w:hint="default" w:ascii="仿宋" w:hAnsi="仿宋" w:eastAsia="仿宋" w:cs="仿宋"/>
                <w:b/>
                <w:bCs/>
                <w:sz w:val="24"/>
                <w:szCs w:val="24"/>
                <w:vertAlign w:val="baseline"/>
                <w:lang w:val="en-US" w:eastAsia="zh-CN"/>
              </w:rPr>
            </w:pPr>
            <w:r>
              <w:rPr>
                <w:spacing w:val="-2"/>
              </w:rPr>
              <w:t>以含有三氯甲烷的脱漆剂为产品的新改扩建项目</w:t>
            </w:r>
          </w:p>
        </w:tc>
      </w:tr>
      <w:tr w14:paraId="694C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2F7C6399">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8085" w:type="dxa"/>
          </w:tcPr>
          <w:p w14:paraId="2D41271A">
            <w:pPr>
              <w:pStyle w:val="7"/>
              <w:spacing w:before="195" w:line="220" w:lineRule="auto"/>
            </w:pPr>
            <w:r>
              <w:rPr>
                <w:rFonts w:hint="eastAsia"/>
                <w:spacing w:val="-2"/>
                <w:lang w:val="en-US" w:eastAsia="zh-CN"/>
              </w:rPr>
              <w:t>1.</w:t>
            </w:r>
            <w:r>
              <w:rPr>
                <w:spacing w:val="-2"/>
              </w:rPr>
              <w:t>以壬基酚为助剂的新改扩建农药生产项目</w:t>
            </w:r>
          </w:p>
          <w:p w14:paraId="5F2E8850">
            <w:pPr>
              <w:numPr>
                <w:ilvl w:val="0"/>
                <w:numId w:val="0"/>
              </w:numPr>
              <w:jc w:val="both"/>
              <w:rPr>
                <w:spacing w:val="14"/>
              </w:rPr>
            </w:pPr>
            <w:r>
              <w:rPr>
                <w:spacing w:val="-1"/>
              </w:rPr>
              <w:t>2.以壬基酚为原料生产壬基酚聚氧乙烯醚的新改扩建项目</w:t>
            </w:r>
            <w:r>
              <w:rPr>
                <w:spacing w:val="14"/>
              </w:rPr>
              <w:t xml:space="preserve"> </w:t>
            </w:r>
          </w:p>
          <w:p w14:paraId="49FA71EF">
            <w:pPr>
              <w:numPr>
                <w:ilvl w:val="0"/>
                <w:numId w:val="0"/>
              </w:numPr>
              <w:jc w:val="both"/>
              <w:rPr>
                <w:rFonts w:hint="default" w:ascii="仿宋" w:hAnsi="仿宋" w:eastAsia="仿宋" w:cs="仿宋"/>
                <w:b/>
                <w:bCs/>
                <w:sz w:val="24"/>
                <w:szCs w:val="24"/>
                <w:vertAlign w:val="baseline"/>
                <w:lang w:val="en-US" w:eastAsia="zh-CN"/>
              </w:rPr>
            </w:pPr>
            <w:r>
              <w:rPr>
                <w:spacing w:val="-1"/>
              </w:rPr>
              <w:t>3.以含有壬基酚组分的化妆品为产品的新改扩建项目</w:t>
            </w:r>
          </w:p>
        </w:tc>
      </w:tr>
      <w:tr w14:paraId="3FD4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14:paraId="6C74AD17">
            <w:pPr>
              <w:numPr>
                <w:ilvl w:val="0"/>
                <w:numId w:val="0"/>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8085" w:type="dxa"/>
          </w:tcPr>
          <w:p w14:paraId="283FEEDC">
            <w:pPr>
              <w:numPr>
                <w:ilvl w:val="0"/>
                <w:numId w:val="0"/>
              </w:numPr>
              <w:jc w:val="both"/>
              <w:rPr>
                <w:rFonts w:hint="default" w:ascii="仿宋" w:hAnsi="仿宋" w:eastAsia="仿宋" w:cs="仿宋"/>
                <w:b/>
                <w:bCs/>
                <w:sz w:val="24"/>
                <w:szCs w:val="24"/>
                <w:vertAlign w:val="baseline"/>
                <w:lang w:val="en-US" w:eastAsia="zh-CN"/>
              </w:rPr>
            </w:pPr>
            <w:r>
              <w:rPr>
                <w:spacing w:val="-1"/>
              </w:rPr>
              <w:t>以六溴环十二烷、氯丹、灭蚁灵、六氯苯、滴滴涕、α-六氯环己烷、β-六氯环己烷、林丹、硫丹原药及其相关异构体、多氯联苯为原</w:t>
            </w:r>
            <w:r>
              <w:rPr>
                <w:spacing w:val="4"/>
              </w:rPr>
              <w:t xml:space="preserve"> </w:t>
            </w:r>
            <w:r>
              <w:rPr>
                <w:spacing w:val="-1"/>
              </w:rPr>
              <w:t>辅材料或产品的新改扩建项目</w:t>
            </w:r>
          </w:p>
        </w:tc>
      </w:tr>
    </w:tbl>
    <w:p w14:paraId="25BBF29D">
      <w:pPr>
        <w:pStyle w:val="2"/>
        <w:spacing w:before="68" w:line="220" w:lineRule="auto"/>
        <w:ind w:left="14"/>
      </w:pPr>
      <w:r>
        <w:rPr>
          <w:spacing w:val="-6"/>
        </w:rPr>
        <w:t>注</w:t>
      </w:r>
      <w:r>
        <w:rPr>
          <w:spacing w:val="-21"/>
        </w:rPr>
        <w:t xml:space="preserve"> </w:t>
      </w:r>
      <w:r>
        <w:rPr>
          <w:spacing w:val="-6"/>
        </w:rPr>
        <w:t>1：PFOA</w:t>
      </w:r>
      <w:r>
        <w:rPr>
          <w:spacing w:val="-45"/>
        </w:rPr>
        <w:t xml:space="preserve"> </w:t>
      </w:r>
      <w:r>
        <w:rPr>
          <w:spacing w:val="-6"/>
        </w:rPr>
        <w:t>类豁免项目包括：</w:t>
      </w:r>
    </w:p>
    <w:p w14:paraId="32AE7966">
      <w:pPr>
        <w:pStyle w:val="2"/>
        <w:spacing w:before="76" w:line="220" w:lineRule="auto"/>
        <w:ind w:left="439"/>
      </w:pPr>
      <w:r>
        <w:rPr>
          <w:spacing w:val="-4"/>
        </w:rPr>
        <w:t>（1） 半导体制造中的光刻或蚀刻工艺；</w:t>
      </w:r>
    </w:p>
    <w:p w14:paraId="23FFDDD3">
      <w:pPr>
        <w:pStyle w:val="2"/>
        <w:spacing w:before="77" w:line="220" w:lineRule="auto"/>
        <w:ind w:left="439"/>
      </w:pPr>
      <w:r>
        <w:rPr>
          <w:spacing w:val="-5"/>
        </w:rPr>
        <w:t>（2） 用于胶卷的摄影涂料；</w:t>
      </w:r>
    </w:p>
    <w:p w14:paraId="4E48CD8D">
      <w:pPr>
        <w:pStyle w:val="2"/>
        <w:spacing w:before="76" w:line="220" w:lineRule="auto"/>
        <w:ind w:left="439"/>
      </w:pPr>
      <w:r>
        <w:rPr>
          <w:spacing w:val="-2"/>
        </w:rPr>
        <w:t>（3） 保护工人免受危险液体造成的健康和安全风险影响的拒油拒水纺织品；</w:t>
      </w:r>
    </w:p>
    <w:p w14:paraId="567E25DD">
      <w:pPr>
        <w:pStyle w:val="2"/>
        <w:spacing w:before="76" w:line="220" w:lineRule="auto"/>
        <w:ind w:left="439"/>
      </w:pPr>
      <w:r>
        <w:rPr>
          <w:spacing w:val="-4"/>
        </w:rPr>
        <w:t>（4） 侵入性和可植入的医疗装置；</w:t>
      </w:r>
    </w:p>
    <w:p w14:paraId="090065ED">
      <w:pPr>
        <w:pStyle w:val="2"/>
        <w:spacing w:before="77" w:line="220" w:lineRule="auto"/>
        <w:ind w:left="439"/>
      </w:pPr>
      <w:r>
        <w:rPr>
          <w:spacing w:val="-2"/>
        </w:rPr>
        <w:t>（5） 使用全氟碘辛烷生产全氟溴辛烷，用于药</w:t>
      </w:r>
      <w:r>
        <w:rPr>
          <w:spacing w:val="-3"/>
        </w:rPr>
        <w:t>品生产目的；</w:t>
      </w:r>
    </w:p>
    <w:p w14:paraId="3D1159EE">
      <w:pPr>
        <w:pStyle w:val="2"/>
        <w:spacing w:before="77" w:line="253" w:lineRule="auto"/>
        <w:ind w:left="15" w:right="6" w:firstLine="424"/>
      </w:pPr>
      <w:r>
        <w:rPr>
          <w:spacing w:val="-3"/>
        </w:rPr>
        <w:t>（6） 为生产高性能耐腐蚀气体过滤膜、水过滤膜和医疗用布膜，</w:t>
      </w:r>
      <w:r>
        <w:rPr>
          <w:spacing w:val="39"/>
        </w:rPr>
        <w:t xml:space="preserve"> </w:t>
      </w:r>
      <w:r>
        <w:rPr>
          <w:spacing w:val="-3"/>
        </w:rPr>
        <w:t>工业废热交换</w:t>
      </w:r>
      <w:r>
        <w:rPr>
          <w:spacing w:val="-4"/>
        </w:rPr>
        <w:t>器设备，以及能防止挥发性有机化合物和</w:t>
      </w:r>
      <w:r>
        <w:rPr>
          <w:spacing w:val="-47"/>
        </w:rPr>
        <w:t xml:space="preserve"> </w:t>
      </w:r>
      <w:r>
        <w:rPr>
          <w:spacing w:val="-4"/>
        </w:rPr>
        <w:t>PM</w:t>
      </w:r>
      <w:r>
        <w:rPr>
          <w:spacing w:val="-4"/>
          <w:sz w:val="11"/>
          <w:szCs w:val="11"/>
        </w:rPr>
        <w:t xml:space="preserve">2.5 </w:t>
      </w:r>
      <w:r>
        <w:rPr>
          <w:spacing w:val="-4"/>
        </w:rPr>
        <w:t>颗粒泄露的工业</w:t>
      </w:r>
      <w:r>
        <w:t xml:space="preserve"> </w:t>
      </w:r>
      <w:r>
        <w:rPr>
          <w:spacing w:val="-1"/>
        </w:rPr>
        <w:t>密封剂等产品而制造聚四氟乙烯（PTFE）和聚偏氟乙烯（PVDF</w:t>
      </w:r>
      <w:r>
        <w:rPr>
          <w:spacing w:val="-7"/>
        </w:rPr>
        <w:t>）；</w:t>
      </w:r>
    </w:p>
    <w:p w14:paraId="360E55F5">
      <w:pPr>
        <w:pStyle w:val="2"/>
        <w:spacing w:before="78" w:line="220" w:lineRule="auto"/>
        <w:ind w:left="439"/>
      </w:pPr>
      <w:r>
        <w:rPr>
          <w:spacing w:val="-1"/>
        </w:rPr>
        <w:t>（7） 制造用于生产输电用高压电线电缆的聚全氟乙丙烯（FEP</w:t>
      </w:r>
      <w:r>
        <w:rPr>
          <w:spacing w:val="-2"/>
        </w:rPr>
        <w:t>）。</w:t>
      </w:r>
    </w:p>
    <w:p w14:paraId="364B5E6D">
      <w:pPr>
        <w:pStyle w:val="2"/>
        <w:spacing w:before="76" w:line="220" w:lineRule="auto"/>
        <w:ind w:left="14"/>
        <w:rPr>
          <w:rFonts w:hint="default" w:ascii="仿宋" w:hAnsi="仿宋" w:eastAsia="仿宋" w:cs="仿宋"/>
          <w:sz w:val="32"/>
          <w:szCs w:val="32"/>
          <w:lang w:val="en-US" w:eastAsia="zh-CN"/>
        </w:rPr>
      </w:pPr>
      <w:r>
        <w:rPr>
          <w:spacing w:val="-1"/>
        </w:rPr>
        <w:t>注</w:t>
      </w:r>
      <w:r>
        <w:rPr>
          <w:spacing w:val="-42"/>
        </w:rPr>
        <w:t xml:space="preserve"> </w:t>
      </w:r>
      <w:r>
        <w:rPr>
          <w:spacing w:val="-1"/>
        </w:rPr>
        <w:t>2：短链氯化石蜡是指链长</w:t>
      </w:r>
      <w:r>
        <w:rPr>
          <w:spacing w:val="-45"/>
        </w:rPr>
        <w:t xml:space="preserve"> </w:t>
      </w:r>
      <w:r>
        <w:rPr>
          <w:spacing w:val="-1"/>
        </w:rPr>
        <w:t>C</w:t>
      </w:r>
      <w:r>
        <w:rPr>
          <w:spacing w:val="-1"/>
          <w:sz w:val="11"/>
          <w:szCs w:val="11"/>
        </w:rPr>
        <w:t>10</w:t>
      </w:r>
      <w:r>
        <w:rPr>
          <w:spacing w:val="-18"/>
          <w:sz w:val="11"/>
          <w:szCs w:val="11"/>
        </w:rPr>
        <w:t xml:space="preserve"> </w:t>
      </w:r>
      <w:r>
        <w:rPr>
          <w:spacing w:val="-1"/>
        </w:rPr>
        <w:t>至</w:t>
      </w:r>
      <w:r>
        <w:rPr>
          <w:spacing w:val="-47"/>
        </w:rPr>
        <w:t xml:space="preserve"> </w:t>
      </w:r>
      <w:r>
        <w:rPr>
          <w:spacing w:val="-1"/>
        </w:rPr>
        <w:t>C</w:t>
      </w:r>
      <w:r>
        <w:rPr>
          <w:spacing w:val="-1"/>
          <w:sz w:val="11"/>
          <w:szCs w:val="11"/>
        </w:rPr>
        <w:t xml:space="preserve">13 </w:t>
      </w:r>
      <w:r>
        <w:rPr>
          <w:spacing w:val="-1"/>
        </w:rPr>
        <w:t>的直链氯化碳氢化合物</w:t>
      </w:r>
      <w:r>
        <w:rPr>
          <w:spacing w:val="-2"/>
        </w:rPr>
        <w:t>，且氯含量按重量计超过</w:t>
      </w:r>
      <w:r>
        <w:rPr>
          <w:spacing w:val="-45"/>
        </w:rPr>
        <w:t xml:space="preserve"> </w:t>
      </w:r>
      <w:r>
        <w:rPr>
          <w:spacing w:val="-2"/>
        </w:rPr>
        <w:t>48%，其在混合物中的浓度按重量计大于或等于</w:t>
      </w:r>
      <w:r>
        <w:rPr>
          <w:spacing w:val="-28"/>
        </w:rPr>
        <w:t xml:space="preserve"> </w:t>
      </w:r>
      <w:r>
        <w:rPr>
          <w:spacing w:val="-2"/>
        </w:rPr>
        <w:t>1%。</w:t>
      </w:r>
    </w:p>
    <w:p w14:paraId="05DE828C">
      <w:pPr>
        <w:rPr>
          <w:rFonts w:hint="default"/>
          <w:lang w:val="en-US" w:eastAsia="zh-CN"/>
        </w:rPr>
      </w:pPr>
    </w:p>
    <w:sectPr>
      <w:pgSz w:w="11906" w:h="16838"/>
      <w:pgMar w:top="1270"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D4CAF"/>
    <w:multiLevelType w:val="singleLevel"/>
    <w:tmpl w:val="F20D4CAF"/>
    <w:lvl w:ilvl="0" w:tentative="0">
      <w:start w:val="1"/>
      <w:numFmt w:val="decimal"/>
      <w:suff w:val="nothing"/>
      <w:lvlText w:val="%1、"/>
      <w:lvlJc w:val="left"/>
    </w:lvl>
  </w:abstractNum>
  <w:abstractNum w:abstractNumId="1">
    <w:nsid w:val="29DE8064"/>
    <w:multiLevelType w:val="singleLevel"/>
    <w:tmpl w:val="29DE8064"/>
    <w:lvl w:ilvl="0" w:tentative="0">
      <w:start w:val="6"/>
      <w:numFmt w:val="decimal"/>
      <w:suff w:val="nothing"/>
      <w:lvlText w:val="%1、"/>
      <w:lvlJc w:val="left"/>
    </w:lvl>
  </w:abstractNum>
  <w:abstractNum w:abstractNumId="2">
    <w:nsid w:val="6229BA4D"/>
    <w:multiLevelType w:val="singleLevel"/>
    <w:tmpl w:val="6229BA4D"/>
    <w:lvl w:ilvl="0" w:tentative="0">
      <w:start w:val="1"/>
      <w:numFmt w:val="chineseCounting"/>
      <w:suff w:val="nothing"/>
      <w:lvlText w:val="%1、"/>
      <w:lvlJc w:val="left"/>
      <w:pPr>
        <w:ind w:left="-10"/>
      </w:pPr>
      <w:rPr>
        <w:rFonts w:hint="eastAsia"/>
      </w:rPr>
    </w:lvl>
  </w:abstractNum>
  <w:abstractNum w:abstractNumId="3">
    <w:nsid w:val="636BCBD3"/>
    <w:multiLevelType w:val="singleLevel"/>
    <w:tmpl w:val="636BCBD3"/>
    <w:lvl w:ilvl="0" w:tentative="0">
      <w:start w:val="16"/>
      <w:numFmt w:val="decimal"/>
      <w:suff w:val="nothing"/>
      <w:lvlText w:val="%1、"/>
      <w:lvlJc w:val="left"/>
    </w:lvl>
  </w:abstractNum>
  <w:abstractNum w:abstractNumId="4">
    <w:nsid w:val="6F2197CC"/>
    <w:multiLevelType w:val="singleLevel"/>
    <w:tmpl w:val="6F2197CC"/>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45BC"/>
    <w:rsid w:val="00AF4647"/>
    <w:rsid w:val="02087D78"/>
    <w:rsid w:val="03CD7BCF"/>
    <w:rsid w:val="0507210A"/>
    <w:rsid w:val="07DE5D7B"/>
    <w:rsid w:val="09626F4E"/>
    <w:rsid w:val="09901168"/>
    <w:rsid w:val="0CE555B2"/>
    <w:rsid w:val="0D523469"/>
    <w:rsid w:val="0D54519F"/>
    <w:rsid w:val="0E4A5707"/>
    <w:rsid w:val="0FC15E8F"/>
    <w:rsid w:val="10D53966"/>
    <w:rsid w:val="11E72644"/>
    <w:rsid w:val="1C736114"/>
    <w:rsid w:val="1D577E6B"/>
    <w:rsid w:val="28AF2A7C"/>
    <w:rsid w:val="2B6302C8"/>
    <w:rsid w:val="2E6A4A96"/>
    <w:rsid w:val="307C4780"/>
    <w:rsid w:val="30E11AC2"/>
    <w:rsid w:val="334F0E07"/>
    <w:rsid w:val="342A7E33"/>
    <w:rsid w:val="35ED3C8B"/>
    <w:rsid w:val="37CB1199"/>
    <w:rsid w:val="37CD45BC"/>
    <w:rsid w:val="37E64902"/>
    <w:rsid w:val="383810EF"/>
    <w:rsid w:val="3B8F24A7"/>
    <w:rsid w:val="3F2D1336"/>
    <w:rsid w:val="3FB05973"/>
    <w:rsid w:val="435F59E0"/>
    <w:rsid w:val="487A531F"/>
    <w:rsid w:val="48D32F5A"/>
    <w:rsid w:val="48D509C2"/>
    <w:rsid w:val="4B3733D2"/>
    <w:rsid w:val="4B7C54FA"/>
    <w:rsid w:val="4C021344"/>
    <w:rsid w:val="4C6A6893"/>
    <w:rsid w:val="4CC11285"/>
    <w:rsid w:val="4CD64061"/>
    <w:rsid w:val="4E0465C6"/>
    <w:rsid w:val="503D02A3"/>
    <w:rsid w:val="51BE78CB"/>
    <w:rsid w:val="54E87AB4"/>
    <w:rsid w:val="55B915A0"/>
    <w:rsid w:val="55F5117A"/>
    <w:rsid w:val="560B2889"/>
    <w:rsid w:val="561641AD"/>
    <w:rsid w:val="56657940"/>
    <w:rsid w:val="59E479B3"/>
    <w:rsid w:val="5AE605F2"/>
    <w:rsid w:val="5B241713"/>
    <w:rsid w:val="5C731040"/>
    <w:rsid w:val="5CDC1946"/>
    <w:rsid w:val="5F1D035A"/>
    <w:rsid w:val="60D70805"/>
    <w:rsid w:val="63EB0F1A"/>
    <w:rsid w:val="63F02028"/>
    <w:rsid w:val="649C2074"/>
    <w:rsid w:val="64A413E2"/>
    <w:rsid w:val="680E6D0D"/>
    <w:rsid w:val="685716AA"/>
    <w:rsid w:val="6CDE00B7"/>
    <w:rsid w:val="6E4435F3"/>
    <w:rsid w:val="6E942BDC"/>
    <w:rsid w:val="6EF80A01"/>
    <w:rsid w:val="709A7A5C"/>
    <w:rsid w:val="71900C04"/>
    <w:rsid w:val="72263A65"/>
    <w:rsid w:val="77592A4A"/>
    <w:rsid w:val="779C40BA"/>
    <w:rsid w:val="77CB2BF1"/>
    <w:rsid w:val="78BF4A59"/>
    <w:rsid w:val="7EC83A2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
    <w:basedOn w:val="1"/>
    <w:qFormat/>
    <w:uiPriority w:val="0"/>
    <w:pPr>
      <w:widowControl/>
      <w:snapToGrid w:val="0"/>
    </w:pPr>
    <w:rPr>
      <w:rFonts w:eastAsia="仿宋_GB2312"/>
      <w:kern w:val="0"/>
      <w:sz w:val="32"/>
      <w:szCs w:val="21"/>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2036</Words>
  <Characters>2064</Characters>
  <Lines>0</Lines>
  <Paragraphs>0</Paragraphs>
  <TotalTime>0</TotalTime>
  <ScaleCrop>false</ScaleCrop>
  <LinksUpToDate>false</LinksUpToDate>
  <CharactersWithSpaces>2100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2025-02-24T00:40:00Z</dcterms:created>
  <dc:creator>hbj03</dc:creator>
  <cp:lastModifiedBy>张越</cp:lastModifiedBy>
  <dcterms:modified xsi:type="dcterms:W3CDTF">2025-06-10T05:41:58Z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D4EA1C0B69D845B9A82FCB055ABE79C4_11</vt:lpwstr>
  </property>
  <property fmtid="{D5CDD505-2E9C-101B-9397-08002B2CF9AE}" pid="4" name="KSOTemplateDocerSaveRecord">
    <vt:lpwstr>eyJoZGlkIjoiYjY5YWVlNzIzZjJiODg1YzVjNWQzNGQxMDBmMGU5NzciLCJ1c2VySWQiOiIyNzM5NjAyODEifQ==</vt:lpwstr>
  </property>
</Properties>
</file>