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10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A 10"/>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10</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713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1204" w:hRule="atLeast"/>
        </w:trPr>
        <w:tc>
          <w:tcPr>
            <w:tcW w:w="7134" w:type="dxa"/>
          </w:tcPr>
          <w:p>
            <w:pPr>
              <w:pStyle w:val="50"/>
              <w:framePr w:w="0" w:hRule="auto" w:wrap="auto" w:vAnchor="margin" w:hAnchor="text" w:xAlign="left" w:yAlign="inline"/>
              <w:rPr>
                <w:rFonts w:ascii="宋体" w:hAnsi="宋体"/>
                <w:sz w:val="28"/>
                <w:szCs w:val="28"/>
              </w:rPr>
            </w:pPr>
            <w:bookmarkStart w:id="2" w:name="_Hlk26473981"/>
            <w:r>
              <w:rPr>
                <w:rFonts w:hint="eastAsia"/>
              </w:rPr>
              <w:t>DJG</w:t>
            </w:r>
            <w:r>
              <w:rPr>
                <w:sz w:val="21"/>
                <w:szCs w:val="21"/>
              </w:rPr>
              <w:t xml:space="preserve"> </w:t>
            </w:r>
            <w:r>
              <w:fldChar w:fldCharType="begin">
                <w:ffData>
                  <w:name w:val="c1"/>
                  <w:enabled/>
                  <w:calcOnExit w:val="0"/>
                  <w:textInput>
                    <w:default w:val="331102"/>
                    <w:maxLength w:val="8"/>
                  </w:textInput>
                </w:ffData>
              </w:fldChar>
            </w:r>
            <w:bookmarkStart w:id="3" w:name="c1"/>
            <w:r>
              <w:instrText xml:space="preserve"> FORMTEXT </w:instrText>
            </w:r>
            <w:r>
              <w:fldChar w:fldCharType="separate"/>
            </w:r>
            <w:r>
              <w:t>331102</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浙江省丽水市莲都区"/>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浙江省丽水市莲都区</w:t>
      </w:r>
      <w:r>
        <w:rPr>
          <w:rFonts w:ascii="黑体" w:eastAsia="黑体"/>
          <w:b w:val="0"/>
          <w:w w:val="100"/>
          <w:sz w:val="48"/>
        </w:rPr>
        <w:fldChar w:fldCharType="end"/>
      </w:r>
      <w:bookmarkEnd w:id="4"/>
      <w:r>
        <w:rPr>
          <w:rFonts w:hint="eastAsia" w:ascii="黑体" w:hAnsi="黑体" w:eastAsia="黑体"/>
          <w:b w:val="0"/>
          <w:bCs w:val="0"/>
          <w:w w:val="100"/>
          <w:sz w:val="48"/>
          <w:szCs w:val="48"/>
        </w:rPr>
        <w:t>地方技术性规范</w:t>
      </w:r>
    </w:p>
    <w:bookmarkEnd w:id="2"/>
    <w:p>
      <w:pPr>
        <w:pStyle w:val="196"/>
        <w:rPr>
          <w:lang w:val="fr-FR"/>
        </w:rPr>
      </w:pPr>
      <w:r>
        <w:rPr>
          <w:lang w:val="fr-FR"/>
        </w:rPr>
        <w:t>D</w:t>
      </w:r>
      <w:r>
        <w:rPr>
          <w:rFonts w:hint="eastAsia"/>
          <w:lang w:val="fr-FR"/>
        </w:rPr>
        <w:t>JG</w:t>
      </w:r>
      <w:r>
        <w:rPr>
          <w:sz w:val="15"/>
          <w:szCs w:val="15"/>
          <w:lang w:val="fr-FR"/>
        </w:rPr>
        <w:t xml:space="preserve"> </w:t>
      </w:r>
      <w:r>
        <w:fldChar w:fldCharType="begin">
          <w:ffData>
            <w:name w:val="文字1"/>
            <w:enabled/>
            <w:calcOnExit w:val="0"/>
            <w:textInput>
              <w:default w:val="331102/T"/>
            </w:textInput>
          </w:ffData>
        </w:fldChar>
      </w:r>
      <w:bookmarkStart w:id="5" w:name="文字1"/>
      <w:r>
        <w:instrText xml:space="preserve"> FORMTEXT </w:instrText>
      </w:r>
      <w:r>
        <w:fldChar w:fldCharType="separate"/>
      </w:r>
      <w:r>
        <w:t>331102/T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信用商圈基本规范"/>
            </w:textInput>
          </w:ffData>
        </w:fldChar>
      </w:r>
      <w:bookmarkStart w:id="9" w:name="CSTD_NAME"/>
      <w:r>
        <w:instrText xml:space="preserve"> FORMTEXT </w:instrText>
      </w:r>
      <w:r>
        <w:fldChar w:fldCharType="separate"/>
      </w:r>
      <w:r>
        <w:t>信用商圈基本规范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name w:val="下拉1"/>
            <w:enabled/>
            <w:calcOnExit w:val="0"/>
            <w:ddList>
              <w:listEntry w:val="（报批稿）"/>
              <w:listEntry w:val="（送审稿）"/>
              <w:listEntry w:val=" "/>
              <w:listEntry w:val="草案版次选择"/>
              <w:listEntry w:val="（工作组讨论稿）"/>
              <w:listEntry w:val="（征求意见稿）"/>
              <w:listEntry w:val="（送审讨论稿）"/>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default w:val="丽水市莲都区市场监督管理局"/>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丽水市莲都区市场监督管理局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before="900" w:after="468"/>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本文件由丽水市莲都区发展和改革局提出、归口并组织实施。</w:t>
      </w:r>
    </w:p>
    <w:p>
      <w:pPr>
        <w:pStyle w:val="57"/>
        <w:ind w:firstLine="420"/>
      </w:pPr>
      <w:r>
        <w:rPr>
          <w:rFonts w:hint="eastAsia"/>
        </w:rPr>
        <w:t>本文件起草单位：丽水市莲都区发展和改革局、遂昌原创标准化事务所有限公司。</w:t>
      </w:r>
    </w:p>
    <w:p>
      <w:pPr>
        <w:pStyle w:val="57"/>
        <w:ind w:firstLine="420"/>
      </w:pPr>
      <w:r>
        <w:rPr>
          <w:rFonts w:hint="eastAsia"/>
        </w:rPr>
        <w:t>本文件主要起草人：童力、汤金伟、陈俏、季阳、陈洁毅、李佳译、袁蓉。</w:t>
      </w:r>
    </w:p>
    <w:p>
      <w:pPr>
        <w:pStyle w:val="57"/>
        <w:ind w:firstLine="420"/>
      </w:pPr>
      <w:r>
        <w:rPr>
          <w:rFonts w:hint="eastAsia"/>
        </w:rPr>
        <w:t>本文件为首次发布。</w:t>
      </w:r>
    </w:p>
    <w:p>
      <w:pPr>
        <w:pStyle w:val="57"/>
        <w:ind w:firstLine="420"/>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EF0C514BC0C4A519701B128B07B0E8F"/>
        </w:placeholder>
      </w:sdtPr>
      <w:sdtContent>
        <w:p>
          <w:pPr>
            <w:pStyle w:val="178"/>
          </w:pPr>
          <w:bookmarkStart w:id="23" w:name="NEW_STAND_NAME"/>
          <w:r>
            <w:rPr>
              <w:rFonts w:hint="eastAsia"/>
            </w:rPr>
            <w:t>信用商圈基本规范</w:t>
          </w:r>
        </w:p>
      </w:sdtContent>
    </w:sdt>
    <w:bookmarkEnd w:id="23"/>
    <w:p>
      <w:pPr>
        <w:pStyle w:val="105"/>
        <w:spacing w:before="312" w:after="312"/>
      </w:pPr>
      <w:bookmarkStart w:id="24" w:name="_Toc17233333"/>
      <w:bookmarkStart w:id="25" w:name="_Toc26986771"/>
      <w:bookmarkStart w:id="26" w:name="_Toc26986530"/>
      <w:bookmarkStart w:id="27" w:name="_Toc97191423"/>
      <w:bookmarkStart w:id="28" w:name="_Toc24884211"/>
      <w:bookmarkStart w:id="29" w:name="_Toc26648465"/>
      <w:bookmarkStart w:id="30" w:name="_Toc24884218"/>
      <w:bookmarkStart w:id="31" w:name="_Toc17233325"/>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24884212"/>
      <w:bookmarkStart w:id="34" w:name="_Toc24884219"/>
      <w:bookmarkStart w:id="35" w:name="_Toc17233326"/>
      <w:bookmarkStart w:id="36" w:name="_Toc26648466"/>
      <w:bookmarkStart w:id="37" w:name="_Toc17233334"/>
      <w:r>
        <w:rPr>
          <w:rFonts w:hint="eastAsia"/>
        </w:rPr>
        <w:t>本文件规定了信用商圈基本规范的术语和定义、基本条件、信用管理要求、信用监督的要求。</w:t>
      </w:r>
    </w:p>
    <w:p>
      <w:pPr>
        <w:pStyle w:val="57"/>
        <w:ind w:firstLine="420"/>
        <w:rPr>
          <w:rFonts w:hint="default"/>
          <w:szCs w:val="22"/>
          <w:lang w:val="en-US" w:eastAsia="zh-CN"/>
        </w:rPr>
      </w:pPr>
      <w:r>
        <w:rPr>
          <w:rFonts w:hint="eastAsia"/>
          <w:szCs w:val="22"/>
        </w:rPr>
        <w:t>本文件适用于信用商圈的基本要求。</w:t>
      </w:r>
    </w:p>
    <w:p>
      <w:pPr>
        <w:pStyle w:val="105"/>
        <w:spacing w:before="312" w:after="312"/>
      </w:pPr>
      <w:bookmarkStart w:id="38" w:name="_Toc26986531"/>
      <w:bookmarkStart w:id="39" w:name="_Toc267189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bookmarkStart w:id="45" w:name="_GoBack"/>
      <w:bookmarkEnd w:id="45"/>
    </w:p>
    <w:sdt>
      <w:sdtPr>
        <w:rPr>
          <w:rFonts w:hint="eastAsia"/>
        </w:rPr>
        <w:id w:val="715848253"/>
        <w:placeholder>
          <w:docPart w:val="A857DFAADF7440B6A230B163BF26C6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本文件没有规范性引用文件。</w:t>
          </w:r>
        </w:p>
      </w:sdtContent>
    </w:sdt>
    <w:p>
      <w:pPr>
        <w:pStyle w:val="105"/>
        <w:spacing w:before="312" w:after="312"/>
      </w:pPr>
      <w:bookmarkStart w:id="42" w:name="_Toc97191425"/>
      <w:r>
        <w:rPr>
          <w:rFonts w:hint="eastAsia"/>
          <w:szCs w:val="21"/>
        </w:rPr>
        <w:t>术语和定义</w:t>
      </w:r>
      <w:bookmarkEnd w:id="42"/>
    </w:p>
    <w:sdt>
      <w:sdtPr>
        <w:id w:val="-1909835108"/>
        <w:placeholder>
          <w:docPart w:val="9DC3416553A34D279A61D667E1E583C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商圈</w:t>
      </w:r>
    </w:p>
    <w:p>
      <w:pPr>
        <w:pStyle w:val="57"/>
        <w:ind w:firstLine="420"/>
      </w:pPr>
      <w:r>
        <w:rPr>
          <w:rFonts w:hint="eastAsia"/>
        </w:rPr>
        <w:t>在特定空间范围内</w:t>
      </w:r>
      <w:r>
        <w:rPr>
          <w:rFonts w:hint="eastAsia"/>
          <w:lang w:eastAsia="zh-CN"/>
        </w:rPr>
        <w:t>，</w:t>
      </w:r>
      <w:r>
        <w:rPr>
          <w:rFonts w:hint="eastAsia"/>
        </w:rPr>
        <w:t>一种或多种业态、各种规模商业集群的集聚区。</w:t>
      </w:r>
    </w:p>
    <w:p>
      <w:pPr>
        <w:pStyle w:val="105"/>
        <w:spacing w:before="312" w:after="312"/>
      </w:pPr>
      <w:r>
        <w:rPr>
          <w:rFonts w:hint="eastAsia"/>
        </w:rPr>
        <w:t>基本条件</w:t>
      </w:r>
    </w:p>
    <w:p>
      <w:pPr>
        <w:pStyle w:val="163"/>
      </w:pPr>
      <w:r>
        <w:rPr>
          <w:rFonts w:hint="eastAsia"/>
        </w:rPr>
        <w:t>按照浙江省公共信用信息平台的信用评价结果，商圈管理机构公共信用综合信用分达优秀评级（850分）以上，商圈内商户公共信用综合信用分达优良率（800分）占90%以上。</w:t>
      </w:r>
    </w:p>
    <w:p>
      <w:pPr>
        <w:pStyle w:val="163"/>
      </w:pPr>
      <w:r>
        <w:rPr>
          <w:rFonts w:hint="eastAsia"/>
        </w:rPr>
        <w:t>未被列入严重失信主体名单，近两年未发生重大安全生产事故、重大群体性事件等负面情况。</w:t>
      </w:r>
    </w:p>
    <w:p>
      <w:pPr>
        <w:pStyle w:val="105"/>
        <w:spacing w:before="312" w:after="312"/>
      </w:pPr>
      <w:r>
        <w:rPr>
          <w:rFonts w:hint="eastAsia"/>
        </w:rPr>
        <w:t>信用管理要求</w:t>
      </w:r>
    </w:p>
    <w:p>
      <w:pPr>
        <w:pStyle w:val="106"/>
        <w:spacing w:before="156" w:after="156"/>
      </w:pPr>
      <w:r>
        <w:rPr>
          <w:rFonts w:hint="eastAsia"/>
        </w:rPr>
        <w:t>公共信用管理要求</w:t>
      </w:r>
    </w:p>
    <w:p>
      <w:pPr>
        <w:pStyle w:val="66"/>
        <w:spacing w:before="156" w:after="156"/>
      </w:pPr>
      <w:r>
        <w:rPr>
          <w:rFonts w:hint="eastAsia"/>
        </w:rPr>
        <w:t>法定资质</w:t>
      </w:r>
    </w:p>
    <w:p>
      <w:pPr>
        <w:pStyle w:val="165"/>
      </w:pPr>
      <w:r>
        <w:rPr>
          <w:rFonts w:hint="eastAsia"/>
        </w:rPr>
        <w:t>商圈内商户应依法办理工商营业执照</w:t>
      </w:r>
      <w:r>
        <w:rPr>
          <w:rFonts w:hint="eastAsia"/>
          <w:lang w:eastAsia="zh-CN"/>
        </w:rPr>
        <w:t>。</w:t>
      </w:r>
    </w:p>
    <w:p>
      <w:pPr>
        <w:pStyle w:val="165"/>
        <w:rPr>
          <w:szCs w:val="22"/>
        </w:rPr>
      </w:pPr>
      <w:r>
        <w:rPr>
          <w:rFonts w:hint="eastAsia"/>
        </w:rPr>
        <w:t>商圈内商户应依法取得</w:t>
      </w:r>
      <w:r>
        <w:rPr>
          <w:rFonts w:hint="eastAsia"/>
          <w:lang w:val="en-US" w:eastAsia="zh-CN"/>
        </w:rPr>
        <w:t>相应的</w:t>
      </w:r>
      <w:r>
        <w:rPr>
          <w:rFonts w:hint="eastAsia"/>
        </w:rPr>
        <w:t>许可证等资质信息，必要时，应取得的检验、检测或认证等资</w:t>
      </w:r>
      <w:r>
        <w:rPr>
          <w:rFonts w:hint="eastAsia"/>
          <w:szCs w:val="22"/>
        </w:rPr>
        <w:t>质</w:t>
      </w:r>
      <w:r>
        <w:rPr>
          <w:rFonts w:hint="eastAsia"/>
          <w:szCs w:val="22"/>
          <w:lang w:val="en-US" w:eastAsia="zh-CN"/>
        </w:rPr>
        <w:t>证明</w:t>
      </w:r>
      <w:r>
        <w:rPr>
          <w:rFonts w:hint="eastAsia"/>
          <w:szCs w:val="22"/>
        </w:rPr>
        <w:t>。</w:t>
      </w:r>
    </w:p>
    <w:p>
      <w:pPr>
        <w:pStyle w:val="66"/>
        <w:spacing w:before="156" w:after="156"/>
      </w:pPr>
      <w:r>
        <w:rPr>
          <w:rFonts w:hint="eastAsia"/>
        </w:rPr>
        <w:t>守法行为</w:t>
      </w:r>
    </w:p>
    <w:p>
      <w:pPr>
        <w:pStyle w:val="165"/>
      </w:pPr>
      <w:r>
        <w:rPr>
          <w:rFonts w:hint="eastAsia"/>
        </w:rPr>
        <w:t>商圈内商户应在生产经营活动中无违反法律、法规、规章的情况。</w:t>
      </w:r>
    </w:p>
    <w:p>
      <w:pPr>
        <w:pStyle w:val="165"/>
      </w:pPr>
      <w:r>
        <w:rPr>
          <w:rFonts w:hint="eastAsia"/>
        </w:rPr>
        <w:t>商圈内商户或商户负责人应无司法负面信息。</w:t>
      </w:r>
    </w:p>
    <w:p>
      <w:pPr>
        <w:pStyle w:val="165"/>
      </w:pPr>
      <w:r>
        <w:rPr>
          <w:rFonts w:hint="eastAsia"/>
        </w:rPr>
        <w:t>商圈内商户商品质量抽查情况，应无市场监督管理部门的失信记录。</w:t>
      </w:r>
    </w:p>
    <w:p>
      <w:pPr>
        <w:pStyle w:val="66"/>
        <w:spacing w:before="156" w:after="156"/>
      </w:pPr>
      <w:r>
        <w:rPr>
          <w:rFonts w:hint="eastAsia"/>
        </w:rPr>
        <w:t>履约行为</w:t>
      </w:r>
    </w:p>
    <w:p>
      <w:pPr>
        <w:pStyle w:val="165"/>
        <w:rPr>
          <w:szCs w:val="22"/>
        </w:rPr>
      </w:pPr>
      <w:r>
        <w:rPr>
          <w:rFonts w:hint="eastAsia"/>
          <w:szCs w:val="22"/>
          <w:lang w:val="en-US" w:eastAsia="zh-CN"/>
        </w:rPr>
        <w:t>应</w:t>
      </w:r>
      <w:r>
        <w:rPr>
          <w:rFonts w:hint="eastAsia"/>
          <w:szCs w:val="22"/>
        </w:rPr>
        <w:t>在履行其社会责任和公共服务职能时</w:t>
      </w:r>
      <w:r>
        <w:rPr>
          <w:rFonts w:hint="eastAsia"/>
          <w:szCs w:val="22"/>
          <w:lang w:val="en-US" w:eastAsia="zh-CN"/>
        </w:rPr>
        <w:t>合法合规</w:t>
      </w:r>
      <w:r>
        <w:rPr>
          <w:rFonts w:hint="eastAsia"/>
          <w:szCs w:val="22"/>
          <w:lang w:eastAsia="zh-CN"/>
        </w:rPr>
        <w:t>，</w:t>
      </w:r>
      <w:r>
        <w:rPr>
          <w:rFonts w:hint="eastAsia"/>
          <w:szCs w:val="22"/>
          <w:lang w:val="en-US" w:eastAsia="zh-CN"/>
        </w:rPr>
        <w:t>如：</w:t>
      </w:r>
      <w:r>
        <w:rPr>
          <w:rFonts w:hint="eastAsia"/>
          <w:szCs w:val="22"/>
        </w:rPr>
        <w:t>及时支付水电、煤费用及纳税款</w:t>
      </w:r>
      <w:r>
        <w:rPr>
          <w:rFonts w:hint="eastAsia"/>
          <w:szCs w:val="22"/>
          <w:lang w:val="en-US" w:eastAsia="zh-CN"/>
        </w:rPr>
        <w:t>等</w:t>
      </w:r>
      <w:r>
        <w:rPr>
          <w:rFonts w:hint="eastAsia"/>
          <w:szCs w:val="22"/>
        </w:rPr>
        <w:t>。</w:t>
      </w:r>
    </w:p>
    <w:p>
      <w:pPr>
        <w:pStyle w:val="165"/>
        <w:rPr>
          <w:szCs w:val="22"/>
        </w:rPr>
      </w:pPr>
      <w:r>
        <w:rPr>
          <w:rFonts w:hint="eastAsia"/>
          <w:szCs w:val="22"/>
        </w:rPr>
        <w:t>应设立专门的投诉渠道，在接到投诉后，应及时安排专人负责处理，确保消费者的投诉得到解决。</w:t>
      </w:r>
    </w:p>
    <w:p>
      <w:pPr>
        <w:pStyle w:val="165"/>
      </w:pPr>
      <w:r>
        <w:rPr>
          <w:rFonts w:hint="eastAsia"/>
          <w:szCs w:val="22"/>
        </w:rPr>
        <w:t>应定期对履约情况进行评估和总结，发现存在的问题和不足，采取相应的改进措施。</w:t>
      </w:r>
    </w:p>
    <w:p>
      <w:pPr>
        <w:pStyle w:val="66"/>
        <w:spacing w:before="156" w:after="156"/>
      </w:pPr>
      <w:r>
        <w:rPr>
          <w:rFonts w:hint="eastAsia"/>
        </w:rPr>
        <w:t>宣传教育行为</w:t>
      </w:r>
    </w:p>
    <w:p>
      <w:pPr>
        <w:pStyle w:val="165"/>
      </w:pPr>
      <w:r>
        <w:rPr>
          <w:rFonts w:hint="eastAsia"/>
        </w:rPr>
        <w:t>商圈管理机构应开展信用宣传教育活动，提高商户和消费者的信用意识。</w:t>
      </w:r>
    </w:p>
    <w:p>
      <w:pPr>
        <w:pStyle w:val="165"/>
      </w:pPr>
      <w:r>
        <w:rPr>
          <w:rFonts w:hint="eastAsia"/>
        </w:rPr>
        <w:t>商户应参与信用宣传教育活动，加强自身信用建设，树立良好的信用形象。</w:t>
      </w:r>
    </w:p>
    <w:p>
      <w:pPr>
        <w:pStyle w:val="165"/>
      </w:pPr>
      <w:r>
        <w:rPr>
          <w:rFonts w:hint="eastAsia"/>
        </w:rPr>
        <w:t>商圈管理机构应建立信用培训机制，定期对商户进行信用管理知识培训，提高商户的信用管理水平。</w:t>
      </w:r>
    </w:p>
    <w:p>
      <w:pPr>
        <w:pStyle w:val="106"/>
        <w:spacing w:before="156" w:after="156"/>
      </w:pPr>
      <w:r>
        <w:rPr>
          <w:rFonts w:hint="eastAsia"/>
        </w:rPr>
        <w:t>市场信用管理要求</w:t>
      </w:r>
    </w:p>
    <w:p>
      <w:pPr>
        <w:pStyle w:val="66"/>
        <w:spacing w:before="156" w:after="156"/>
      </w:pPr>
      <w:r>
        <w:rPr>
          <w:rFonts w:hint="eastAsia"/>
        </w:rPr>
        <w:t>商品质量</w:t>
      </w:r>
    </w:p>
    <w:p>
      <w:pPr>
        <w:pStyle w:val="165"/>
        <w:rPr>
          <w:rFonts w:hint="eastAsia"/>
          <w:szCs w:val="22"/>
        </w:rPr>
      </w:pPr>
      <w:r>
        <w:rPr>
          <w:rFonts w:hint="eastAsia"/>
        </w:rPr>
        <w:t>商户应遵守商品质量管理相关法律法规，确保所售商品的质量符合</w:t>
      </w:r>
      <w:r>
        <w:rPr>
          <w:rFonts w:hint="eastAsia"/>
          <w:szCs w:val="22"/>
          <w:lang w:eastAsia="zh-CN"/>
        </w:rPr>
        <w:t>相关标准要求。</w:t>
      </w:r>
    </w:p>
    <w:p>
      <w:pPr>
        <w:pStyle w:val="165"/>
      </w:pPr>
      <w:r>
        <w:rPr>
          <w:rFonts w:hint="eastAsia"/>
        </w:rPr>
        <w:t>商户应建立商品质量管理制度，对商品的采购、验收、储存、销售等环节进行严格把控，确保商品质量可追溯。</w:t>
      </w:r>
    </w:p>
    <w:p>
      <w:pPr>
        <w:pStyle w:val="165"/>
      </w:pPr>
      <w:r>
        <w:rPr>
          <w:rFonts w:hint="eastAsia"/>
        </w:rPr>
        <w:t>商圈管理机构应定期对商户的商品质量进行抽查，对发现的问题及时督促商户整改</w:t>
      </w:r>
      <w:r>
        <w:rPr>
          <w:rFonts w:hint="eastAsia"/>
          <w:lang w:eastAsia="zh-CN"/>
        </w:rPr>
        <w:t>。</w:t>
      </w:r>
    </w:p>
    <w:p>
      <w:pPr>
        <w:pStyle w:val="66"/>
        <w:spacing w:before="156" w:after="156"/>
      </w:pPr>
      <w:r>
        <w:rPr>
          <w:rFonts w:hint="eastAsia"/>
        </w:rPr>
        <w:t>服务品质</w:t>
      </w:r>
    </w:p>
    <w:p>
      <w:pPr>
        <w:pStyle w:val="165"/>
      </w:pPr>
      <w:r>
        <w:rPr>
          <w:rFonts w:hint="eastAsia"/>
        </w:rPr>
        <w:t>商户应提供优质服务，包括但不限于热情接待、耐心解答、专业建议、及时配送及完善的售后服务等，确保消费者满意度。</w:t>
      </w:r>
    </w:p>
    <w:p>
      <w:pPr>
        <w:pStyle w:val="165"/>
      </w:pPr>
      <w:r>
        <w:rPr>
          <w:rFonts w:hint="eastAsia"/>
        </w:rPr>
        <w:t>商户应在醒目位置张贴对消费者的服务承诺，明示服务投诉渠道和投诉处理流程。</w:t>
      </w:r>
    </w:p>
    <w:p>
      <w:pPr>
        <w:pStyle w:val="165"/>
      </w:pPr>
      <w:r>
        <w:rPr>
          <w:rFonts w:hint="eastAsia"/>
        </w:rPr>
        <w:t>商圈管理机构应加强对商户服务质量的监督和管理，对服务质量不达标的商户进行约谈、通报或处罚。</w:t>
      </w:r>
    </w:p>
    <w:p>
      <w:pPr>
        <w:pStyle w:val="66"/>
        <w:spacing w:before="156" w:after="156"/>
      </w:pPr>
      <w:r>
        <w:rPr>
          <w:rFonts w:hint="eastAsia"/>
        </w:rPr>
        <w:t>诚信经营</w:t>
      </w:r>
    </w:p>
    <w:p>
      <w:pPr>
        <w:pStyle w:val="165"/>
      </w:pPr>
      <w:r>
        <w:rPr>
          <w:rFonts w:hint="eastAsia"/>
        </w:rPr>
        <w:t>商户应确保所售商品的质量安全及合法性，不得销售假冒伪劣、过期、变质或国家明令禁止的商品。</w:t>
      </w:r>
    </w:p>
    <w:p>
      <w:pPr>
        <w:pStyle w:val="165"/>
      </w:pPr>
      <w:r>
        <w:rPr>
          <w:rFonts w:hint="eastAsia"/>
        </w:rPr>
        <w:t>商品应明码标价，不得进行价格欺诈或虚假标价。</w:t>
      </w:r>
    </w:p>
    <w:p>
      <w:pPr>
        <w:pStyle w:val="165"/>
      </w:pPr>
      <w:r>
        <w:rPr>
          <w:rFonts w:hint="eastAsia"/>
        </w:rPr>
        <w:t>遵守诚信经营原则，不得进行虚假宣传或误导消费者。</w:t>
      </w:r>
    </w:p>
    <w:p>
      <w:pPr>
        <w:pStyle w:val="165"/>
      </w:pPr>
      <w:r>
        <w:rPr>
          <w:rFonts w:hint="eastAsia"/>
        </w:rPr>
        <w:t>在遇到争议时，商户应积极与消费者协商解决，不得推诿责任，逃避问题。</w:t>
      </w:r>
    </w:p>
    <w:p>
      <w:pPr>
        <w:pStyle w:val="105"/>
        <w:spacing w:before="312" w:after="312"/>
      </w:pPr>
      <w:r>
        <w:rPr>
          <w:rFonts w:hint="eastAsia"/>
        </w:rPr>
        <w:t>信用监督</w:t>
      </w:r>
    </w:p>
    <w:p>
      <w:pPr>
        <w:pStyle w:val="163"/>
      </w:pPr>
      <w:r>
        <w:rPr>
          <w:rFonts w:hint="eastAsia"/>
        </w:rPr>
        <w:t>商圈应建立完善的投诉处理机制并有效运行。根据投诉意见箱、热线电话、顾客投诉留言、平台线上评价等渠道反馈情况，及时妥善处理。</w:t>
      </w:r>
    </w:p>
    <w:p>
      <w:pPr>
        <w:pStyle w:val="163"/>
      </w:pPr>
      <w:r>
        <w:rPr>
          <w:rFonts w:hint="eastAsia"/>
          <w:lang w:val="en-US" w:eastAsia="zh-CN"/>
        </w:rPr>
        <w:t>定期</w:t>
      </w:r>
      <w:r>
        <w:rPr>
          <w:rFonts w:hint="eastAsia"/>
        </w:rPr>
        <w:t>对商户</w:t>
      </w:r>
      <w:r>
        <w:rPr>
          <w:rFonts w:hint="eastAsia"/>
          <w:lang w:val="en-US" w:eastAsia="zh-CN"/>
        </w:rPr>
        <w:t>实施</w:t>
      </w:r>
      <w:r>
        <w:rPr>
          <w:rFonts w:hint="eastAsia"/>
        </w:rPr>
        <w:t>信用评价，在租金、管理费和推广、评先评优等方面出台相关应用规定。</w:t>
      </w:r>
    </w:p>
    <w:bookmarkEnd w:id="22"/>
    <w:p>
      <w:pPr>
        <w:pStyle w:val="57"/>
        <w:ind w:firstLine="0" w:firstLineChars="0"/>
        <w:jc w:val="center"/>
      </w:pPr>
      <w:bookmarkStart w:id="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DJG 331102/T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DJG 331102/T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3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09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5A0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D8B"/>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634"/>
    <w:rsid w:val="00CC4AC8"/>
    <w:rsid w:val="00CC5233"/>
    <w:rsid w:val="00CC5DE6"/>
    <w:rsid w:val="00CC6E4E"/>
    <w:rsid w:val="00CC6FE8"/>
    <w:rsid w:val="00CC7202"/>
    <w:rsid w:val="00CD0D8C"/>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146"/>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B018A7"/>
    <w:rsid w:val="0D1A5EBA"/>
    <w:rsid w:val="13783853"/>
    <w:rsid w:val="154B3E04"/>
    <w:rsid w:val="20055A14"/>
    <w:rsid w:val="2778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F0C514BC0C4A519701B128B07B0E8F"/>
        <w:style w:val=""/>
        <w:category>
          <w:name w:val="常规"/>
          <w:gallery w:val="placeholder"/>
        </w:category>
        <w:types>
          <w:type w:val="bbPlcHdr"/>
        </w:types>
        <w:behaviors>
          <w:behavior w:val="content"/>
        </w:behaviors>
        <w:description w:val=""/>
        <w:guid w:val="{DB265908-B9D1-4BB0-BBC0-F797BB1F08D6}"/>
      </w:docPartPr>
      <w:docPartBody>
        <w:p>
          <w:pPr>
            <w:pStyle w:val="5"/>
          </w:pPr>
          <w:r>
            <w:rPr>
              <w:rStyle w:val="4"/>
              <w:rFonts w:hint="eastAsia"/>
            </w:rPr>
            <w:t>单击或点击此处输入文字。</w:t>
          </w:r>
        </w:p>
      </w:docPartBody>
    </w:docPart>
    <w:docPart>
      <w:docPartPr>
        <w:name w:val="A857DFAADF7440B6A230B163BF26C668"/>
        <w:style w:val=""/>
        <w:category>
          <w:name w:val="常规"/>
          <w:gallery w:val="placeholder"/>
        </w:category>
        <w:types>
          <w:type w:val="bbPlcHdr"/>
        </w:types>
        <w:behaviors>
          <w:behavior w:val="content"/>
        </w:behaviors>
        <w:description w:val=""/>
        <w:guid w:val="{3C9F5CF9-2845-4913-BAE4-9978C2A3E994}"/>
      </w:docPartPr>
      <w:docPartBody>
        <w:p>
          <w:pPr>
            <w:pStyle w:val="6"/>
          </w:pPr>
          <w:r>
            <w:rPr>
              <w:rStyle w:val="4"/>
              <w:rFonts w:hint="eastAsia"/>
            </w:rPr>
            <w:t>选择一项。</w:t>
          </w:r>
        </w:p>
      </w:docPartBody>
    </w:docPart>
    <w:docPart>
      <w:docPartPr>
        <w:name w:val="9DC3416553A34D279A61D667E1E583CA"/>
        <w:style w:val=""/>
        <w:category>
          <w:name w:val="常规"/>
          <w:gallery w:val="placeholder"/>
        </w:category>
        <w:types>
          <w:type w:val="bbPlcHdr"/>
        </w:types>
        <w:behaviors>
          <w:behavior w:val="content"/>
        </w:behaviors>
        <w:description w:val=""/>
        <w:guid w:val="{6A3F9204-D1A0-4B74-8809-02EF67F6D6E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24"/>
    <w:rsid w:val="00160FB8"/>
    <w:rsid w:val="001F1B8A"/>
    <w:rsid w:val="009F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EF0C514BC0C4A519701B128B07B0E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7DFAADF7440B6A230B163BF26C6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DC3416553A34D279A61D667E1E583C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1B471-B7C2-4011-BC4A-F2B0E1A3957C}">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Pages>
  <Words>300</Words>
  <Characters>1712</Characters>
  <Lines>14</Lines>
  <Paragraphs>4</Paragraphs>
  <TotalTime>30</TotalTime>
  <ScaleCrop>false</ScaleCrop>
  <LinksUpToDate>false</LinksUpToDate>
  <CharactersWithSpaces>2008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2024-12-06T13:27:00Z</dcterms:created>
  <dc:creator>lenovo</dc:creator>
  <dc:description>&lt;config cover="true" show_menu="true" version="1.0.0" doctype="SDKXY"&gt;_x000d_
&lt;/config&gt;</dc:description>
  <cp:lastModifiedBy>Eo Heom</cp:lastModifiedBy>
  <cp:lastPrinted>2020-08-30T10:00:00Z</cp:lastPrinted>
  <dcterms:modified xsi:type="dcterms:W3CDTF">2024-12-09T02:58:37Z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