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color w:val="000000"/>
          <w:sz w:val="32"/>
          <w:szCs w:val="20"/>
        </w:rPr>
      </w:pPr>
      <w:r>
        <w:rPr>
          <w:rFonts w:hint="eastAsia" w:ascii="黑体" w:hAnsi="黑体" w:eastAsia="黑体" w:cs="Times New Roman"/>
          <w:color w:val="000000"/>
          <w:sz w:val="32"/>
          <w:szCs w:val="20"/>
        </w:rPr>
        <w:t>附件</w:t>
      </w:r>
    </w:p>
    <w:p>
      <w:pPr>
        <w:jc w:val="center"/>
        <w:rPr>
          <w:rFonts w:hint="eastAsia" w:ascii="Times New Roman" w:hAnsi="Times New Roman" w:eastAsia="仿宋_GB2312" w:cs="Times New Roman"/>
          <w:b/>
          <w:bCs/>
          <w:color w:val="000000"/>
          <w:sz w:val="32"/>
          <w:szCs w:val="20"/>
        </w:rPr>
      </w:pPr>
      <w:r>
        <w:rPr>
          <w:rFonts w:hint="eastAsia" w:ascii="Times New Roman" w:hAnsi="Times New Roman" w:eastAsia="仿宋_GB2312" w:cs="Times New Roman"/>
          <w:b/>
          <w:bCs/>
          <w:color w:val="000000"/>
          <w:sz w:val="32"/>
          <w:szCs w:val="20"/>
        </w:rPr>
        <w:t>反馈意见采纳情况表</w:t>
      </w:r>
    </w:p>
    <w:p>
      <w:pPr>
        <w:jc w:val="center"/>
        <w:rPr>
          <w:rFonts w:hint="eastAsia" w:ascii="Times New Roman" w:hAnsi="Times New Roman" w:eastAsia="仿宋_GB2312" w:cs="Times New Roman"/>
          <w:b/>
          <w:bCs/>
          <w:color w:val="000000"/>
          <w:sz w:val="32"/>
          <w:szCs w:val="20"/>
        </w:rPr>
      </w:pPr>
      <w:bookmarkStart w:id="0" w:name="_GoBack"/>
      <w:bookmarkEnd w:id="0"/>
    </w:p>
    <w:tbl>
      <w:tblPr>
        <w:tblStyle w:val="2"/>
        <w:tblW w:w="13800" w:type="dxa"/>
        <w:tblInd w:w="0" w:type="dxa"/>
        <w:tblLayout w:type="autofit"/>
        <w:tblCellMar>
          <w:top w:w="0" w:type="dxa"/>
          <w:left w:w="108" w:type="dxa"/>
          <w:bottom w:w="0" w:type="dxa"/>
          <w:right w:w="108" w:type="dxa"/>
        </w:tblCellMar>
      </w:tblPr>
      <w:tblGrid>
        <w:gridCol w:w="1080"/>
        <w:gridCol w:w="3310"/>
        <w:gridCol w:w="1559"/>
        <w:gridCol w:w="7851"/>
      </w:tblGrid>
      <w:tr>
        <w:tblPrEx>
          <w:tblCellMar>
            <w:top w:w="0" w:type="dxa"/>
            <w:left w:w="108" w:type="dxa"/>
            <w:bottom w:w="0" w:type="dxa"/>
            <w:right w:w="108" w:type="dxa"/>
          </w:tblCellMar>
        </w:tblPrEx>
        <w:trPr>
          <w:trHeight w:val="28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color w:val="000000"/>
                <w:kern w:val="0"/>
                <w:sz w:val="22"/>
                <w:szCs w:val="22"/>
              </w:rPr>
            </w:pPr>
            <w:r>
              <w:rPr>
                <w:rFonts w:ascii="Times New Roman" w:hAnsi="Times New Roman" w:eastAsia="仿宋_GB2312" w:cs="Times New Roman"/>
                <w:b/>
                <w:bCs/>
                <w:color w:val="000000"/>
                <w:kern w:val="0"/>
                <w:sz w:val="22"/>
                <w:szCs w:val="22"/>
              </w:rPr>
              <w:t>序号</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color w:val="000000"/>
                <w:kern w:val="0"/>
                <w:sz w:val="22"/>
                <w:szCs w:val="22"/>
              </w:rPr>
            </w:pPr>
            <w:r>
              <w:rPr>
                <w:rFonts w:ascii="Times New Roman" w:hAnsi="Times New Roman" w:eastAsia="仿宋_GB2312" w:cs="Times New Roman"/>
                <w:b/>
                <w:bCs/>
                <w:color w:val="000000"/>
                <w:kern w:val="0"/>
                <w:sz w:val="22"/>
                <w:szCs w:val="22"/>
              </w:rPr>
              <w:t>反馈意见及建议</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color w:val="000000"/>
                <w:kern w:val="0"/>
                <w:sz w:val="22"/>
                <w:szCs w:val="22"/>
              </w:rPr>
            </w:pPr>
            <w:r>
              <w:rPr>
                <w:rFonts w:ascii="Times New Roman" w:hAnsi="Times New Roman" w:eastAsia="仿宋_GB2312" w:cs="Times New Roman"/>
                <w:b/>
                <w:bCs/>
                <w:color w:val="000000"/>
                <w:kern w:val="0"/>
                <w:sz w:val="22"/>
                <w:szCs w:val="22"/>
              </w:rPr>
              <w:t>采纳情况</w:t>
            </w:r>
          </w:p>
        </w:tc>
        <w:tc>
          <w:tcPr>
            <w:tcW w:w="7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color w:val="000000"/>
                <w:kern w:val="0"/>
                <w:sz w:val="22"/>
                <w:szCs w:val="22"/>
              </w:rPr>
            </w:pPr>
            <w:r>
              <w:rPr>
                <w:rFonts w:ascii="Times New Roman" w:hAnsi="Times New Roman" w:eastAsia="仿宋_GB2312" w:cs="Times New Roman"/>
                <w:b/>
                <w:bCs/>
                <w:color w:val="000000"/>
                <w:kern w:val="0"/>
                <w:sz w:val="22"/>
                <w:szCs w:val="22"/>
              </w:rPr>
              <w:t>理由</w:t>
            </w:r>
          </w:p>
        </w:tc>
      </w:tr>
      <w:tr>
        <w:tblPrEx>
          <w:tblCellMar>
            <w:top w:w="0" w:type="dxa"/>
            <w:left w:w="108" w:type="dxa"/>
            <w:bottom w:w="0" w:type="dxa"/>
            <w:right w:w="108" w:type="dxa"/>
          </w:tblCellMar>
        </w:tblPrEx>
        <w:trPr>
          <w:trHeight w:val="14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1</w:t>
            </w:r>
          </w:p>
        </w:tc>
        <w:tc>
          <w:tcPr>
            <w:tcW w:w="33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建议修改限行时间</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未采纳</w:t>
            </w:r>
          </w:p>
        </w:tc>
        <w:tc>
          <w:tcPr>
            <w:tcW w:w="7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考虑到“炸街”车干扰他人正常生活主要集中在夜间时段，依据《中华人民共和国噪声污染防治法》第八十八条第二款“夜间，是指晚上十点至次日早晨六点之间的期间，设区的市级以上人民政府可以另行规定本行政区域夜间的起止时间，夜间时段长度为八小时”。</w:t>
            </w:r>
          </w:p>
        </w:tc>
      </w:tr>
      <w:tr>
        <w:tblPrEx>
          <w:tblCellMar>
            <w:top w:w="0" w:type="dxa"/>
            <w:left w:w="108" w:type="dxa"/>
            <w:bottom w:w="0" w:type="dxa"/>
            <w:right w:w="108" w:type="dxa"/>
          </w:tblCellMar>
        </w:tblPrEx>
        <w:trPr>
          <w:trHeight w:val="84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2</w:t>
            </w:r>
          </w:p>
        </w:tc>
        <w:tc>
          <w:tcPr>
            <w:tcW w:w="33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建议修改限行摩托车排量</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未采纳</w:t>
            </w:r>
          </w:p>
        </w:tc>
        <w:tc>
          <w:tcPr>
            <w:tcW w:w="7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根据公安声呐设备数据采集及综合分析研判，排量250ml以上的摩托车噪声影响相对更大。排量以机动车登记证书核定为准，不含俗称250ml排量、核定未达到250ml排量的摩托车。</w:t>
            </w:r>
          </w:p>
        </w:tc>
      </w:tr>
      <w:tr>
        <w:tblPrEx>
          <w:tblCellMar>
            <w:top w:w="0" w:type="dxa"/>
            <w:left w:w="108" w:type="dxa"/>
            <w:bottom w:w="0" w:type="dxa"/>
            <w:right w:w="108" w:type="dxa"/>
          </w:tblCellMar>
        </w:tblPrEx>
        <w:trPr>
          <w:trHeight w:val="11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3</w:t>
            </w:r>
          </w:p>
        </w:tc>
        <w:tc>
          <w:tcPr>
            <w:tcW w:w="33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建议修改限行区范围</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部分采纳</w:t>
            </w:r>
          </w:p>
        </w:tc>
        <w:tc>
          <w:tcPr>
            <w:tcW w:w="7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“市区三环线（不含）以内区域”修改为“市区三环线以内区域路段”；按照《嘉兴市中心城区声环境功能区划分调整方案》，市区对声环境质量要求较高的二类以上声环境功能区主要集中在三环线以内区域。</w:t>
            </w:r>
          </w:p>
        </w:tc>
      </w:tr>
      <w:tr>
        <w:tblPrEx>
          <w:tblCellMar>
            <w:top w:w="0" w:type="dxa"/>
            <w:left w:w="108" w:type="dxa"/>
            <w:bottom w:w="0" w:type="dxa"/>
            <w:right w:w="108" w:type="dxa"/>
          </w:tblCellMar>
        </w:tblPrEx>
        <w:trPr>
          <w:trHeight w:val="5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4</w:t>
            </w:r>
          </w:p>
        </w:tc>
        <w:tc>
          <w:tcPr>
            <w:tcW w:w="33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建议政府回收置换受限摩托车</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未采纳</w:t>
            </w:r>
          </w:p>
        </w:tc>
        <w:tc>
          <w:tcPr>
            <w:tcW w:w="7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合法合规使用的受限摩托车可以较为方便的办理通行证，不影响正常使用。</w:t>
            </w:r>
          </w:p>
        </w:tc>
      </w:tr>
      <w:tr>
        <w:tblPrEx>
          <w:tblCellMar>
            <w:top w:w="0" w:type="dxa"/>
            <w:left w:w="108" w:type="dxa"/>
            <w:bottom w:w="0" w:type="dxa"/>
            <w:right w:w="108" w:type="dxa"/>
          </w:tblCellMar>
        </w:tblPrEx>
        <w:trPr>
          <w:trHeight w:val="28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5</w:t>
            </w:r>
          </w:p>
        </w:tc>
        <w:tc>
          <w:tcPr>
            <w:tcW w:w="33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建议对汽车实施限行</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未采纳</w:t>
            </w:r>
          </w:p>
        </w:tc>
        <w:tc>
          <w:tcPr>
            <w:tcW w:w="7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不属于本次征求意见稿范畴。</w:t>
            </w:r>
          </w:p>
        </w:tc>
      </w:tr>
      <w:tr>
        <w:tblPrEx>
          <w:tblCellMar>
            <w:top w:w="0" w:type="dxa"/>
            <w:left w:w="108" w:type="dxa"/>
            <w:bottom w:w="0" w:type="dxa"/>
            <w:right w:w="108" w:type="dxa"/>
          </w:tblCellMar>
        </w:tblPrEx>
        <w:trPr>
          <w:trHeight w:val="14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6</w:t>
            </w:r>
          </w:p>
        </w:tc>
        <w:tc>
          <w:tcPr>
            <w:tcW w:w="33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质疑限摩合法性</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未采纳</w:t>
            </w:r>
          </w:p>
        </w:tc>
        <w:tc>
          <w:tcPr>
            <w:tcW w:w="7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依据《中华人民共和国噪声污染防治法》第四十九条“地方人民政府生态环境主管部门会同公安机关根据声环境保护的需要，可以划定禁止机动车行驶和使用喇叭等声响装置的路段和时间，向社会公告，并由公安机关交通管理部门依法设置相关标志、标线。”和《中华人民共和国道路交通安全法》有关规定。</w:t>
            </w:r>
          </w:p>
        </w:tc>
      </w:tr>
      <w:tr>
        <w:tblPrEx>
          <w:tblCellMar>
            <w:top w:w="0" w:type="dxa"/>
            <w:left w:w="108" w:type="dxa"/>
            <w:bottom w:w="0" w:type="dxa"/>
            <w:right w:w="108" w:type="dxa"/>
          </w:tblCellMar>
        </w:tblPrEx>
        <w:trPr>
          <w:trHeight w:val="5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7</w:t>
            </w:r>
          </w:p>
        </w:tc>
        <w:tc>
          <w:tcPr>
            <w:tcW w:w="33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建议政策出台流程</w:t>
            </w:r>
            <w:r>
              <w:rPr>
                <w:rFonts w:hint="eastAsia" w:ascii="Times New Roman" w:hAnsi="Times New Roman" w:eastAsia="仿宋_GB2312" w:cs="Times New Roman"/>
                <w:color w:val="000000"/>
                <w:kern w:val="0"/>
                <w:sz w:val="22"/>
                <w:szCs w:val="22"/>
              </w:rPr>
              <w:t>要</w:t>
            </w:r>
            <w:r>
              <w:rPr>
                <w:rFonts w:ascii="Times New Roman" w:hAnsi="Times New Roman" w:eastAsia="仿宋_GB2312" w:cs="Times New Roman"/>
                <w:color w:val="000000"/>
                <w:kern w:val="0"/>
                <w:sz w:val="22"/>
                <w:szCs w:val="22"/>
              </w:rPr>
              <w:t>合法合规</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采纳</w:t>
            </w:r>
          </w:p>
        </w:tc>
        <w:tc>
          <w:tcPr>
            <w:tcW w:w="7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市生态环境局、市公安局将严格按照行政规范性文件制发流程和相关要求开展。</w:t>
            </w:r>
          </w:p>
        </w:tc>
      </w:tr>
      <w:tr>
        <w:tblPrEx>
          <w:tblCellMar>
            <w:top w:w="0" w:type="dxa"/>
            <w:left w:w="108" w:type="dxa"/>
            <w:bottom w:w="0" w:type="dxa"/>
            <w:right w:w="108" w:type="dxa"/>
          </w:tblCellMar>
        </w:tblPrEx>
        <w:trPr>
          <w:trHeight w:val="84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8</w:t>
            </w:r>
          </w:p>
        </w:tc>
        <w:tc>
          <w:tcPr>
            <w:tcW w:w="33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建议通行证办理可以方便一些</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采纳</w:t>
            </w:r>
          </w:p>
        </w:tc>
        <w:tc>
          <w:tcPr>
            <w:tcW w:w="7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目前正在研究细化相关通行证办理形式、有效时限等政策，原则上是尽量不对正常使用的摩托车车主造成过大影响，并拟采取线上办理形式，进一步方便群众。</w:t>
            </w:r>
          </w:p>
        </w:tc>
      </w:tr>
      <w:tr>
        <w:tblPrEx>
          <w:tblCellMar>
            <w:top w:w="0" w:type="dxa"/>
            <w:left w:w="108" w:type="dxa"/>
            <w:bottom w:w="0" w:type="dxa"/>
            <w:right w:w="108" w:type="dxa"/>
          </w:tblCellMar>
        </w:tblPrEx>
        <w:trPr>
          <w:trHeight w:val="5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9</w:t>
            </w:r>
          </w:p>
        </w:tc>
        <w:tc>
          <w:tcPr>
            <w:tcW w:w="33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其他建议（主要为建议加强监管，加大改装车打击力度，不建议直接限制通行）</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部分采纳</w:t>
            </w:r>
          </w:p>
        </w:tc>
        <w:tc>
          <w:tcPr>
            <w:tcW w:w="7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公安部门将依法打击“非法改装”“炸街扰民”等违法违规行为。</w:t>
            </w:r>
          </w:p>
        </w:tc>
      </w:tr>
      <w:tr>
        <w:tblPrEx>
          <w:tblCellMar>
            <w:top w:w="0" w:type="dxa"/>
            <w:left w:w="108" w:type="dxa"/>
            <w:bottom w:w="0" w:type="dxa"/>
            <w:right w:w="108" w:type="dxa"/>
          </w:tblCellMar>
        </w:tblPrEx>
        <w:trPr>
          <w:trHeight w:val="28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10</w:t>
            </w:r>
          </w:p>
        </w:tc>
        <w:tc>
          <w:tcPr>
            <w:tcW w:w="33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无效意见</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未采纳</w:t>
            </w:r>
          </w:p>
        </w:tc>
        <w:tc>
          <w:tcPr>
            <w:tcW w:w="7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w:t>
            </w:r>
          </w:p>
        </w:tc>
      </w:tr>
    </w:tbl>
    <w:p>
      <w:pPr>
        <w:rPr>
          <w:rFonts w:ascii="黑体" w:hAnsi="黑体" w:eastAsia="黑体" w:cs="Times New Roman"/>
          <w:color w:val="000000"/>
          <w:sz w:val="32"/>
          <w:szCs w:val="20"/>
        </w:rPr>
      </w:pPr>
    </w:p>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47AE681"/>
    <w:rsid w:val="F47AE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2024-11-29T15:04:00Z</dcterms:created>
  <dc:creator>user</dc:creator>
  <cp:lastModifiedBy>user</cp:lastModifiedBy>
  <dcterms:modified xsi:type="dcterms:W3CDTF">2024-11-29T15:05:14Z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7FE792700A56F650696749677324CCC3_41</vt:lpwstr>
  </property>
</Properties>
</file>